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6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10-K</w:t>
      </w:r>
    </w:p>
    <w:p>
      <w:pPr>
        <w:spacing w:after="0" w:line="214"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2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66"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FOR THE FISCAL YEAR ENDED SEPTEMBER 30, 2012</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OR</w:t>
      </w:r>
    </w:p>
    <w:p>
      <w:pPr>
        <w:spacing w:after="0" w:line="63"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3940"/>
        <w:spacing w:after="0"/>
        <w:tabs>
          <w:tab w:leader="none" w:pos="6700" w:val="left"/>
        </w:tabs>
        <w:rPr>
          <w:sz w:val="20"/>
          <w:szCs w:val="20"/>
          <w:color w:val="auto"/>
        </w:rPr>
      </w:pPr>
      <w:r>
        <w:rPr>
          <w:rFonts w:ascii="Arial" w:cs="Arial" w:eastAsia="Arial" w:hAnsi="Arial"/>
          <w:sz w:val="13"/>
          <w:szCs w:val="13"/>
          <w:color w:val="auto"/>
        </w:rPr>
        <w:t>FOR THE TRANSITION PERIOD FROM</w:t>
      </w:r>
      <w:r>
        <w:rPr>
          <w:sz w:val="20"/>
          <w:szCs w:val="20"/>
          <w:color w:val="auto"/>
        </w:rPr>
        <w:tab/>
      </w:r>
      <w:r>
        <w:rPr>
          <w:rFonts w:ascii="Arial" w:cs="Arial" w:eastAsia="Arial" w:hAnsi="Arial"/>
          <w:sz w:val="12"/>
          <w:szCs w:val="12"/>
          <w:color w:val="auto"/>
        </w:rPr>
        <w:t>TO</w:t>
      </w:r>
    </w:p>
    <w:p>
      <w:pPr>
        <w:spacing w:after="0" w:line="80" w:lineRule="exact"/>
        <w:rPr>
          <w:sz w:val="24"/>
          <w:szCs w:val="24"/>
          <w:color w:val="auto"/>
        </w:rPr>
      </w:pPr>
    </w:p>
    <w:p>
      <w:pPr>
        <w:jc w:val="center"/>
        <w:ind w:right="-39"/>
        <w:spacing w:after="0"/>
        <w:rPr>
          <w:sz w:val="20"/>
          <w:szCs w:val="20"/>
          <w:color w:val="auto"/>
        </w:rPr>
      </w:pPr>
      <w:r>
        <w:rPr>
          <w:rFonts w:ascii="Arial" w:cs="Arial" w:eastAsia="Arial" w:hAnsi="Arial"/>
          <w:sz w:val="13"/>
          <w:szCs w:val="13"/>
          <w:color w:val="auto"/>
        </w:rPr>
        <w:t>COMMISSION FILE NUMBER: 814-00736</w:t>
      </w:r>
    </w:p>
    <w:p>
      <w:pPr>
        <w:spacing w:after="0" w:line="170"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PENNANTPARK INVESTMENT CORPORATION</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7020" w:type="dxa"/>
            <w:vAlign w:val="bottom"/>
          </w:tcPr>
          <w:p>
            <w:pPr>
              <w:jc w:val="center"/>
              <w:ind w:right="1313"/>
              <w:spacing w:after="0"/>
              <w:rPr>
                <w:sz w:val="20"/>
                <w:szCs w:val="20"/>
                <w:color w:val="auto"/>
              </w:rPr>
            </w:pPr>
            <w:r>
              <w:rPr>
                <w:rFonts w:ascii="Arial" w:cs="Arial" w:eastAsia="Arial" w:hAnsi="Arial"/>
                <w:sz w:val="13"/>
                <w:szCs w:val="13"/>
                <w:b w:val="1"/>
                <w:bCs w:val="1"/>
                <w:color w:val="auto"/>
              </w:rPr>
              <w:t>MARYLAND</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320" w:type="dxa"/>
            <w:vAlign w:val="bottom"/>
          </w:tcPr>
          <w:p>
            <w:pPr>
              <w:jc w:val="right"/>
              <w:ind w:right="2273"/>
              <w:spacing w:after="0"/>
              <w:rPr>
                <w:sz w:val="20"/>
                <w:szCs w:val="20"/>
                <w:color w:val="auto"/>
              </w:rPr>
            </w:pPr>
            <w:r>
              <w:rPr>
                <w:rFonts w:ascii="Arial" w:cs="Arial" w:eastAsia="Arial" w:hAnsi="Arial"/>
                <w:sz w:val="13"/>
                <w:szCs w:val="13"/>
                <w:b w:val="1"/>
                <w:bCs w:val="1"/>
                <w:color w:val="auto"/>
              </w:rPr>
              <w:t>20-8250744</w:t>
            </w:r>
          </w:p>
        </w:tc>
      </w:tr>
      <w:tr>
        <w:trPr>
          <w:trHeight w:val="148"/>
        </w:trPr>
        <w:tc>
          <w:tcPr>
            <w:tcW w:w="7020" w:type="dxa"/>
            <w:vAlign w:val="bottom"/>
          </w:tcPr>
          <w:p>
            <w:pPr>
              <w:jc w:val="center"/>
              <w:ind w:right="1333"/>
              <w:spacing w:after="0"/>
              <w:rPr>
                <w:sz w:val="20"/>
                <w:szCs w:val="20"/>
                <w:color w:val="auto"/>
              </w:rPr>
            </w:pPr>
            <w:r>
              <w:rPr>
                <w:rFonts w:ascii="Arial" w:cs="Arial" w:eastAsia="Arial" w:hAnsi="Arial"/>
                <w:sz w:val="13"/>
                <w:szCs w:val="13"/>
                <w:b w:val="1"/>
                <w:bCs w:val="1"/>
                <w:color w:val="auto"/>
                <w:w w:val="94"/>
              </w:rPr>
              <w:t>(State or other jurisdiction</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20" w:type="dxa"/>
            <w:vAlign w:val="bottom"/>
          </w:tcPr>
          <w:p>
            <w:pPr>
              <w:jc w:val="center"/>
              <w:ind w:right="1933"/>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7020" w:type="dxa"/>
            <w:vAlign w:val="bottom"/>
          </w:tcPr>
          <w:p>
            <w:pPr>
              <w:jc w:val="center"/>
              <w:ind w:right="1313"/>
              <w:spacing w:after="0"/>
              <w:rPr>
                <w:sz w:val="20"/>
                <w:szCs w:val="20"/>
                <w:color w:val="auto"/>
              </w:rPr>
            </w:pPr>
            <w:r>
              <w:rPr>
                <w:rFonts w:ascii="Arial" w:cs="Arial" w:eastAsia="Arial" w:hAnsi="Arial"/>
                <w:sz w:val="13"/>
                <w:szCs w:val="13"/>
                <w:b w:val="1"/>
                <w:bCs w:val="1"/>
                <w:color w:val="auto"/>
                <w:w w:val="95"/>
              </w:rPr>
              <w:t>of incorporation or organization)</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20" w:type="dxa"/>
            <w:vAlign w:val="bottom"/>
          </w:tcPr>
          <w:p>
            <w:pPr>
              <w:jc w:val="center"/>
              <w:ind w:right="1933"/>
              <w:spacing w:after="0"/>
              <w:rPr>
                <w:sz w:val="20"/>
                <w:szCs w:val="20"/>
                <w:color w:val="auto"/>
              </w:rPr>
            </w:pPr>
            <w:r>
              <w:rPr>
                <w:rFonts w:ascii="Arial" w:cs="Arial" w:eastAsia="Arial" w:hAnsi="Arial"/>
                <w:sz w:val="13"/>
                <w:szCs w:val="13"/>
                <w:b w:val="1"/>
                <w:bCs w:val="1"/>
                <w:color w:val="auto"/>
                <w:w w:val="94"/>
              </w:rPr>
              <w:t>Identification No.)</w:t>
            </w:r>
          </w:p>
        </w:tc>
      </w:tr>
      <w:tr>
        <w:trPr>
          <w:trHeight w:val="230"/>
        </w:trPr>
        <w:tc>
          <w:tcPr>
            <w:tcW w:w="7020" w:type="dxa"/>
            <w:vAlign w:val="bottom"/>
          </w:tcPr>
          <w:p>
            <w:pPr>
              <w:jc w:val="center"/>
              <w:ind w:right="1313"/>
              <w:spacing w:after="0"/>
              <w:rPr>
                <w:sz w:val="20"/>
                <w:szCs w:val="20"/>
                <w:color w:val="auto"/>
              </w:rPr>
            </w:pPr>
            <w:r>
              <w:rPr>
                <w:rFonts w:ascii="Arial" w:cs="Arial" w:eastAsia="Arial" w:hAnsi="Arial"/>
                <w:sz w:val="13"/>
                <w:szCs w:val="13"/>
                <w:b w:val="1"/>
                <w:bCs w:val="1"/>
                <w:color w:val="auto"/>
                <w:w w:val="93"/>
              </w:rPr>
              <w:t>590 Madison Avenue,</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176"/>
        </w:trPr>
        <w:tc>
          <w:tcPr>
            <w:tcW w:w="7020" w:type="dxa"/>
            <w:vAlign w:val="bottom"/>
          </w:tcPr>
          <w:p>
            <w:pPr>
              <w:jc w:val="center"/>
              <w:ind w:right="1313"/>
              <w:spacing w:after="0" w:line="176" w:lineRule="exact"/>
              <w:rPr>
                <w:sz w:val="20"/>
                <w:szCs w:val="20"/>
                <w:color w:val="auto"/>
              </w:rPr>
            </w:pPr>
            <w:r>
              <w:rPr>
                <w:rFonts w:ascii="Arial" w:cs="Arial" w:eastAsia="Arial" w:hAnsi="Arial"/>
                <w:sz w:val="12"/>
                <w:szCs w:val="12"/>
                <w:b w:val="1"/>
                <w:bCs w:val="1"/>
                <w:color w:val="auto"/>
              </w:rPr>
              <w:t>15</w:t>
            </w:r>
            <w:r>
              <w:rPr>
                <w:rFonts w:ascii="Arial" w:cs="Arial" w:eastAsia="Arial" w:hAnsi="Arial"/>
                <w:sz w:val="20"/>
                <w:szCs w:val="20"/>
                <w:b w:val="1"/>
                <w:bCs w:val="1"/>
                <w:color w:val="auto"/>
                <w:vertAlign w:val="superscript"/>
              </w:rPr>
              <w:t>th</w:t>
            </w:r>
            <w:r>
              <w:rPr>
                <w:rFonts w:ascii="Arial" w:cs="Arial" w:eastAsia="Arial" w:hAnsi="Arial"/>
                <w:sz w:val="12"/>
                <w:szCs w:val="12"/>
                <w:b w:val="1"/>
                <w:bCs w:val="1"/>
                <w:color w:val="auto"/>
              </w:rPr>
              <w:t xml:space="preserve"> Floor New York, N.Y.</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20" w:type="dxa"/>
            <w:vAlign w:val="bottom"/>
          </w:tcPr>
          <w:p>
            <w:pPr>
              <w:jc w:val="right"/>
              <w:ind w:right="2433"/>
              <w:spacing w:after="0"/>
              <w:rPr>
                <w:sz w:val="20"/>
                <w:szCs w:val="20"/>
                <w:color w:val="auto"/>
              </w:rPr>
            </w:pPr>
            <w:r>
              <w:rPr>
                <w:rFonts w:ascii="Arial" w:cs="Arial" w:eastAsia="Arial" w:hAnsi="Arial"/>
                <w:sz w:val="13"/>
                <w:szCs w:val="13"/>
                <w:b w:val="1"/>
                <w:bCs w:val="1"/>
                <w:color w:val="auto"/>
              </w:rPr>
              <w:t>10022</w:t>
            </w:r>
          </w:p>
        </w:tc>
      </w:tr>
      <w:tr>
        <w:trPr>
          <w:trHeight w:val="174"/>
        </w:trPr>
        <w:tc>
          <w:tcPr>
            <w:tcW w:w="7020" w:type="dxa"/>
            <w:vAlign w:val="bottom"/>
          </w:tcPr>
          <w:p>
            <w:pPr>
              <w:jc w:val="center"/>
              <w:ind w:right="1313"/>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20" w:type="dxa"/>
            <w:vAlign w:val="bottom"/>
          </w:tcPr>
          <w:p>
            <w:pPr>
              <w:jc w:val="center"/>
              <w:ind w:right="1933"/>
              <w:spacing w:after="0"/>
              <w:rPr>
                <w:sz w:val="20"/>
                <w:szCs w:val="20"/>
                <w:color w:val="auto"/>
              </w:rPr>
            </w:pPr>
            <w:r>
              <w:rPr>
                <w:rFonts w:ascii="Arial" w:cs="Arial" w:eastAsia="Arial" w:hAnsi="Arial"/>
                <w:sz w:val="13"/>
                <w:szCs w:val="13"/>
                <w:b w:val="1"/>
                <w:bCs w:val="1"/>
                <w:color w:val="auto"/>
                <w:w w:val="99"/>
              </w:rPr>
              <w:t>(Zip Code)</w:t>
            </w:r>
          </w:p>
        </w:tc>
      </w:tr>
      <w:tr>
        <w:trPr>
          <w:trHeight w:val="203"/>
        </w:trPr>
        <w:tc>
          <w:tcPr>
            <w:tcW w:w="7540" w:type="dxa"/>
            <w:vAlign w:val="bottom"/>
            <w:gridSpan w:val="2"/>
          </w:tcPr>
          <w:p>
            <w:pPr>
              <w:jc w:val="right"/>
              <w:spacing w:after="0"/>
              <w:rPr>
                <w:sz w:val="20"/>
                <w:szCs w:val="20"/>
                <w:color w:val="auto"/>
              </w:rPr>
            </w:pPr>
            <w:r>
              <w:rPr>
                <w:rFonts w:ascii="Arial" w:cs="Arial" w:eastAsia="Arial" w:hAnsi="Arial"/>
                <w:sz w:val="13"/>
                <w:szCs w:val="13"/>
                <w:b w:val="1"/>
                <w:bCs w:val="1"/>
                <w:color w:val="auto"/>
              </w:rPr>
              <w:t>Registrant’s telephone number, including area code (212)-905-1000</w:t>
            </w:r>
          </w:p>
        </w:tc>
        <w:tc>
          <w:tcPr>
            <w:tcW w:w="34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7540" w:type="dxa"/>
            <w:vAlign w:val="bottom"/>
            <w:gridSpan w:val="2"/>
          </w:tcPr>
          <w:p>
            <w:pPr>
              <w:jc w:val="right"/>
              <w:ind w:right="193"/>
              <w:spacing w:after="0"/>
              <w:rPr>
                <w:sz w:val="20"/>
                <w:szCs w:val="20"/>
                <w:color w:val="auto"/>
              </w:rPr>
            </w:pPr>
            <w:r>
              <w:rPr>
                <w:rFonts w:ascii="Arial" w:cs="Arial" w:eastAsia="Arial" w:hAnsi="Arial"/>
                <w:sz w:val="13"/>
                <w:szCs w:val="13"/>
                <w:b w:val="1"/>
                <w:bCs w:val="1"/>
                <w:color w:val="auto"/>
              </w:rPr>
              <w:t>Securities registered pursuant to Section 12(b) of the Act:</w:t>
            </w:r>
          </w:p>
        </w:tc>
        <w:tc>
          <w:tcPr>
            <w:tcW w:w="34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192"/>
        </w:trPr>
        <w:tc>
          <w:tcPr>
            <w:tcW w:w="7020" w:type="dxa"/>
            <w:vAlign w:val="bottom"/>
          </w:tcPr>
          <w:p>
            <w:pPr>
              <w:jc w:val="center"/>
              <w:ind w:right="1313"/>
              <w:spacing w:after="0"/>
              <w:rPr>
                <w:sz w:val="20"/>
                <w:szCs w:val="20"/>
                <w:color w:val="auto"/>
              </w:rPr>
            </w:pPr>
            <w:r>
              <w:rPr>
                <w:rFonts w:ascii="Arial" w:cs="Arial" w:eastAsia="Arial" w:hAnsi="Arial"/>
                <w:sz w:val="13"/>
                <w:szCs w:val="13"/>
                <w:b w:val="1"/>
                <w:bCs w:val="1"/>
                <w:color w:val="auto"/>
                <w:w w:val="93"/>
              </w:rPr>
              <w:t>Title of Each Class</w:t>
            </w:r>
          </w:p>
        </w:tc>
        <w:tc>
          <w:tcPr>
            <w:tcW w:w="4180" w:type="dxa"/>
            <w:vAlign w:val="bottom"/>
            <w:gridSpan w:val="3"/>
          </w:tcPr>
          <w:p>
            <w:pPr>
              <w:jc w:val="center"/>
              <w:ind w:right="1073"/>
              <w:spacing w:after="0"/>
              <w:rPr>
                <w:sz w:val="20"/>
                <w:szCs w:val="20"/>
                <w:color w:val="auto"/>
              </w:rPr>
            </w:pPr>
            <w:r>
              <w:rPr>
                <w:rFonts w:ascii="Arial" w:cs="Arial" w:eastAsia="Arial" w:hAnsi="Arial"/>
                <w:sz w:val="13"/>
                <w:szCs w:val="13"/>
                <w:b w:val="1"/>
                <w:bCs w:val="1"/>
                <w:color w:val="auto"/>
                <w:w w:val="92"/>
              </w:rPr>
              <w:t>Name of Each Exchange on Which Registered</w:t>
            </w:r>
          </w:p>
        </w:tc>
      </w:tr>
      <w:tr>
        <w:trPr>
          <w:trHeight w:val="172"/>
        </w:trPr>
        <w:tc>
          <w:tcPr>
            <w:tcW w:w="7020" w:type="dxa"/>
            <w:vAlign w:val="bottom"/>
          </w:tcPr>
          <w:p>
            <w:pPr>
              <w:jc w:val="center"/>
              <w:ind w:right="1333"/>
              <w:spacing w:after="0"/>
              <w:rPr>
                <w:sz w:val="20"/>
                <w:szCs w:val="20"/>
                <w:color w:val="auto"/>
              </w:rPr>
            </w:pPr>
            <w:r>
              <w:rPr>
                <w:rFonts w:ascii="Arial" w:cs="Arial" w:eastAsia="Arial" w:hAnsi="Arial"/>
                <w:sz w:val="13"/>
                <w:szCs w:val="13"/>
                <w:color w:val="auto"/>
                <w:w w:val="93"/>
              </w:rPr>
              <w:t>Common Stock, par value $0.001 per share</w:t>
            </w:r>
          </w:p>
        </w:tc>
        <w:tc>
          <w:tcPr>
            <w:tcW w:w="520" w:type="dxa"/>
            <w:vAlign w:val="bottom"/>
          </w:tcPr>
          <w:p>
            <w:pPr>
              <w:spacing w:after="0"/>
              <w:rPr>
                <w:sz w:val="14"/>
                <w:szCs w:val="14"/>
                <w:color w:val="auto"/>
              </w:rPr>
            </w:pPr>
          </w:p>
        </w:tc>
        <w:tc>
          <w:tcPr>
            <w:tcW w:w="3660" w:type="dxa"/>
            <w:vAlign w:val="bottom"/>
            <w:gridSpan w:val="2"/>
          </w:tcPr>
          <w:p>
            <w:pPr>
              <w:jc w:val="center"/>
              <w:ind w:right="1573"/>
              <w:spacing w:after="0"/>
              <w:rPr>
                <w:sz w:val="20"/>
                <w:szCs w:val="20"/>
                <w:color w:val="auto"/>
              </w:rPr>
            </w:pPr>
            <w:r>
              <w:rPr>
                <w:rFonts w:ascii="Arial" w:cs="Arial" w:eastAsia="Arial" w:hAnsi="Arial"/>
                <w:sz w:val="13"/>
                <w:szCs w:val="13"/>
                <w:color w:val="auto"/>
                <w:w w:val="98"/>
              </w:rPr>
              <w:t>The NASDAQ Stock Market LLC</w:t>
            </w:r>
          </w:p>
        </w:tc>
      </w:tr>
      <w:tr>
        <w:trPr>
          <w:trHeight w:val="203"/>
        </w:trPr>
        <w:tc>
          <w:tcPr>
            <w:tcW w:w="754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Securities registered pursuant to Section 12(g) of the Act: None</w:t>
            </w:r>
          </w:p>
        </w:tc>
        <w:tc>
          <w:tcPr>
            <w:tcW w:w="34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316"/>
        </w:trPr>
        <w:tc>
          <w:tcPr>
            <w:tcW w:w="7020" w:type="dxa"/>
            <w:vAlign w:val="bottom"/>
          </w:tcPr>
          <w:p>
            <w:pPr>
              <w:ind w:left="560"/>
              <w:spacing w:after="0"/>
              <w:rPr>
                <w:sz w:val="20"/>
                <w:szCs w:val="20"/>
                <w:color w:val="auto"/>
              </w:rPr>
            </w:pPr>
            <w:r>
              <w:rPr>
                <w:rFonts w:ascii="Arial" w:cs="Arial" w:eastAsia="Arial" w:hAnsi="Arial"/>
                <w:sz w:val="13"/>
                <w:szCs w:val="13"/>
                <w:color w:val="auto"/>
                <w:w w:val="95"/>
              </w:rPr>
              <w:t>Indicate by check mark if the registrant is a well-known seasoned issuer, as defined in Rule 405 of the Securities Act.</w:t>
            </w:r>
          </w:p>
        </w:tc>
        <w:tc>
          <w:tcPr>
            <w:tcW w:w="520" w:type="dxa"/>
            <w:vAlign w:val="bottom"/>
          </w:tcPr>
          <w:p>
            <w:pPr>
              <w:jc w:val="right"/>
              <w:ind w:right="53"/>
              <w:spacing w:after="0" w:line="150" w:lineRule="exact"/>
              <w:rPr>
                <w:sz w:val="20"/>
                <w:szCs w:val="20"/>
                <w:color w:val="auto"/>
              </w:rPr>
            </w:pPr>
            <w:r>
              <w:rPr>
                <w:rFonts w:ascii="Arial" w:cs="Arial" w:eastAsia="Arial" w:hAnsi="Arial"/>
                <w:sz w:val="13"/>
                <w:szCs w:val="13"/>
                <w:color w:val="auto"/>
                <w:w w:val="97"/>
              </w:rPr>
              <w:t xml:space="preserve">Yes </w:t>
            </w:r>
            <w:r>
              <w:rPr>
                <w:rFonts w:ascii="MS PGothic" w:cs="MS PGothic" w:eastAsia="MS PGothic" w:hAnsi="MS PGothic"/>
                <w:sz w:val="13"/>
                <w:szCs w:val="13"/>
                <w:color w:val="auto"/>
                <w:w w:val="97"/>
              </w:rPr>
              <w:t>☐</w:t>
            </w:r>
          </w:p>
        </w:tc>
        <w:tc>
          <w:tcPr>
            <w:tcW w:w="3660" w:type="dxa"/>
            <w:vAlign w:val="bottom"/>
            <w:gridSpan w:val="2"/>
          </w:tcPr>
          <w:p>
            <w:pPr>
              <w:ind w:left="2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w:t>
            </w:r>
          </w:p>
        </w:tc>
      </w:tr>
      <w:tr>
        <w:trPr>
          <w:trHeight w:val="211"/>
        </w:trPr>
        <w:tc>
          <w:tcPr>
            <w:tcW w:w="7020" w:type="dxa"/>
            <w:vAlign w:val="bottom"/>
          </w:tcPr>
          <w:p>
            <w:pPr>
              <w:ind w:left="560"/>
              <w:spacing w:after="0"/>
              <w:rPr>
                <w:sz w:val="20"/>
                <w:szCs w:val="20"/>
                <w:color w:val="auto"/>
              </w:rPr>
            </w:pPr>
            <w:r>
              <w:rPr>
                <w:rFonts w:ascii="Arial" w:cs="Arial" w:eastAsia="Arial" w:hAnsi="Arial"/>
                <w:sz w:val="13"/>
                <w:szCs w:val="13"/>
                <w:color w:val="auto"/>
                <w:w w:val="94"/>
              </w:rPr>
              <w:t>Indicate by check mark if the registrant is not required to file reports pursuant to Section 13 or Section 15(d) of the Act.</w:t>
            </w:r>
          </w:p>
        </w:tc>
        <w:tc>
          <w:tcPr>
            <w:tcW w:w="520" w:type="dxa"/>
            <w:vAlign w:val="bottom"/>
          </w:tcPr>
          <w:p>
            <w:pPr>
              <w:jc w:val="right"/>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340" w:type="dxa"/>
            <w:vAlign w:val="bottom"/>
          </w:tcPr>
          <w:p>
            <w:pPr>
              <w:ind w:left="140"/>
              <w:spacing w:after="0"/>
              <w:rPr>
                <w:sz w:val="20"/>
                <w:szCs w:val="20"/>
                <w:color w:val="auto"/>
              </w:rPr>
            </w:pPr>
            <w:r>
              <w:rPr>
                <w:rFonts w:ascii="Arial" w:cs="Arial" w:eastAsia="Arial" w:hAnsi="Arial"/>
                <w:sz w:val="13"/>
                <w:szCs w:val="13"/>
                <w:color w:val="auto"/>
              </w:rPr>
              <w:t>No</w:t>
            </w:r>
          </w:p>
        </w:tc>
        <w:tc>
          <w:tcPr>
            <w:tcW w:w="3320" w:type="dxa"/>
            <w:vAlign w:val="bottom"/>
          </w:tcPr>
          <w:p>
            <w:pPr>
              <w:ind w:left="2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w:t>
            </w:r>
          </w:p>
        </w:tc>
      </w:tr>
      <w:tr>
        <w:trPr>
          <w:trHeight w:val="148"/>
        </w:trPr>
        <w:tc>
          <w:tcPr>
            <w:tcW w:w="11200" w:type="dxa"/>
            <w:vAlign w:val="bottom"/>
            <w:gridSpan w:val="4"/>
          </w:tcPr>
          <w:p>
            <w:pPr>
              <w:ind w:left="560"/>
              <w:spacing w:after="0"/>
              <w:rPr>
                <w:sz w:val="20"/>
                <w:szCs w:val="20"/>
                <w:color w:val="auto"/>
              </w:rPr>
            </w:pPr>
            <w:r>
              <w:rPr>
                <w:rFonts w:ascii="Arial" w:cs="Arial" w:eastAsia="Arial" w:hAnsi="Arial"/>
                <w:sz w:val="13"/>
                <w:szCs w:val="13"/>
                <w:color w:val="auto"/>
                <w:w w:val="94"/>
              </w:rPr>
              <w:t>Indicate by check mark whether the registrant (1) has filed all reports required to be filed by Section 13 or 15(d) of the Securities Exchange Act of 1934 during the preceding 12 months (or for such</w:t>
            </w:r>
          </w:p>
        </w:tc>
      </w:tr>
      <w:tr>
        <w:trPr>
          <w:trHeight w:val="211"/>
        </w:trPr>
        <w:tc>
          <w:tcPr>
            <w:tcW w:w="7540" w:type="dxa"/>
            <w:vAlign w:val="bottom"/>
            <w:gridSpan w:val="2"/>
          </w:tcPr>
          <w:p>
            <w:pPr>
              <w:jc w:val="right"/>
              <w:spacing w:after="0"/>
              <w:rPr>
                <w:sz w:val="20"/>
                <w:szCs w:val="20"/>
                <w:color w:val="auto"/>
              </w:rPr>
            </w:pPr>
            <w:r>
              <w:rPr>
                <w:rFonts w:ascii="Arial" w:cs="Arial" w:eastAsia="Arial" w:hAnsi="Arial"/>
                <w:sz w:val="13"/>
                <w:szCs w:val="13"/>
                <w:color w:val="auto"/>
                <w:w w:val="93"/>
              </w:rPr>
              <w:t>shorter period that the registrant was required to file such reports), and (2) has been subject to such filing requirements for the past 90 days.</w:t>
            </w:r>
          </w:p>
        </w:tc>
        <w:tc>
          <w:tcPr>
            <w:tcW w:w="340" w:type="dxa"/>
            <w:vAlign w:val="bottom"/>
          </w:tcPr>
          <w:p>
            <w:pPr>
              <w:ind w:left="120"/>
              <w:spacing w:after="0"/>
              <w:rPr>
                <w:sz w:val="20"/>
                <w:szCs w:val="20"/>
                <w:color w:val="auto"/>
              </w:rPr>
            </w:pPr>
            <w:r>
              <w:rPr>
                <w:rFonts w:ascii="Arial" w:cs="Arial" w:eastAsia="Arial" w:hAnsi="Arial"/>
                <w:sz w:val="13"/>
                <w:szCs w:val="13"/>
                <w:color w:val="auto"/>
                <w:w w:val="89"/>
              </w:rPr>
              <w:t>Yes</w:t>
            </w:r>
          </w:p>
        </w:tc>
        <w:tc>
          <w:tcPr>
            <w:tcW w:w="3320" w:type="dxa"/>
            <w:vAlign w:val="bottom"/>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tc>
      </w:tr>
    </w:tbl>
    <w:p>
      <w:pPr>
        <w:spacing w:after="0" w:line="7" w:lineRule="exact"/>
        <w:rPr>
          <w:sz w:val="24"/>
          <w:szCs w:val="24"/>
          <w:color w:val="auto"/>
        </w:rPr>
      </w:pPr>
    </w:p>
    <w:p>
      <w:pPr>
        <w:ind w:right="140" w:firstLine="562"/>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6" w:lineRule="exact"/>
        <w:rPr>
          <w:sz w:val="24"/>
          <w:szCs w:val="24"/>
          <w:color w:val="auto"/>
        </w:rPr>
      </w:pPr>
    </w:p>
    <w:p>
      <w:pPr>
        <w:ind w:right="540" w:firstLine="562"/>
        <w:spacing w:after="0" w:line="167"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17" w:lineRule="exact"/>
        <w:rPr>
          <w:sz w:val="24"/>
          <w:szCs w:val="24"/>
          <w:color w:val="auto"/>
        </w:rPr>
      </w:pPr>
    </w:p>
    <w:p>
      <w:pPr>
        <w:ind w:right="140" w:firstLine="562"/>
        <w:spacing w:after="0" w:line="27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ectPr>
          <w:pgSz w:w="11900" w:h="16838" w:orient="portrait"/>
          <w:cols w:equalWidth="0" w:num="1">
            <w:col w:w="11200"/>
          </w:cols>
          <w:pgMar w:left="320" w:top="230" w:right="379" w:bottom="1440" w:gutter="0" w:footer="0" w:header="0"/>
        </w:sectPr>
      </w:pPr>
    </w:p>
    <w:p>
      <w:pPr>
        <w:spacing w:after="0" w:line="26" w:lineRule="exact"/>
        <w:rPr>
          <w:sz w:val="24"/>
          <w:szCs w:val="24"/>
          <w:color w:val="auto"/>
        </w:rPr>
      </w:pPr>
    </w:p>
    <w:p>
      <w:pPr>
        <w:ind w:left="46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19"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19"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96"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90" w:lineRule="exact"/>
        <w:rPr>
          <w:sz w:val="24"/>
          <w:szCs w:val="24"/>
          <w:color w:val="auto"/>
        </w:rPr>
      </w:pPr>
    </w:p>
    <w:p>
      <w:pPr>
        <w:sectPr>
          <w:pgSz w:w="11900" w:h="16838" w:orient="portrait"/>
          <w:cols w:equalWidth="0" w:num="8">
            <w:col w:w="1680" w:space="120"/>
            <w:col w:w="960" w:space="720"/>
            <w:col w:w="900" w:space="120"/>
            <w:col w:w="900" w:space="720"/>
            <w:col w:w="1140" w:space="140"/>
            <w:col w:w="860" w:space="720"/>
            <w:col w:w="1560" w:space="120"/>
            <w:col w:w="540"/>
          </w:cols>
          <w:pgMar w:left="320" w:top="230" w:right="379" w:bottom="1440" w:gutter="0" w:footer="0" w:header="0"/>
          <w:type w:val="continuous"/>
        </w:sectPr>
      </w:pPr>
    </w:p>
    <w:p>
      <w:pPr>
        <w:spacing w:after="0" w:line="17" w:lineRule="exact"/>
        <w:rPr>
          <w:sz w:val="24"/>
          <w:szCs w:val="24"/>
          <w:color w:val="auto"/>
        </w:rPr>
      </w:pPr>
    </w:p>
    <w:p>
      <w:pPr>
        <w:ind w:left="56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No</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w:t>
      </w:r>
    </w:p>
    <w:p>
      <w:pPr>
        <w:spacing w:after="0" w:line="80" w:lineRule="exact"/>
        <w:rPr>
          <w:sz w:val="24"/>
          <w:szCs w:val="24"/>
          <w:color w:val="auto"/>
        </w:rPr>
      </w:pPr>
    </w:p>
    <w:p>
      <w:pPr>
        <w:sectPr>
          <w:pgSz w:w="11900" w:h="16838" w:orient="portrait"/>
          <w:cols w:equalWidth="0" w:num="5">
            <w:col w:w="6700" w:space="120"/>
            <w:col w:w="200" w:space="60"/>
            <w:col w:w="120" w:space="140"/>
            <w:col w:w="180" w:space="60"/>
            <w:col w:w="3620"/>
          </w:cols>
          <w:pgMar w:left="320" w:top="230" w:right="379" w:bottom="1440" w:gutter="0" w:footer="0" w:header="0"/>
          <w:type w:val="continuous"/>
        </w:sectPr>
      </w:pPr>
    </w:p>
    <w:p>
      <w:pPr>
        <w:ind w:right="60" w:firstLine="562"/>
        <w:spacing w:after="0" w:line="256" w:lineRule="auto"/>
        <w:rPr>
          <w:sz w:val="20"/>
          <w:szCs w:val="20"/>
          <w:color w:val="auto"/>
        </w:rPr>
      </w:pPr>
      <w:r>
        <w:rPr>
          <w:rFonts w:ascii="Arial" w:cs="Arial" w:eastAsia="Arial" w:hAnsi="Arial"/>
          <w:sz w:val="13"/>
          <w:szCs w:val="13"/>
          <w:color w:val="auto"/>
        </w:rPr>
        <w:t>The aggregate market value of common stock held by non-affiliates of the Registrant on September 30, 2012 based on the closing price on that date of $10.61 on the NASDAQ Global Select Market was approximately $685.4 million. For the purposes of calculating this amount only, all directors and executive officers of the Registrant have been treated as affiliates. There were 66,356,911 shares of the Registrant’s common stock outstanding as of November 14, 2012.</w:t>
      </w:r>
    </w:p>
    <w:p>
      <w:pPr>
        <w:spacing w:after="0" w:line="21" w:lineRule="exact"/>
        <w:rPr>
          <w:sz w:val="24"/>
          <w:szCs w:val="24"/>
          <w:color w:val="auto"/>
        </w:rPr>
      </w:pPr>
    </w:p>
    <w:p>
      <w:pPr>
        <w:ind w:right="180" w:firstLine="562"/>
        <w:spacing w:after="0" w:line="274" w:lineRule="auto"/>
        <w:rPr>
          <w:sz w:val="20"/>
          <w:szCs w:val="20"/>
          <w:color w:val="auto"/>
        </w:rPr>
      </w:pPr>
      <w:r>
        <w:rPr>
          <w:rFonts w:ascii="Arial" w:cs="Arial" w:eastAsia="Arial" w:hAnsi="Arial"/>
          <w:sz w:val="13"/>
          <w:szCs w:val="13"/>
          <w:color w:val="auto"/>
        </w:rPr>
        <w:t>Documents Incorporated by Reference: Portions of the Registrant’s Proxy Statement relating to the Registrant’s 2013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tcPr>
          <w:p>
            <w:pPr>
              <w:spacing w:after="0"/>
              <w:rPr>
                <w:sz w:val="13"/>
                <w:szCs w:val="13"/>
                <w:color w:val="auto"/>
              </w:rPr>
            </w:pPr>
          </w:p>
        </w:tc>
        <w:tc>
          <w:tcPr>
            <w:tcW w:w="8300" w:type="dxa"/>
            <w:vAlign w:val="bottom"/>
          </w:tcPr>
          <w:p>
            <w:pPr>
              <w:jc w:val="center"/>
              <w:ind w:left="933"/>
              <w:spacing w:after="0"/>
              <w:rPr>
                <w:sz w:val="20"/>
                <w:szCs w:val="20"/>
                <w:color w:val="auto"/>
              </w:rPr>
            </w:pPr>
            <w:r>
              <w:rPr>
                <w:rFonts w:ascii="Arial" w:cs="Arial" w:eastAsia="Arial" w:hAnsi="Arial"/>
                <w:sz w:val="13"/>
                <w:szCs w:val="13"/>
                <w:b w:val="1"/>
                <w:bCs w:val="1"/>
                <w:color w:val="auto"/>
              </w:rPr>
              <w:t>PENNANTPARK INVESTMENT CORPORATION</w:t>
            </w:r>
          </w:p>
        </w:tc>
        <w:tc>
          <w:tcPr>
            <w:tcW w:w="1900" w:type="dxa"/>
            <w:vAlign w:val="bottom"/>
          </w:tcPr>
          <w:p>
            <w:pPr>
              <w:spacing w:after="0"/>
              <w:rPr>
                <w:sz w:val="13"/>
                <w:szCs w:val="13"/>
                <w:color w:val="auto"/>
              </w:rPr>
            </w:pPr>
          </w:p>
        </w:tc>
      </w:tr>
      <w:tr>
        <w:trPr>
          <w:trHeight w:val="149"/>
        </w:trPr>
        <w:tc>
          <w:tcPr>
            <w:tcW w:w="980" w:type="dxa"/>
            <w:vAlign w:val="bottom"/>
          </w:tcPr>
          <w:p>
            <w:pPr>
              <w:spacing w:after="0"/>
              <w:rPr>
                <w:sz w:val="12"/>
                <w:szCs w:val="12"/>
                <w:color w:val="auto"/>
              </w:rPr>
            </w:pPr>
          </w:p>
        </w:tc>
        <w:tc>
          <w:tcPr>
            <w:tcW w:w="8300" w:type="dxa"/>
            <w:vAlign w:val="bottom"/>
          </w:tcPr>
          <w:p>
            <w:pPr>
              <w:jc w:val="center"/>
              <w:ind w:left="913"/>
              <w:spacing w:after="0"/>
              <w:rPr>
                <w:sz w:val="20"/>
                <w:szCs w:val="20"/>
                <w:color w:val="auto"/>
              </w:rPr>
            </w:pPr>
            <w:r>
              <w:rPr>
                <w:rFonts w:ascii="Arial" w:cs="Arial" w:eastAsia="Arial" w:hAnsi="Arial"/>
                <w:sz w:val="13"/>
                <w:szCs w:val="13"/>
                <w:b w:val="1"/>
                <w:bCs w:val="1"/>
                <w:color w:val="auto"/>
              </w:rPr>
              <w:t>FORM 10-K</w:t>
            </w:r>
          </w:p>
        </w:tc>
        <w:tc>
          <w:tcPr>
            <w:tcW w:w="1900" w:type="dxa"/>
            <w:vAlign w:val="bottom"/>
          </w:tcPr>
          <w:p>
            <w:pPr>
              <w:spacing w:after="0"/>
              <w:rPr>
                <w:sz w:val="12"/>
                <w:szCs w:val="12"/>
                <w:color w:val="auto"/>
              </w:rPr>
            </w:pPr>
          </w:p>
        </w:tc>
      </w:tr>
      <w:tr>
        <w:trPr>
          <w:trHeight w:val="174"/>
        </w:trPr>
        <w:tc>
          <w:tcPr>
            <w:tcW w:w="980" w:type="dxa"/>
            <w:vAlign w:val="bottom"/>
          </w:tcPr>
          <w:p>
            <w:pPr>
              <w:spacing w:after="0"/>
              <w:rPr>
                <w:sz w:val="15"/>
                <w:szCs w:val="15"/>
                <w:color w:val="auto"/>
              </w:rPr>
            </w:pPr>
          </w:p>
        </w:tc>
        <w:tc>
          <w:tcPr>
            <w:tcW w:w="8300" w:type="dxa"/>
            <w:vAlign w:val="bottom"/>
          </w:tcPr>
          <w:p>
            <w:pPr>
              <w:jc w:val="center"/>
              <w:ind w:left="933"/>
              <w:spacing w:after="0"/>
              <w:rPr>
                <w:sz w:val="20"/>
                <w:szCs w:val="20"/>
                <w:color w:val="auto"/>
              </w:rPr>
            </w:pPr>
            <w:r>
              <w:rPr>
                <w:rFonts w:ascii="Arial" w:cs="Arial" w:eastAsia="Arial" w:hAnsi="Arial"/>
                <w:sz w:val="13"/>
                <w:szCs w:val="13"/>
                <w:b w:val="1"/>
                <w:bCs w:val="1"/>
                <w:color w:val="auto"/>
              </w:rPr>
              <w:t>FOR THE FISCAL YEAR ENDED SEPTEMBER 30, 2012</w:t>
            </w:r>
          </w:p>
        </w:tc>
        <w:tc>
          <w:tcPr>
            <w:tcW w:w="1900" w:type="dxa"/>
            <w:vAlign w:val="bottom"/>
          </w:tcPr>
          <w:p>
            <w:pPr>
              <w:spacing w:after="0"/>
              <w:rPr>
                <w:sz w:val="15"/>
                <w:szCs w:val="15"/>
                <w:color w:val="auto"/>
              </w:rPr>
            </w:pPr>
          </w:p>
        </w:tc>
      </w:tr>
      <w:tr>
        <w:trPr>
          <w:trHeight w:val="203"/>
        </w:trPr>
        <w:tc>
          <w:tcPr>
            <w:tcW w:w="980" w:type="dxa"/>
            <w:vAlign w:val="bottom"/>
          </w:tcPr>
          <w:p>
            <w:pPr>
              <w:spacing w:after="0"/>
              <w:rPr>
                <w:sz w:val="17"/>
                <w:szCs w:val="17"/>
                <w:color w:val="auto"/>
              </w:rPr>
            </w:pPr>
          </w:p>
        </w:tc>
        <w:tc>
          <w:tcPr>
            <w:tcW w:w="8300" w:type="dxa"/>
            <w:vAlign w:val="bottom"/>
          </w:tcPr>
          <w:p>
            <w:pPr>
              <w:jc w:val="center"/>
              <w:ind w:left="913"/>
              <w:spacing w:after="0"/>
              <w:rPr>
                <w:sz w:val="20"/>
                <w:szCs w:val="20"/>
                <w:color w:val="auto"/>
              </w:rPr>
            </w:pPr>
            <w:r>
              <w:rPr>
                <w:rFonts w:ascii="Arial" w:cs="Arial" w:eastAsia="Arial" w:hAnsi="Arial"/>
                <w:sz w:val="13"/>
                <w:szCs w:val="13"/>
                <w:b w:val="1"/>
                <w:bCs w:val="1"/>
                <w:color w:val="auto"/>
              </w:rPr>
              <w:t>TABLE OF CONTENTS</w:t>
            </w:r>
          </w:p>
        </w:tc>
        <w:tc>
          <w:tcPr>
            <w:tcW w:w="1900" w:type="dxa"/>
            <w:vAlign w:val="bottom"/>
          </w:tcPr>
          <w:p>
            <w:pPr>
              <w:spacing w:after="0"/>
              <w:rPr>
                <w:sz w:val="17"/>
                <w:szCs w:val="17"/>
                <w:color w:val="auto"/>
              </w:rPr>
            </w:pPr>
          </w:p>
        </w:tc>
      </w:tr>
      <w:tr>
        <w:trPr>
          <w:trHeight w:val="364"/>
        </w:trPr>
        <w:tc>
          <w:tcPr>
            <w:tcW w:w="980" w:type="dxa"/>
            <w:vAlign w:val="bottom"/>
          </w:tcPr>
          <w:p>
            <w:pPr>
              <w:spacing w:after="0"/>
              <w:rPr>
                <w:sz w:val="24"/>
                <w:szCs w:val="24"/>
                <w:color w:val="auto"/>
              </w:rPr>
            </w:pPr>
          </w:p>
        </w:tc>
        <w:tc>
          <w:tcPr>
            <w:tcW w:w="8300" w:type="dxa"/>
            <w:vAlign w:val="bottom"/>
          </w:tcPr>
          <w:p>
            <w:pPr>
              <w:jc w:val="center"/>
              <w:ind w:left="853"/>
              <w:spacing w:after="0"/>
              <w:rPr>
                <w:sz w:val="20"/>
                <w:szCs w:val="20"/>
                <w:color w:val="auto"/>
              </w:rPr>
            </w:pPr>
            <w:r>
              <w:rPr>
                <w:rFonts w:ascii="Arial" w:cs="Arial" w:eastAsia="Arial" w:hAnsi="Arial"/>
                <w:sz w:val="13"/>
                <w:szCs w:val="13"/>
                <w:b w:val="1"/>
                <w:bCs w:val="1"/>
                <w:color w:val="auto"/>
                <w:w w:val="98"/>
              </w:rPr>
              <w:t>PART I</w:t>
            </w:r>
          </w:p>
        </w:tc>
        <w:tc>
          <w:tcPr>
            <w:tcW w:w="1900" w:type="dxa"/>
            <w:vAlign w:val="bottom"/>
          </w:tcPr>
          <w:p>
            <w:pPr>
              <w:spacing w:after="0"/>
              <w:rPr>
                <w:sz w:val="24"/>
                <w:szCs w:val="24"/>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8300" w:type="dxa"/>
            <w:vAlign w:val="bottom"/>
          </w:tcPr>
          <w:p>
            <w:pPr>
              <w:ind w:left="460"/>
              <w:spacing w:after="0"/>
              <w:rPr>
                <w:rFonts w:ascii="Arial" w:cs="Arial" w:eastAsia="Arial" w:hAnsi="Arial"/>
                <w:sz w:val="13"/>
                <w:szCs w:val="13"/>
                <w:u w:val="single" w:color="auto"/>
                <w:color w:val="0000EE"/>
              </w:rPr>
            </w:pPr>
            <w:hyperlink w:anchor="page3">
              <w:r>
                <w:rPr>
                  <w:rFonts w:ascii="Arial" w:cs="Arial" w:eastAsia="Arial" w:hAnsi="Arial"/>
                  <w:sz w:val="13"/>
                  <w:szCs w:val="13"/>
                  <w:u w:val="single" w:color="auto"/>
                  <w:color w:val="0000EE"/>
                </w:rPr>
                <w:t>Business</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16"/>
        </w:trPr>
        <w:tc>
          <w:tcPr>
            <w:tcW w:w="980" w:type="dxa"/>
            <w:vAlign w:val="bottom"/>
          </w:tcPr>
          <w:p>
            <w:pPr>
              <w:spacing w:after="0"/>
              <w:rPr>
                <w:sz w:val="20"/>
                <w:szCs w:val="20"/>
                <w:color w:val="auto"/>
              </w:rPr>
            </w:pPr>
            <w:r>
              <w:rPr>
                <w:rFonts w:ascii="Arial" w:cs="Arial" w:eastAsia="Arial" w:hAnsi="Arial"/>
                <w:sz w:val="13"/>
                <w:szCs w:val="13"/>
                <w:b w:val="1"/>
                <w:bCs w:val="1"/>
                <w:color w:val="auto"/>
              </w:rPr>
              <w:t>Item 1A.</w:t>
            </w:r>
          </w:p>
        </w:tc>
        <w:tc>
          <w:tcPr>
            <w:tcW w:w="8300" w:type="dxa"/>
            <w:vAlign w:val="bottom"/>
          </w:tcPr>
          <w:p>
            <w:pPr>
              <w:ind w:left="460"/>
              <w:spacing w:after="0"/>
              <w:rPr>
                <w:rFonts w:ascii="Arial" w:cs="Arial" w:eastAsia="Arial" w:hAnsi="Arial"/>
                <w:sz w:val="13"/>
                <w:szCs w:val="13"/>
                <w:u w:val="single" w:color="auto"/>
                <w:color w:val="0000EE"/>
              </w:rPr>
            </w:pPr>
            <w:hyperlink w:anchor="page21">
              <w:r>
                <w:rPr>
                  <w:rFonts w:ascii="Arial" w:cs="Arial" w:eastAsia="Arial" w:hAnsi="Arial"/>
                  <w:sz w:val="13"/>
                  <w:szCs w:val="13"/>
                  <w:u w:val="single" w:color="auto"/>
                  <w:color w:val="0000EE"/>
                </w:rPr>
                <w:t>Risk Factors</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216"/>
        </w:trPr>
        <w:tc>
          <w:tcPr>
            <w:tcW w:w="980" w:type="dxa"/>
            <w:vAlign w:val="bottom"/>
          </w:tcPr>
          <w:p>
            <w:pPr>
              <w:spacing w:after="0"/>
              <w:rPr>
                <w:sz w:val="20"/>
                <w:szCs w:val="20"/>
                <w:color w:val="auto"/>
              </w:rPr>
            </w:pPr>
            <w:r>
              <w:rPr>
                <w:rFonts w:ascii="Arial" w:cs="Arial" w:eastAsia="Arial" w:hAnsi="Arial"/>
                <w:sz w:val="13"/>
                <w:szCs w:val="13"/>
                <w:b w:val="1"/>
                <w:bCs w:val="1"/>
                <w:color w:val="auto"/>
              </w:rPr>
              <w:t>Item 1B.</w:t>
            </w:r>
          </w:p>
        </w:tc>
        <w:tc>
          <w:tcPr>
            <w:tcW w:w="8300" w:type="dxa"/>
            <w:vAlign w:val="bottom"/>
          </w:tcPr>
          <w:p>
            <w:pPr>
              <w:ind w:left="460"/>
              <w:spacing w:after="0"/>
              <w:rPr>
                <w:rFonts w:ascii="Arial" w:cs="Arial" w:eastAsia="Arial" w:hAnsi="Arial"/>
                <w:sz w:val="13"/>
                <w:szCs w:val="13"/>
                <w:u w:val="single" w:color="auto"/>
                <w:color w:val="0000EE"/>
              </w:rPr>
            </w:pPr>
            <w:hyperlink w:anchor="page39">
              <w:r>
                <w:rPr>
                  <w:rFonts w:ascii="Arial" w:cs="Arial" w:eastAsia="Arial" w:hAnsi="Arial"/>
                  <w:sz w:val="13"/>
                  <w:szCs w:val="13"/>
                  <w:u w:val="single" w:color="auto"/>
                  <w:color w:val="0000EE"/>
                </w:rPr>
                <w:t>Unresolved Staff Comments</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216"/>
        </w:trPr>
        <w:tc>
          <w:tcPr>
            <w:tcW w:w="980" w:type="dxa"/>
            <w:vAlign w:val="bottom"/>
          </w:tcPr>
          <w:p>
            <w:pPr>
              <w:spacing w:after="0"/>
              <w:rPr>
                <w:sz w:val="20"/>
                <w:szCs w:val="20"/>
                <w:color w:val="auto"/>
              </w:rPr>
            </w:pPr>
            <w:r>
              <w:rPr>
                <w:rFonts w:ascii="Arial" w:cs="Arial" w:eastAsia="Arial" w:hAnsi="Arial"/>
                <w:sz w:val="13"/>
                <w:szCs w:val="13"/>
                <w:b w:val="1"/>
                <w:bCs w:val="1"/>
                <w:color w:val="auto"/>
              </w:rPr>
              <w:t>Item 2.</w:t>
            </w:r>
          </w:p>
        </w:tc>
        <w:tc>
          <w:tcPr>
            <w:tcW w:w="8300" w:type="dxa"/>
            <w:vAlign w:val="bottom"/>
          </w:tcPr>
          <w:p>
            <w:pPr>
              <w:ind w:left="460"/>
              <w:spacing w:after="0"/>
              <w:rPr>
                <w:rFonts w:ascii="Arial" w:cs="Arial" w:eastAsia="Arial" w:hAnsi="Arial"/>
                <w:sz w:val="13"/>
                <w:szCs w:val="13"/>
                <w:u w:val="single" w:color="auto"/>
                <w:color w:val="0000EE"/>
              </w:rPr>
            </w:pPr>
            <w:hyperlink w:anchor="page39">
              <w:r>
                <w:rPr>
                  <w:rFonts w:ascii="Arial" w:cs="Arial" w:eastAsia="Arial" w:hAnsi="Arial"/>
                  <w:sz w:val="13"/>
                  <w:szCs w:val="13"/>
                  <w:u w:val="single" w:color="auto"/>
                  <w:color w:val="0000EE"/>
                </w:rPr>
                <w:t>Properties</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216"/>
        </w:trPr>
        <w:tc>
          <w:tcPr>
            <w:tcW w:w="980" w:type="dxa"/>
            <w:vAlign w:val="bottom"/>
          </w:tcPr>
          <w:p>
            <w:pPr>
              <w:spacing w:after="0"/>
              <w:rPr>
                <w:sz w:val="20"/>
                <w:szCs w:val="20"/>
                <w:color w:val="auto"/>
              </w:rPr>
            </w:pPr>
            <w:r>
              <w:rPr>
                <w:rFonts w:ascii="Arial" w:cs="Arial" w:eastAsia="Arial" w:hAnsi="Arial"/>
                <w:sz w:val="13"/>
                <w:szCs w:val="13"/>
                <w:b w:val="1"/>
                <w:bCs w:val="1"/>
                <w:color w:val="auto"/>
              </w:rPr>
              <w:t>Item 3.</w:t>
            </w:r>
          </w:p>
        </w:tc>
        <w:tc>
          <w:tcPr>
            <w:tcW w:w="8300" w:type="dxa"/>
            <w:vAlign w:val="bottom"/>
          </w:tcPr>
          <w:p>
            <w:pPr>
              <w:ind w:left="460"/>
              <w:spacing w:after="0"/>
              <w:rPr>
                <w:rFonts w:ascii="Arial" w:cs="Arial" w:eastAsia="Arial" w:hAnsi="Arial"/>
                <w:sz w:val="13"/>
                <w:szCs w:val="13"/>
                <w:u w:val="single" w:color="auto"/>
                <w:color w:val="0000EE"/>
              </w:rPr>
            </w:pPr>
            <w:hyperlink w:anchor="page39">
              <w:r>
                <w:rPr>
                  <w:rFonts w:ascii="Arial" w:cs="Arial" w:eastAsia="Arial" w:hAnsi="Arial"/>
                  <w:sz w:val="13"/>
                  <w:szCs w:val="13"/>
                  <w:u w:val="single" w:color="auto"/>
                  <w:color w:val="0000EE"/>
                </w:rPr>
                <w:t>Legal Proceedings</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216"/>
        </w:trPr>
        <w:tc>
          <w:tcPr>
            <w:tcW w:w="980" w:type="dxa"/>
            <w:vAlign w:val="bottom"/>
          </w:tcPr>
          <w:p>
            <w:pPr>
              <w:spacing w:after="0"/>
              <w:rPr>
                <w:sz w:val="20"/>
                <w:szCs w:val="20"/>
                <w:color w:val="auto"/>
              </w:rPr>
            </w:pPr>
            <w:r>
              <w:rPr>
                <w:rFonts w:ascii="Arial" w:cs="Arial" w:eastAsia="Arial" w:hAnsi="Arial"/>
                <w:sz w:val="13"/>
                <w:szCs w:val="13"/>
                <w:b w:val="1"/>
                <w:bCs w:val="1"/>
                <w:color w:val="auto"/>
              </w:rPr>
              <w:t>Item 4.</w:t>
            </w:r>
          </w:p>
        </w:tc>
        <w:tc>
          <w:tcPr>
            <w:tcW w:w="8300" w:type="dxa"/>
            <w:vAlign w:val="bottom"/>
          </w:tcPr>
          <w:p>
            <w:pPr>
              <w:ind w:left="460"/>
              <w:spacing w:after="0"/>
              <w:rPr>
                <w:rFonts w:ascii="Arial" w:cs="Arial" w:eastAsia="Arial" w:hAnsi="Arial"/>
                <w:sz w:val="13"/>
                <w:szCs w:val="13"/>
                <w:u w:val="single" w:color="auto"/>
                <w:color w:val="0000EE"/>
              </w:rPr>
            </w:pPr>
            <w:hyperlink w:anchor="page39">
              <w:r>
                <w:rPr>
                  <w:rFonts w:ascii="Arial" w:cs="Arial" w:eastAsia="Arial" w:hAnsi="Arial"/>
                  <w:sz w:val="13"/>
                  <w:szCs w:val="13"/>
                  <w:u w:val="single" w:color="auto"/>
                  <w:color w:val="0000EE"/>
                </w:rPr>
                <w:t>Mine Safety Disclosures</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216"/>
        </w:trPr>
        <w:tc>
          <w:tcPr>
            <w:tcW w:w="980" w:type="dxa"/>
            <w:vAlign w:val="bottom"/>
          </w:tcPr>
          <w:p>
            <w:pPr>
              <w:spacing w:after="0"/>
              <w:rPr>
                <w:sz w:val="18"/>
                <w:szCs w:val="18"/>
                <w:color w:val="auto"/>
              </w:rPr>
            </w:pPr>
          </w:p>
        </w:tc>
        <w:tc>
          <w:tcPr>
            <w:tcW w:w="8300" w:type="dxa"/>
            <w:vAlign w:val="bottom"/>
          </w:tcPr>
          <w:p>
            <w:pPr>
              <w:jc w:val="center"/>
              <w:ind w:left="853"/>
              <w:spacing w:after="0"/>
              <w:rPr>
                <w:sz w:val="20"/>
                <w:szCs w:val="20"/>
                <w:color w:val="auto"/>
              </w:rPr>
            </w:pPr>
            <w:r>
              <w:rPr>
                <w:rFonts w:ascii="Arial" w:cs="Arial" w:eastAsia="Arial" w:hAnsi="Arial"/>
                <w:sz w:val="13"/>
                <w:szCs w:val="13"/>
                <w:b w:val="1"/>
                <w:bCs w:val="1"/>
                <w:color w:val="auto"/>
              </w:rPr>
              <w:t>PART II</w:t>
            </w:r>
          </w:p>
        </w:tc>
        <w:tc>
          <w:tcPr>
            <w:tcW w:w="190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3"/>
                <w:szCs w:val="13"/>
                <w:b w:val="1"/>
                <w:bCs w:val="1"/>
                <w:color w:val="auto"/>
              </w:rPr>
              <w:t>Item 5.</w:t>
            </w:r>
          </w:p>
        </w:tc>
        <w:tc>
          <w:tcPr>
            <w:tcW w:w="8300" w:type="dxa"/>
            <w:vAlign w:val="bottom"/>
          </w:tcPr>
          <w:p>
            <w:pPr>
              <w:ind w:left="460"/>
              <w:spacing w:after="0"/>
              <w:rPr>
                <w:rFonts w:ascii="Arial" w:cs="Arial" w:eastAsia="Arial" w:hAnsi="Arial"/>
                <w:sz w:val="13"/>
                <w:szCs w:val="13"/>
                <w:u w:val="single" w:color="auto"/>
                <w:color w:val="0000EE"/>
              </w:rPr>
            </w:pPr>
            <w:hyperlink w:anchor="page40">
              <w:r>
                <w:rPr>
                  <w:rFonts w:ascii="Arial" w:cs="Arial" w:eastAsia="Arial" w:hAnsi="Arial"/>
                  <w:sz w:val="13"/>
                  <w:szCs w:val="13"/>
                  <w:u w:val="single" w:color="auto"/>
                  <w:color w:val="0000EE"/>
                </w:rPr>
                <w:t>Market For Registrant’s Common Equity, Related Stockholder Matters and Issuer Purchases of Equity Securities</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216"/>
        </w:trPr>
        <w:tc>
          <w:tcPr>
            <w:tcW w:w="980" w:type="dxa"/>
            <w:vAlign w:val="bottom"/>
          </w:tcPr>
          <w:p>
            <w:pPr>
              <w:spacing w:after="0"/>
              <w:rPr>
                <w:sz w:val="20"/>
                <w:szCs w:val="20"/>
                <w:color w:val="auto"/>
              </w:rPr>
            </w:pPr>
            <w:r>
              <w:rPr>
                <w:rFonts w:ascii="Arial" w:cs="Arial" w:eastAsia="Arial" w:hAnsi="Arial"/>
                <w:sz w:val="13"/>
                <w:szCs w:val="13"/>
                <w:b w:val="1"/>
                <w:bCs w:val="1"/>
                <w:color w:val="auto"/>
              </w:rPr>
              <w:t>Item 6.</w:t>
            </w:r>
          </w:p>
        </w:tc>
        <w:tc>
          <w:tcPr>
            <w:tcW w:w="8300" w:type="dxa"/>
            <w:vAlign w:val="bottom"/>
          </w:tcPr>
          <w:p>
            <w:pPr>
              <w:ind w:left="460"/>
              <w:spacing w:after="0"/>
              <w:rPr>
                <w:rFonts w:ascii="Arial" w:cs="Arial" w:eastAsia="Arial" w:hAnsi="Arial"/>
                <w:sz w:val="13"/>
                <w:szCs w:val="13"/>
                <w:u w:val="single" w:color="auto"/>
                <w:color w:val="0000EE"/>
              </w:rPr>
            </w:pPr>
            <w:hyperlink w:anchor="page43">
              <w:r>
                <w:rPr>
                  <w:rFonts w:ascii="Arial" w:cs="Arial" w:eastAsia="Arial" w:hAnsi="Arial"/>
                  <w:sz w:val="13"/>
                  <w:szCs w:val="13"/>
                  <w:u w:val="single" w:color="auto"/>
                  <w:color w:val="0000EE"/>
                </w:rPr>
                <w:t>Selected Financial Data</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216"/>
        </w:trPr>
        <w:tc>
          <w:tcPr>
            <w:tcW w:w="980" w:type="dxa"/>
            <w:vAlign w:val="bottom"/>
          </w:tcPr>
          <w:p>
            <w:pPr>
              <w:spacing w:after="0"/>
              <w:rPr>
                <w:sz w:val="20"/>
                <w:szCs w:val="20"/>
                <w:color w:val="auto"/>
              </w:rPr>
            </w:pPr>
            <w:r>
              <w:rPr>
                <w:rFonts w:ascii="Arial" w:cs="Arial" w:eastAsia="Arial" w:hAnsi="Arial"/>
                <w:sz w:val="13"/>
                <w:szCs w:val="13"/>
                <w:b w:val="1"/>
                <w:bCs w:val="1"/>
                <w:color w:val="auto"/>
              </w:rPr>
              <w:t>Item 7.</w:t>
            </w:r>
          </w:p>
        </w:tc>
        <w:tc>
          <w:tcPr>
            <w:tcW w:w="8300" w:type="dxa"/>
            <w:vAlign w:val="bottom"/>
          </w:tcPr>
          <w:p>
            <w:pPr>
              <w:ind w:left="460"/>
              <w:spacing w:after="0"/>
              <w:rPr>
                <w:rFonts w:ascii="Arial" w:cs="Arial" w:eastAsia="Arial" w:hAnsi="Arial"/>
                <w:sz w:val="13"/>
                <w:szCs w:val="13"/>
                <w:u w:val="single" w:color="auto"/>
                <w:color w:val="0000EE"/>
              </w:rPr>
            </w:pPr>
            <w:hyperlink w:anchor="page44">
              <w:r>
                <w:rPr>
                  <w:rFonts w:ascii="Arial" w:cs="Arial" w:eastAsia="Arial" w:hAnsi="Arial"/>
                  <w:sz w:val="13"/>
                  <w:szCs w:val="13"/>
                  <w:u w:val="single" w:color="auto"/>
                  <w:color w:val="0000EE"/>
                </w:rPr>
                <w:t>Management’s Discussion and Analysis of Financial Condition and Results of Operations</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216"/>
        </w:trPr>
        <w:tc>
          <w:tcPr>
            <w:tcW w:w="980" w:type="dxa"/>
            <w:vAlign w:val="bottom"/>
          </w:tcPr>
          <w:p>
            <w:pPr>
              <w:spacing w:after="0"/>
              <w:rPr>
                <w:sz w:val="20"/>
                <w:szCs w:val="20"/>
                <w:color w:val="auto"/>
              </w:rPr>
            </w:pPr>
            <w:r>
              <w:rPr>
                <w:rFonts w:ascii="Arial" w:cs="Arial" w:eastAsia="Arial" w:hAnsi="Arial"/>
                <w:sz w:val="13"/>
                <w:szCs w:val="13"/>
                <w:b w:val="1"/>
                <w:bCs w:val="1"/>
                <w:color w:val="auto"/>
              </w:rPr>
              <w:t>Item 7A.</w:t>
            </w:r>
          </w:p>
        </w:tc>
        <w:tc>
          <w:tcPr>
            <w:tcW w:w="8300" w:type="dxa"/>
            <w:vAlign w:val="bottom"/>
          </w:tcPr>
          <w:p>
            <w:pPr>
              <w:ind w:left="460"/>
              <w:spacing w:after="0"/>
              <w:rPr>
                <w:rFonts w:ascii="Arial" w:cs="Arial" w:eastAsia="Arial" w:hAnsi="Arial"/>
                <w:sz w:val="13"/>
                <w:szCs w:val="13"/>
                <w:u w:val="single" w:color="auto"/>
                <w:color w:val="0000EE"/>
              </w:rPr>
            </w:pPr>
            <w:hyperlink w:anchor="page55">
              <w:r>
                <w:rPr>
                  <w:rFonts w:ascii="Arial" w:cs="Arial" w:eastAsia="Arial" w:hAnsi="Arial"/>
                  <w:sz w:val="13"/>
                  <w:szCs w:val="13"/>
                  <w:u w:val="single" w:color="auto"/>
                  <w:color w:val="0000EE"/>
                </w:rPr>
                <w:t>Quantitative And Qualitative Disclosures About Market Risk</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216"/>
        </w:trPr>
        <w:tc>
          <w:tcPr>
            <w:tcW w:w="980" w:type="dxa"/>
            <w:vAlign w:val="bottom"/>
          </w:tcPr>
          <w:p>
            <w:pPr>
              <w:spacing w:after="0"/>
              <w:rPr>
                <w:sz w:val="20"/>
                <w:szCs w:val="20"/>
                <w:color w:val="auto"/>
              </w:rPr>
            </w:pPr>
            <w:r>
              <w:rPr>
                <w:rFonts w:ascii="Arial" w:cs="Arial" w:eastAsia="Arial" w:hAnsi="Arial"/>
                <w:sz w:val="13"/>
                <w:szCs w:val="13"/>
                <w:b w:val="1"/>
                <w:bCs w:val="1"/>
                <w:color w:val="auto"/>
              </w:rPr>
              <w:t>Item 8.</w:t>
            </w:r>
          </w:p>
        </w:tc>
        <w:tc>
          <w:tcPr>
            <w:tcW w:w="8300" w:type="dxa"/>
            <w:vAlign w:val="bottom"/>
          </w:tcPr>
          <w:p>
            <w:pPr>
              <w:ind w:left="460"/>
              <w:spacing w:after="0"/>
              <w:rPr>
                <w:rFonts w:ascii="Arial" w:cs="Arial" w:eastAsia="Arial" w:hAnsi="Arial"/>
                <w:sz w:val="13"/>
                <w:szCs w:val="13"/>
                <w:u w:val="single" w:color="auto"/>
                <w:color w:val="0000EE"/>
              </w:rPr>
            </w:pPr>
            <w:hyperlink w:anchor="page56">
              <w:r>
                <w:rPr>
                  <w:rFonts w:ascii="Arial" w:cs="Arial" w:eastAsia="Arial" w:hAnsi="Arial"/>
                  <w:sz w:val="13"/>
                  <w:szCs w:val="13"/>
                  <w:u w:val="single" w:color="auto"/>
                  <w:color w:val="0000EE"/>
                </w:rPr>
                <w:t>Consolidated Financial Statements and Supplementary Data</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216"/>
        </w:trPr>
        <w:tc>
          <w:tcPr>
            <w:tcW w:w="980" w:type="dxa"/>
            <w:vAlign w:val="bottom"/>
          </w:tcPr>
          <w:p>
            <w:pPr>
              <w:spacing w:after="0"/>
              <w:rPr>
                <w:sz w:val="20"/>
                <w:szCs w:val="20"/>
                <w:color w:val="auto"/>
              </w:rPr>
            </w:pPr>
            <w:r>
              <w:rPr>
                <w:rFonts w:ascii="Arial" w:cs="Arial" w:eastAsia="Arial" w:hAnsi="Arial"/>
                <w:sz w:val="13"/>
                <w:szCs w:val="13"/>
                <w:b w:val="1"/>
                <w:bCs w:val="1"/>
                <w:color w:val="auto"/>
              </w:rPr>
              <w:t>Item 9.</w:t>
            </w:r>
          </w:p>
        </w:tc>
        <w:tc>
          <w:tcPr>
            <w:tcW w:w="8300" w:type="dxa"/>
            <w:vAlign w:val="bottom"/>
          </w:tcPr>
          <w:p>
            <w:pPr>
              <w:ind w:left="460"/>
              <w:spacing w:after="0"/>
              <w:rPr>
                <w:rFonts w:ascii="Arial" w:cs="Arial" w:eastAsia="Arial" w:hAnsi="Arial"/>
                <w:sz w:val="13"/>
                <w:szCs w:val="13"/>
                <w:u w:val="single" w:color="auto"/>
                <w:color w:val="0000EE"/>
              </w:rPr>
            </w:pPr>
            <w:hyperlink w:anchor="page86">
              <w:r>
                <w:rPr>
                  <w:rFonts w:ascii="Arial" w:cs="Arial" w:eastAsia="Arial" w:hAnsi="Arial"/>
                  <w:sz w:val="13"/>
                  <w:szCs w:val="13"/>
                  <w:u w:val="single" w:color="auto"/>
                  <w:color w:val="0000EE"/>
                </w:rPr>
                <w:t>Changes in and Disagreements with Accountants on Accounting and Financial Disclosure</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216"/>
        </w:trPr>
        <w:tc>
          <w:tcPr>
            <w:tcW w:w="980" w:type="dxa"/>
            <w:vAlign w:val="bottom"/>
          </w:tcPr>
          <w:p>
            <w:pPr>
              <w:spacing w:after="0"/>
              <w:rPr>
                <w:sz w:val="20"/>
                <w:szCs w:val="20"/>
                <w:color w:val="auto"/>
              </w:rPr>
            </w:pPr>
            <w:r>
              <w:rPr>
                <w:rFonts w:ascii="Arial" w:cs="Arial" w:eastAsia="Arial" w:hAnsi="Arial"/>
                <w:sz w:val="13"/>
                <w:szCs w:val="13"/>
                <w:b w:val="1"/>
                <w:bCs w:val="1"/>
                <w:color w:val="auto"/>
              </w:rPr>
              <w:t>Item 9A.</w:t>
            </w:r>
          </w:p>
        </w:tc>
        <w:tc>
          <w:tcPr>
            <w:tcW w:w="8300" w:type="dxa"/>
            <w:vAlign w:val="bottom"/>
          </w:tcPr>
          <w:p>
            <w:pPr>
              <w:ind w:left="460"/>
              <w:spacing w:after="0"/>
              <w:rPr>
                <w:rFonts w:ascii="Arial" w:cs="Arial" w:eastAsia="Arial" w:hAnsi="Arial"/>
                <w:sz w:val="13"/>
                <w:szCs w:val="13"/>
                <w:u w:val="single" w:color="auto"/>
                <w:color w:val="0000EE"/>
              </w:rPr>
            </w:pPr>
            <w:hyperlink w:anchor="page86">
              <w:r>
                <w:rPr>
                  <w:rFonts w:ascii="Arial" w:cs="Arial" w:eastAsia="Arial" w:hAnsi="Arial"/>
                  <w:sz w:val="13"/>
                  <w:szCs w:val="13"/>
                  <w:u w:val="single" w:color="auto"/>
                  <w:color w:val="0000EE"/>
                </w:rPr>
                <w:t>Controls and Procedures</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216"/>
        </w:trPr>
        <w:tc>
          <w:tcPr>
            <w:tcW w:w="980" w:type="dxa"/>
            <w:vAlign w:val="bottom"/>
          </w:tcPr>
          <w:p>
            <w:pPr>
              <w:spacing w:after="0"/>
              <w:rPr>
                <w:sz w:val="20"/>
                <w:szCs w:val="20"/>
                <w:color w:val="auto"/>
              </w:rPr>
            </w:pPr>
            <w:r>
              <w:rPr>
                <w:rFonts w:ascii="Arial" w:cs="Arial" w:eastAsia="Arial" w:hAnsi="Arial"/>
                <w:sz w:val="13"/>
                <w:szCs w:val="13"/>
                <w:b w:val="1"/>
                <w:bCs w:val="1"/>
                <w:color w:val="auto"/>
              </w:rPr>
              <w:t>Item 9B.</w:t>
            </w:r>
          </w:p>
        </w:tc>
        <w:tc>
          <w:tcPr>
            <w:tcW w:w="8300" w:type="dxa"/>
            <w:vAlign w:val="bottom"/>
          </w:tcPr>
          <w:p>
            <w:pPr>
              <w:ind w:left="460"/>
              <w:spacing w:after="0"/>
              <w:rPr>
                <w:rFonts w:ascii="Arial" w:cs="Arial" w:eastAsia="Arial" w:hAnsi="Arial"/>
                <w:sz w:val="13"/>
                <w:szCs w:val="13"/>
                <w:u w:val="single" w:color="auto"/>
                <w:color w:val="0000EE"/>
              </w:rPr>
            </w:pPr>
            <w:hyperlink w:anchor="page86">
              <w:r>
                <w:rPr>
                  <w:rFonts w:ascii="Arial" w:cs="Arial" w:eastAsia="Arial" w:hAnsi="Arial"/>
                  <w:sz w:val="13"/>
                  <w:szCs w:val="13"/>
                  <w:u w:val="single" w:color="auto"/>
                  <w:color w:val="0000EE"/>
                </w:rPr>
                <w:t>Other Information</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216"/>
        </w:trPr>
        <w:tc>
          <w:tcPr>
            <w:tcW w:w="980" w:type="dxa"/>
            <w:vAlign w:val="bottom"/>
          </w:tcPr>
          <w:p>
            <w:pPr>
              <w:spacing w:after="0"/>
              <w:rPr>
                <w:sz w:val="18"/>
                <w:szCs w:val="18"/>
                <w:color w:val="auto"/>
              </w:rPr>
            </w:pPr>
          </w:p>
        </w:tc>
        <w:tc>
          <w:tcPr>
            <w:tcW w:w="8300" w:type="dxa"/>
            <w:vAlign w:val="bottom"/>
          </w:tcPr>
          <w:p>
            <w:pPr>
              <w:jc w:val="center"/>
              <w:ind w:left="853"/>
              <w:spacing w:after="0"/>
              <w:rPr>
                <w:sz w:val="20"/>
                <w:szCs w:val="20"/>
                <w:color w:val="auto"/>
              </w:rPr>
            </w:pPr>
            <w:r>
              <w:rPr>
                <w:rFonts w:ascii="Arial" w:cs="Arial" w:eastAsia="Arial" w:hAnsi="Arial"/>
                <w:sz w:val="13"/>
                <w:szCs w:val="13"/>
                <w:b w:val="1"/>
                <w:bCs w:val="1"/>
                <w:color w:val="auto"/>
              </w:rPr>
              <w:t>PART III</w:t>
            </w:r>
          </w:p>
        </w:tc>
        <w:tc>
          <w:tcPr>
            <w:tcW w:w="190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3"/>
                <w:szCs w:val="13"/>
                <w:b w:val="1"/>
                <w:bCs w:val="1"/>
                <w:color w:val="auto"/>
              </w:rPr>
              <w:t>Item 10.</w:t>
            </w:r>
          </w:p>
        </w:tc>
        <w:tc>
          <w:tcPr>
            <w:tcW w:w="8300" w:type="dxa"/>
            <w:vAlign w:val="bottom"/>
          </w:tcPr>
          <w:p>
            <w:pPr>
              <w:ind w:left="460"/>
              <w:spacing w:after="0"/>
              <w:rPr>
                <w:rFonts w:ascii="Arial" w:cs="Arial" w:eastAsia="Arial" w:hAnsi="Arial"/>
                <w:sz w:val="13"/>
                <w:szCs w:val="13"/>
                <w:u w:val="single" w:color="auto"/>
                <w:color w:val="0000EE"/>
              </w:rPr>
            </w:pPr>
            <w:hyperlink w:anchor="page87">
              <w:r>
                <w:rPr>
                  <w:rFonts w:ascii="Arial" w:cs="Arial" w:eastAsia="Arial" w:hAnsi="Arial"/>
                  <w:sz w:val="13"/>
                  <w:szCs w:val="13"/>
                  <w:u w:val="single" w:color="auto"/>
                  <w:color w:val="0000EE"/>
                </w:rPr>
                <w:t>Directors, Executive Officers and Corporate Governance</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216"/>
        </w:trPr>
        <w:tc>
          <w:tcPr>
            <w:tcW w:w="980" w:type="dxa"/>
            <w:vAlign w:val="bottom"/>
          </w:tcPr>
          <w:p>
            <w:pPr>
              <w:spacing w:after="0"/>
              <w:rPr>
                <w:sz w:val="20"/>
                <w:szCs w:val="20"/>
                <w:color w:val="auto"/>
              </w:rPr>
            </w:pPr>
            <w:r>
              <w:rPr>
                <w:rFonts w:ascii="Arial" w:cs="Arial" w:eastAsia="Arial" w:hAnsi="Arial"/>
                <w:sz w:val="13"/>
                <w:szCs w:val="13"/>
                <w:b w:val="1"/>
                <w:bCs w:val="1"/>
                <w:color w:val="auto"/>
              </w:rPr>
              <w:t>Item 11.</w:t>
            </w:r>
          </w:p>
        </w:tc>
        <w:tc>
          <w:tcPr>
            <w:tcW w:w="8300" w:type="dxa"/>
            <w:vAlign w:val="bottom"/>
          </w:tcPr>
          <w:p>
            <w:pPr>
              <w:ind w:left="460"/>
              <w:spacing w:after="0"/>
              <w:rPr>
                <w:rFonts w:ascii="Arial" w:cs="Arial" w:eastAsia="Arial" w:hAnsi="Arial"/>
                <w:sz w:val="13"/>
                <w:szCs w:val="13"/>
                <w:u w:val="single" w:color="auto"/>
                <w:color w:val="0000EE"/>
              </w:rPr>
            </w:pPr>
            <w:hyperlink w:anchor="page87">
              <w:r>
                <w:rPr>
                  <w:rFonts w:ascii="Arial" w:cs="Arial" w:eastAsia="Arial" w:hAnsi="Arial"/>
                  <w:sz w:val="13"/>
                  <w:szCs w:val="13"/>
                  <w:u w:val="single" w:color="auto"/>
                  <w:color w:val="0000EE"/>
                </w:rPr>
                <w:t>Executive Compensation</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216"/>
        </w:trPr>
        <w:tc>
          <w:tcPr>
            <w:tcW w:w="980" w:type="dxa"/>
            <w:vAlign w:val="bottom"/>
          </w:tcPr>
          <w:p>
            <w:pPr>
              <w:spacing w:after="0"/>
              <w:rPr>
                <w:sz w:val="20"/>
                <w:szCs w:val="20"/>
                <w:color w:val="auto"/>
              </w:rPr>
            </w:pPr>
            <w:r>
              <w:rPr>
                <w:rFonts w:ascii="Arial" w:cs="Arial" w:eastAsia="Arial" w:hAnsi="Arial"/>
                <w:sz w:val="13"/>
                <w:szCs w:val="13"/>
                <w:b w:val="1"/>
                <w:bCs w:val="1"/>
                <w:color w:val="auto"/>
              </w:rPr>
              <w:t>Item 12.</w:t>
            </w:r>
          </w:p>
        </w:tc>
        <w:tc>
          <w:tcPr>
            <w:tcW w:w="8300" w:type="dxa"/>
            <w:vAlign w:val="bottom"/>
          </w:tcPr>
          <w:p>
            <w:pPr>
              <w:ind w:left="460"/>
              <w:spacing w:after="0"/>
              <w:rPr>
                <w:rFonts w:ascii="Arial" w:cs="Arial" w:eastAsia="Arial" w:hAnsi="Arial"/>
                <w:sz w:val="13"/>
                <w:szCs w:val="13"/>
                <w:u w:val="single" w:color="auto"/>
                <w:color w:val="0000EE"/>
              </w:rPr>
            </w:pPr>
            <w:hyperlink w:anchor="page87">
              <w:r>
                <w:rPr>
                  <w:rFonts w:ascii="Arial" w:cs="Arial" w:eastAsia="Arial" w:hAnsi="Arial"/>
                  <w:sz w:val="13"/>
                  <w:szCs w:val="13"/>
                  <w:u w:val="single" w:color="auto"/>
                  <w:color w:val="0000EE"/>
                </w:rPr>
                <w:t>Security Ownership of Certain Beneficial Owners and Management and Related Stockholder Matters</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216"/>
        </w:trPr>
        <w:tc>
          <w:tcPr>
            <w:tcW w:w="980" w:type="dxa"/>
            <w:vAlign w:val="bottom"/>
          </w:tcPr>
          <w:p>
            <w:pPr>
              <w:spacing w:after="0"/>
              <w:rPr>
                <w:sz w:val="20"/>
                <w:szCs w:val="20"/>
                <w:color w:val="auto"/>
              </w:rPr>
            </w:pPr>
            <w:r>
              <w:rPr>
                <w:rFonts w:ascii="Arial" w:cs="Arial" w:eastAsia="Arial" w:hAnsi="Arial"/>
                <w:sz w:val="13"/>
                <w:szCs w:val="13"/>
                <w:b w:val="1"/>
                <w:bCs w:val="1"/>
                <w:color w:val="auto"/>
              </w:rPr>
              <w:t>Item 13.</w:t>
            </w:r>
          </w:p>
        </w:tc>
        <w:tc>
          <w:tcPr>
            <w:tcW w:w="8300" w:type="dxa"/>
            <w:vAlign w:val="bottom"/>
          </w:tcPr>
          <w:p>
            <w:pPr>
              <w:ind w:left="460"/>
              <w:spacing w:after="0"/>
              <w:rPr>
                <w:rFonts w:ascii="Arial" w:cs="Arial" w:eastAsia="Arial" w:hAnsi="Arial"/>
                <w:sz w:val="13"/>
                <w:szCs w:val="13"/>
                <w:u w:val="single" w:color="auto"/>
                <w:color w:val="0000EE"/>
              </w:rPr>
            </w:pPr>
            <w:hyperlink w:anchor="page87">
              <w:r>
                <w:rPr>
                  <w:rFonts w:ascii="Arial" w:cs="Arial" w:eastAsia="Arial" w:hAnsi="Arial"/>
                  <w:sz w:val="13"/>
                  <w:szCs w:val="13"/>
                  <w:u w:val="single" w:color="auto"/>
                  <w:color w:val="0000EE"/>
                </w:rPr>
                <w:t>Certain Relationships and Related Transactions, and Director Independence</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216"/>
        </w:trPr>
        <w:tc>
          <w:tcPr>
            <w:tcW w:w="980" w:type="dxa"/>
            <w:vAlign w:val="bottom"/>
          </w:tcPr>
          <w:p>
            <w:pPr>
              <w:spacing w:after="0"/>
              <w:rPr>
                <w:sz w:val="20"/>
                <w:szCs w:val="20"/>
                <w:color w:val="auto"/>
              </w:rPr>
            </w:pPr>
            <w:r>
              <w:rPr>
                <w:rFonts w:ascii="Arial" w:cs="Arial" w:eastAsia="Arial" w:hAnsi="Arial"/>
                <w:sz w:val="13"/>
                <w:szCs w:val="13"/>
                <w:b w:val="1"/>
                <w:bCs w:val="1"/>
                <w:color w:val="auto"/>
              </w:rPr>
              <w:t>Item 14.</w:t>
            </w:r>
          </w:p>
        </w:tc>
        <w:tc>
          <w:tcPr>
            <w:tcW w:w="8300" w:type="dxa"/>
            <w:vAlign w:val="bottom"/>
          </w:tcPr>
          <w:p>
            <w:pPr>
              <w:ind w:left="460"/>
              <w:spacing w:after="0"/>
              <w:rPr>
                <w:rFonts w:ascii="Arial" w:cs="Arial" w:eastAsia="Arial" w:hAnsi="Arial"/>
                <w:sz w:val="13"/>
                <w:szCs w:val="13"/>
                <w:u w:val="single" w:color="auto"/>
                <w:color w:val="0000EE"/>
              </w:rPr>
            </w:pPr>
            <w:hyperlink w:anchor="page87">
              <w:r>
                <w:rPr>
                  <w:rFonts w:ascii="Arial" w:cs="Arial" w:eastAsia="Arial" w:hAnsi="Arial"/>
                  <w:sz w:val="13"/>
                  <w:szCs w:val="13"/>
                  <w:u w:val="single" w:color="auto"/>
                  <w:color w:val="0000EE"/>
                </w:rPr>
                <w:t>Principal Accountant Fees and Services</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216"/>
        </w:trPr>
        <w:tc>
          <w:tcPr>
            <w:tcW w:w="980" w:type="dxa"/>
            <w:vAlign w:val="bottom"/>
          </w:tcPr>
          <w:p>
            <w:pPr>
              <w:spacing w:after="0"/>
              <w:rPr>
                <w:sz w:val="18"/>
                <w:szCs w:val="18"/>
                <w:color w:val="auto"/>
              </w:rPr>
            </w:pPr>
          </w:p>
        </w:tc>
        <w:tc>
          <w:tcPr>
            <w:tcW w:w="8300" w:type="dxa"/>
            <w:vAlign w:val="bottom"/>
          </w:tcPr>
          <w:p>
            <w:pPr>
              <w:jc w:val="center"/>
              <w:ind w:left="853"/>
              <w:spacing w:after="0"/>
              <w:rPr>
                <w:sz w:val="20"/>
                <w:szCs w:val="20"/>
                <w:color w:val="auto"/>
              </w:rPr>
            </w:pPr>
            <w:r>
              <w:rPr>
                <w:rFonts w:ascii="Arial" w:cs="Arial" w:eastAsia="Arial" w:hAnsi="Arial"/>
                <w:sz w:val="13"/>
                <w:szCs w:val="13"/>
                <w:b w:val="1"/>
                <w:bCs w:val="1"/>
                <w:color w:val="auto"/>
              </w:rPr>
              <w:t>PART IV</w:t>
            </w:r>
          </w:p>
        </w:tc>
        <w:tc>
          <w:tcPr>
            <w:tcW w:w="190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3"/>
                <w:szCs w:val="13"/>
                <w:b w:val="1"/>
                <w:bCs w:val="1"/>
                <w:color w:val="auto"/>
              </w:rPr>
              <w:t>Item 15.</w:t>
            </w:r>
          </w:p>
        </w:tc>
        <w:tc>
          <w:tcPr>
            <w:tcW w:w="8300" w:type="dxa"/>
            <w:vAlign w:val="bottom"/>
          </w:tcPr>
          <w:p>
            <w:pPr>
              <w:ind w:left="460"/>
              <w:spacing w:after="0"/>
              <w:rPr>
                <w:rFonts w:ascii="Arial" w:cs="Arial" w:eastAsia="Arial" w:hAnsi="Arial"/>
                <w:sz w:val="13"/>
                <w:szCs w:val="13"/>
                <w:u w:val="single" w:color="auto"/>
                <w:color w:val="0000EE"/>
              </w:rPr>
            </w:pPr>
            <w:hyperlink w:anchor="page88">
              <w:r>
                <w:rPr>
                  <w:rFonts w:ascii="Arial" w:cs="Arial" w:eastAsia="Arial" w:hAnsi="Arial"/>
                  <w:sz w:val="13"/>
                  <w:szCs w:val="13"/>
                  <w:u w:val="single" w:color="auto"/>
                  <w:color w:val="0000EE"/>
                </w:rPr>
                <w:t>Exhibits and Financial Statement Schedules</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216"/>
        </w:trPr>
        <w:tc>
          <w:tcPr>
            <w:tcW w:w="980" w:type="dxa"/>
            <w:vAlign w:val="bottom"/>
          </w:tcPr>
          <w:p>
            <w:pPr>
              <w:spacing w:after="0"/>
              <w:rPr>
                <w:sz w:val="18"/>
                <w:szCs w:val="18"/>
                <w:color w:val="auto"/>
              </w:rPr>
            </w:pPr>
          </w:p>
        </w:tc>
        <w:tc>
          <w:tcPr>
            <w:tcW w:w="8300" w:type="dxa"/>
            <w:vAlign w:val="bottom"/>
          </w:tcPr>
          <w:p>
            <w:pPr>
              <w:ind w:left="460"/>
              <w:spacing w:after="0"/>
              <w:rPr>
                <w:rFonts w:ascii="Arial" w:cs="Arial" w:eastAsia="Arial" w:hAnsi="Arial"/>
                <w:sz w:val="13"/>
                <w:szCs w:val="13"/>
                <w:u w:val="single" w:color="auto"/>
                <w:color w:val="0000EE"/>
              </w:rPr>
            </w:pPr>
            <w:hyperlink w:anchor="page89">
              <w:r>
                <w:rPr>
                  <w:rFonts w:ascii="Arial" w:cs="Arial" w:eastAsia="Arial" w:hAnsi="Arial"/>
                  <w:sz w:val="13"/>
                  <w:szCs w:val="13"/>
                  <w:u w:val="single" w:color="auto"/>
                  <w:color w:val="0000EE"/>
                </w:rPr>
                <w:t>Signatures</w:t>
              </w:r>
            </w:hyperlink>
          </w:p>
        </w:tc>
        <w:tc>
          <w:tcPr>
            <w:tcW w:w="1900" w:type="dxa"/>
            <w:vAlign w:val="bottom"/>
          </w:tcPr>
          <w:p>
            <w:pPr>
              <w:jc w:val="right"/>
              <w:spacing w:after="0"/>
              <w:rPr>
                <w:sz w:val="20"/>
                <w:szCs w:val="20"/>
                <w:color w:val="auto"/>
              </w:rPr>
            </w:pPr>
            <w:r>
              <w:rPr>
                <w:rFonts w:ascii="Arial" w:cs="Arial" w:eastAsia="Arial" w:hAnsi="Arial"/>
                <w:sz w:val="13"/>
                <w:szCs w:val="13"/>
                <w:color w:val="auto"/>
              </w:rPr>
              <w:t>87</w:t>
            </w:r>
          </w:p>
        </w:tc>
      </w:tr>
    </w:tbl>
    <w:p>
      <w:pPr>
        <w:sectPr>
          <w:pgSz w:w="11900" w:h="16838" w:orient="portrait"/>
          <w:cols w:equalWidth="0" w:num="1">
            <w:col w:w="11180"/>
          </w:cols>
          <w:pgMar w:left="320" w:top="459" w:right="3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PART I</w:t>
      </w:r>
    </w:p>
    <w:p>
      <w:pPr>
        <w:spacing w:after="0" w:line="136" w:lineRule="exact"/>
        <w:rPr>
          <w:sz w:val="20"/>
          <w:szCs w:val="20"/>
          <w:color w:val="auto"/>
        </w:rPr>
      </w:pPr>
    </w:p>
    <w:p>
      <w:pPr>
        <w:ind w:right="260" w:firstLine="562"/>
        <w:spacing w:after="0" w:line="268" w:lineRule="auto"/>
        <w:rPr>
          <w:sz w:val="20"/>
          <w:szCs w:val="20"/>
          <w:color w:val="auto"/>
        </w:rPr>
      </w:pPr>
      <w:r>
        <w:rPr>
          <w:rFonts w:ascii="Arial" w:cs="Arial" w:eastAsia="Arial" w:hAnsi="Arial"/>
          <w:sz w:val="12"/>
          <w:szCs w:val="12"/>
          <w:b w:val="1"/>
          <w:bCs w:val="1"/>
          <w:i w:val="1"/>
          <w:iCs w:val="1"/>
          <w:color w:val="auto"/>
        </w:rPr>
        <w:t>In this annual report on Form 10-K, or the Report, except where the context suggests otherwise, the terms “we,” “us” or “our” refer to PennantPark Investment Corporation and its consolidated subsidiaries; references to “PennantPark Investment” refer only to PennantPark Investment Corporation; “SBIC LP” and “our SBIC” refer to our wholly owned, consolidated Small Business Investment Company, or “SBIC,” subsidiary, PennantPark SBIC LP and its general partner PennantPark SBIC GP, LLC or “SBIC GP”; “PennantPark Investment Advisers” or the “Investment Adviser” refers to PennantPark Investment Advisers, LLC; “PennantPark Investment Administration” or the “Administrator” refers to PennantPark Investment Administration, LLC. References to our portfolio and investments include investments we make through our consolidated subsidiaries.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242"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color w:val="auto"/>
        </w:rPr>
        <w:t>Business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General Business of PennantPark Investment Corporation</w:t>
      </w:r>
    </w:p>
    <w:p>
      <w:pPr>
        <w:spacing w:after="0" w:line="80" w:lineRule="exact"/>
        <w:rPr>
          <w:sz w:val="20"/>
          <w:szCs w:val="20"/>
          <w:color w:val="auto"/>
        </w:rPr>
      </w:pPr>
    </w:p>
    <w:p>
      <w:pPr>
        <w:ind w:right="580" w:firstLine="562"/>
        <w:spacing w:after="0" w:line="274" w:lineRule="auto"/>
        <w:rPr>
          <w:sz w:val="20"/>
          <w:szCs w:val="20"/>
          <w:color w:val="auto"/>
        </w:rPr>
      </w:pPr>
      <w:r>
        <w:rPr>
          <w:rFonts w:ascii="Arial" w:cs="Arial" w:eastAsia="Arial" w:hAnsi="Arial"/>
          <w:sz w:val="13"/>
          <w:szCs w:val="13"/>
          <w:color w:val="auto"/>
        </w:rPr>
        <w:t>PennantPark Investment Corporation is a business development company, or BDC, whose objectives are to generate both current income and capital appreciation through debt and equity investments primarily in U.S. middle-market companies in the form of senior secured loans, mezzanine debt and equity investments.</w:t>
      </w:r>
    </w:p>
    <w:p>
      <w:pPr>
        <w:spacing w:after="0" w:line="91" w:lineRule="exact"/>
        <w:rPr>
          <w:sz w:val="20"/>
          <w:szCs w:val="20"/>
          <w:color w:val="auto"/>
        </w:rPr>
      </w:pPr>
    </w:p>
    <w:p>
      <w:pPr>
        <w:ind w:right="120" w:firstLine="562"/>
        <w:spacing w:after="0" w:line="245" w:lineRule="auto"/>
        <w:rPr>
          <w:sz w:val="20"/>
          <w:szCs w:val="20"/>
          <w:color w:val="auto"/>
        </w:rPr>
      </w:pPr>
      <w:r>
        <w:rPr>
          <w:rFonts w:ascii="Arial" w:cs="Arial" w:eastAsia="Arial" w:hAnsi="Arial"/>
          <w:sz w:val="13"/>
          <w:szCs w:val="13"/>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0" w:lineRule="exact"/>
        <w:rPr>
          <w:sz w:val="20"/>
          <w:szCs w:val="20"/>
          <w:color w:val="auto"/>
        </w:rPr>
      </w:pPr>
    </w:p>
    <w:p>
      <w:pPr>
        <w:ind w:right="60" w:firstLine="562"/>
        <w:spacing w:after="0" w:line="245" w:lineRule="auto"/>
        <w:rPr>
          <w:sz w:val="20"/>
          <w:szCs w:val="20"/>
          <w:color w:val="auto"/>
        </w:rPr>
      </w:pPr>
      <w:r>
        <w:rPr>
          <w:rFonts w:ascii="Arial" w:cs="Arial" w:eastAsia="Arial" w:hAnsi="Arial"/>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several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or Credit Facility, the Small Business Administration, or SBA, debentures, proceeds from the rotation of our portfolio and proceeds from public and private offerings of securities to finance our investment objectives.</w:t>
      </w:r>
    </w:p>
    <w:p>
      <w:pPr>
        <w:spacing w:after="0" w:line="110" w:lineRule="exact"/>
        <w:rPr>
          <w:sz w:val="20"/>
          <w:szCs w:val="20"/>
          <w:color w:val="auto"/>
        </w:rPr>
      </w:pPr>
    </w:p>
    <w:p>
      <w:pPr>
        <w:ind w:right="60" w:firstLine="562"/>
        <w:spacing w:after="0" w:line="250" w:lineRule="auto"/>
        <w:rPr>
          <w:sz w:val="20"/>
          <w:szCs w:val="20"/>
          <w:color w:val="auto"/>
        </w:rPr>
      </w:pPr>
      <w:r>
        <w:rPr>
          <w:rFonts w:ascii="Arial" w:cs="Arial" w:eastAsia="Arial" w:hAnsi="Arial"/>
          <w:sz w:val="13"/>
          <w:szCs w:val="13"/>
          <w:color w:val="auto"/>
        </w:rPr>
        <w:t>As of September 30, 2012, our portfolio totaled $990.5 million and consisted of $291.7 million of senior secured loans, $191.3 million of second lien secured debt, $400.7 million of subordinated debt and $106.8 million of preferred and common equity investments. Our debt portfolio consisted of 69% fixed-rate and 31% variable-rate investments (including 26% with a London Interbank Offered Rate, or LIBOR, or prime floor). Our overall portfolio consisted of 54 companies with an average investment size of $18.3 million, a weighted average yield on debt investments of 13.2%, and was invested 30% in senior secured loans, 19% in second lien secured debt, 40% in subordinated debt and 11% in preferred and common equity investments.</w:t>
      </w:r>
    </w:p>
    <w:p>
      <w:pPr>
        <w:spacing w:after="0" w:line="106" w:lineRule="exact"/>
        <w:rPr>
          <w:sz w:val="20"/>
          <w:szCs w:val="20"/>
          <w:color w:val="auto"/>
        </w:rPr>
      </w:pPr>
    </w:p>
    <w:p>
      <w:pPr>
        <w:ind w:right="100" w:firstLine="562"/>
        <w:spacing w:after="0" w:line="250" w:lineRule="auto"/>
        <w:rPr>
          <w:sz w:val="20"/>
          <w:szCs w:val="20"/>
          <w:color w:val="auto"/>
        </w:rPr>
      </w:pPr>
      <w:r>
        <w:rPr>
          <w:rFonts w:ascii="Arial" w:cs="Arial" w:eastAsia="Arial" w:hAnsi="Arial"/>
          <w:sz w:val="13"/>
          <w:szCs w:val="13"/>
          <w:color w:val="auto"/>
        </w:rPr>
        <w:t>As of September 30, 2011, our portfolio totaled $827.5 million and consisted of $296.5 million of senior secured loans, $165.3 million of second lien secured debt, $309.3 million of subordinated debt and $56.4 million of preferred and common equity investments. Our debt portfolio consisted of 61% fixed-rate and 39% variable-rate investments (including 31% with a LIBOR or prime floor). Our overall portfolio consisted of 48 companies with an average investment size of $17.2 million, a weighted average yield on debt investments of 13.3%, and was invested 36% in senior secured loans, 20% in second lien secured debt, 37% in subordinated debt and 7% in preferred and common equity investments.</w:t>
      </w:r>
    </w:p>
    <w:p>
      <w:pPr>
        <w:spacing w:after="0" w:line="106" w:lineRule="exact"/>
        <w:rPr>
          <w:sz w:val="20"/>
          <w:szCs w:val="20"/>
          <w:color w:val="auto"/>
        </w:rPr>
      </w:pPr>
    </w:p>
    <w:p>
      <w:pPr>
        <w:ind w:firstLine="562"/>
        <w:spacing w:after="0" w:line="288" w:lineRule="auto"/>
        <w:rPr>
          <w:sz w:val="20"/>
          <w:szCs w:val="20"/>
          <w:color w:val="auto"/>
        </w:rPr>
      </w:pPr>
      <w:r>
        <w:rPr>
          <w:rFonts w:ascii="Arial" w:cs="Arial" w:eastAsia="Arial" w:hAnsi="Arial"/>
          <w:sz w:val="12"/>
          <w:szCs w:val="12"/>
          <w:color w:val="auto"/>
        </w:rPr>
        <w:t>For the fiscal year ended September 30, 2012, we purchased $328.3 million of investments issued by 13 new and 17 existing portfolio companies with an overall weighted average yield of 13.3% on debt investments. For the fiscal years ended September 30, 2011 and 2010, we purchased $479.7 million of investments issued by 17 new and 11 existing portfolio companies with an overall average yield of 13.7% on debt investments and purchased $309.5 million of investments, issued by 17 new and 12 existing portfolio companies with an overall average yield of 14.9% on debt investments, respectively.</w:t>
      </w:r>
    </w:p>
    <w:p>
      <w:pPr>
        <w:spacing w:after="0" w:line="84" w:lineRule="exact"/>
        <w:rPr>
          <w:sz w:val="20"/>
          <w:szCs w:val="20"/>
          <w:color w:val="auto"/>
        </w:rPr>
      </w:pPr>
    </w:p>
    <w:p>
      <w:pPr>
        <w:ind w:right="20" w:firstLine="562"/>
        <w:spacing w:after="0" w:line="274" w:lineRule="auto"/>
        <w:rPr>
          <w:sz w:val="20"/>
          <w:szCs w:val="20"/>
          <w:color w:val="auto"/>
        </w:rPr>
      </w:pPr>
      <w:r>
        <w:rPr>
          <w:rFonts w:ascii="Arial" w:cs="Arial" w:eastAsia="Arial" w:hAnsi="Arial"/>
          <w:sz w:val="13"/>
          <w:szCs w:val="13"/>
          <w:color w:val="auto"/>
        </w:rPr>
        <w:t>For the fiscal year ended September 30, 2012, sales and repayments generated proceeds of $201.7 million. For the fiscal years ended September 30, 2011 and 2010, sales and repayments generated proceeds of $304.0 million and $145.2 million, respectively.</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180"/>
          </w:cols>
          <w:pgMar w:left="32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Organization and Structure of PennantPark Investment Corporation</w:t>
      </w:r>
    </w:p>
    <w:p>
      <w:pPr>
        <w:spacing w:after="0" w:line="80" w:lineRule="exact"/>
        <w:rPr>
          <w:sz w:val="20"/>
          <w:szCs w:val="20"/>
          <w:color w:val="auto"/>
        </w:rPr>
      </w:pPr>
    </w:p>
    <w:p>
      <w:pPr>
        <w:ind w:firstLine="224"/>
        <w:spacing w:after="0" w:line="273" w:lineRule="auto"/>
        <w:rPr>
          <w:sz w:val="20"/>
          <w:szCs w:val="20"/>
          <w:color w:val="auto"/>
        </w:rPr>
      </w:pPr>
      <w:r>
        <w:rPr>
          <w:rFonts w:ascii="Arial" w:cs="Arial" w:eastAsia="Arial" w:hAnsi="Arial"/>
          <w:sz w:val="12"/>
          <w:szCs w:val="12"/>
          <w:color w:val="auto"/>
        </w:rPr>
        <w:t>PennantPark Investment Corporation was organized under the Maryland General Corporation Law in January 2007. We are a closed-end, externally managed, non-diversified investment company that has elected to be treated as a BDC, under the Investment Company Act of 1940, as amended, or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have elected to be treated, and intend to qualify annually, as a regulated investment company, or RIC, under the Internal Revenue Code of 1986, as amended, or the Code.</w:t>
      </w:r>
    </w:p>
    <w:p>
      <w:pPr>
        <w:spacing w:after="0" w:line="93" w:lineRule="exact"/>
        <w:rPr>
          <w:sz w:val="20"/>
          <w:szCs w:val="20"/>
          <w:color w:val="auto"/>
        </w:rPr>
      </w:pPr>
    </w:p>
    <w:p>
      <w:pPr>
        <w:ind w:right="260" w:firstLine="562"/>
        <w:spacing w:after="0" w:line="256" w:lineRule="auto"/>
        <w:rPr>
          <w:sz w:val="20"/>
          <w:szCs w:val="20"/>
          <w:color w:val="auto"/>
        </w:rPr>
      </w:pPr>
      <w:r>
        <w:rPr>
          <w:rFonts w:ascii="Arial" w:cs="Arial" w:eastAsia="Arial" w:hAnsi="Arial"/>
          <w:sz w:val="13"/>
          <w:szCs w:val="13"/>
          <w:color w:val="auto"/>
        </w:rPr>
        <w:t>Our wholly owned SBIC subsidiary, PennantPark SBIC LP, was organized as a Delaware limited partnership in May 2010 and received a license from the SBA to operate as an SBIC under Section 301(c) of the Small Business Investment Act of 1958, as amended, or the 1958 Act, in July 2010. SBIC LP’s objective is to generate both current income and capital appreciation through debt and equity investments. SBIC LP, generally, invests with us in SBA eligible businesses that meet the investment criteria used by PennantPark Investment.</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Investment Adviser and Administrator</w:t>
      </w:r>
    </w:p>
    <w:p>
      <w:pPr>
        <w:spacing w:after="0" w:line="80"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should provide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$1.5 billion in debt and equity capital and has invested over $2.1 billion in more than 200 companies with over 100 different financial sponsors through its managed funds.</w:t>
      </w:r>
    </w:p>
    <w:p>
      <w:pPr>
        <w:spacing w:after="0" w:line="138"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and the SBA.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Market Opportunity</w:t>
      </w:r>
    </w:p>
    <w:p>
      <w:pPr>
        <w:spacing w:after="0" w:line="80" w:lineRule="exact"/>
        <w:rPr>
          <w:sz w:val="20"/>
          <w:szCs w:val="20"/>
          <w:color w:val="auto"/>
        </w:rPr>
      </w:pPr>
    </w:p>
    <w:p>
      <w:pPr>
        <w:ind w:right="160" w:firstLine="562"/>
        <w:spacing w:after="0" w:line="274" w:lineRule="auto"/>
        <w:rPr>
          <w:sz w:val="20"/>
          <w:szCs w:val="20"/>
          <w:color w:val="auto"/>
        </w:rPr>
      </w:pPr>
      <w:r>
        <w:rPr>
          <w:rFonts w:ascii="Arial" w:cs="Arial" w:eastAsia="Arial" w:hAnsi="Arial"/>
          <w:sz w:val="13"/>
          <w:szCs w:val="13"/>
          <w:color w:val="auto"/>
        </w:rPr>
        <w:t>We believe that the limited amount of capital available to the middle-market companies, coupled with the desire of these companies for flexible sources of capital, creates an attractive investment environment for us.</w:t>
      </w:r>
    </w:p>
    <w:p>
      <w:pPr>
        <w:spacing w:after="0" w:line="102" w:lineRule="exact"/>
        <w:rPr>
          <w:sz w:val="20"/>
          <w:szCs w:val="20"/>
          <w:color w:val="auto"/>
        </w:rPr>
      </w:pPr>
    </w:p>
    <w:p>
      <w:pPr>
        <w:ind w:left="660" w:right="100" w:hanging="436"/>
        <w:spacing w:after="0" w:line="258"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middle-market companies have faced increasing difficulty in raising debt through the capital markets. </w:t>
      </w:r>
      <w:r>
        <w:rPr>
          <w:rFonts w:ascii="Arial" w:cs="Arial" w:eastAsia="Arial" w:hAnsi="Arial"/>
          <w:sz w:val="13"/>
          <w:szCs w:val="13"/>
          <w:color w:val="auto"/>
        </w:rPr>
        <w:t>While many middle-market companies were formerly able to raise funds</w:t>
      </w:r>
      <w:r>
        <w:rPr>
          <w:rFonts w:ascii="Arial" w:cs="Arial" w:eastAsia="Arial" w:hAnsi="Arial"/>
          <w:sz w:val="13"/>
          <w:szCs w:val="13"/>
          <w:b w:val="1"/>
          <w:bCs w:val="1"/>
          <w:color w:val="auto"/>
        </w:rPr>
        <w:t xml:space="preserve"> </w:t>
      </w:r>
      <w:r>
        <w:rPr>
          <w:rFonts w:ascii="Arial" w:cs="Arial" w:eastAsia="Arial" w:hAnsi="Arial"/>
          <w:sz w:val="13"/>
          <w:szCs w:val="13"/>
          <w:color w:val="auto"/>
        </w:rPr>
        <w:t>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111" w:lineRule="exact"/>
        <w:rPr>
          <w:rFonts w:ascii="Arial" w:cs="Arial" w:eastAsia="Arial" w:hAnsi="Arial"/>
          <w:sz w:val="13"/>
          <w:szCs w:val="13"/>
          <w:color w:val="auto"/>
        </w:rPr>
      </w:pPr>
    </w:p>
    <w:p>
      <w:pPr>
        <w:ind w:left="660" w:right="220" w:hanging="436"/>
        <w:spacing w:after="0" w:line="278"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middle-market companies have faced difficulty raising debt in private markets. </w:t>
      </w:r>
      <w:r>
        <w:rPr>
          <w:rFonts w:ascii="Arial" w:cs="Arial" w:eastAsia="Arial" w:hAnsi="Arial"/>
          <w:sz w:val="13"/>
          <w:szCs w:val="13"/>
          <w:color w:val="auto"/>
        </w:rPr>
        <w:t>Banks, finance companies, hedge funds and collateralized loan obligation, or CLO, funds have</w:t>
      </w:r>
      <w:r>
        <w:rPr>
          <w:rFonts w:ascii="Arial" w:cs="Arial" w:eastAsia="Arial" w:hAnsi="Arial"/>
          <w:sz w:val="13"/>
          <w:szCs w:val="13"/>
          <w:b w:val="1"/>
          <w:bCs w:val="1"/>
          <w:color w:val="auto"/>
        </w:rPr>
        <w:t xml:space="preserve"> </w:t>
      </w:r>
      <w:r>
        <w:rPr>
          <w:rFonts w:ascii="Arial" w:cs="Arial" w:eastAsia="Arial" w:hAnsi="Arial"/>
          <w:sz w:val="13"/>
          <w:szCs w:val="13"/>
          <w:color w:val="auto"/>
        </w:rPr>
        <w:t>withdrawn capital from the middle-market resulting in opportunities for alternative funding sources.</w:t>
      </w:r>
    </w:p>
    <w:p>
      <w:pPr>
        <w:spacing w:after="0" w:line="99" w:lineRule="exact"/>
        <w:rPr>
          <w:rFonts w:ascii="Arial" w:cs="Arial" w:eastAsia="Arial" w:hAnsi="Arial"/>
          <w:sz w:val="13"/>
          <w:szCs w:val="13"/>
          <w:color w:val="auto"/>
        </w:rPr>
      </w:pPr>
    </w:p>
    <w:p>
      <w:pPr>
        <w:jc w:val="both"/>
        <w:ind w:left="660" w:right="340" w:hanging="436"/>
        <w:spacing w:after="0" w:line="258"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that the current credit market dislocation for middle-market companies improves the risk-adjusted returns of our investments. </w:t>
      </w:r>
      <w:r>
        <w:rPr>
          <w:rFonts w:ascii="Arial" w:cs="Arial" w:eastAsia="Arial" w:hAnsi="Arial"/>
          <w:sz w:val="13"/>
          <w:szCs w:val="13"/>
          <w:color w:val="auto"/>
        </w:rPr>
        <w:t>In the current credit environment, market</w:t>
      </w:r>
      <w:r>
        <w:rPr>
          <w:rFonts w:ascii="Arial" w:cs="Arial" w:eastAsia="Arial" w:hAnsi="Arial"/>
          <w:sz w:val="13"/>
          <w:szCs w:val="13"/>
          <w:b w:val="1"/>
          <w:bCs w:val="1"/>
          <w:color w:val="auto"/>
        </w:rPr>
        <w:t xml:space="preserve"> </w:t>
      </w:r>
      <w:r>
        <w:rPr>
          <w:rFonts w:ascii="Arial" w:cs="Arial" w:eastAsia="Arial" w:hAnsi="Arial"/>
          <w:sz w:val="13"/>
          <w:szCs w:val="13"/>
          <w:color w:val="auto"/>
        </w:rPr>
        <w:t>participants have reduced lending to middle-market and non-investment grade borrowers. As a result, we believe there is less competition in our market, more conservative capital structures, higher yields and stronger covenants.</w:t>
      </w:r>
    </w:p>
    <w:p>
      <w:pPr>
        <w:spacing w:after="0" w:line="111" w:lineRule="exact"/>
        <w:rPr>
          <w:rFonts w:ascii="Arial" w:cs="Arial" w:eastAsia="Arial" w:hAnsi="Arial"/>
          <w:sz w:val="13"/>
          <w:szCs w:val="13"/>
          <w:color w:val="auto"/>
        </w:rPr>
      </w:pPr>
    </w:p>
    <w:p>
      <w:pPr>
        <w:ind w:left="660" w:right="20" w:hanging="436"/>
        <w:spacing w:after="0" w:line="251" w:lineRule="auto"/>
        <w:tabs>
          <w:tab w:leader="none" w:pos="660"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3"/>
          <w:szCs w:val="13"/>
          <w:color w:val="auto"/>
        </w:rPr>
        <w:t>We expect that</w:t>
      </w:r>
      <w:r>
        <w:rPr>
          <w:rFonts w:ascii="Arial" w:cs="Arial" w:eastAsia="Arial" w:hAnsi="Arial"/>
          <w:sz w:val="13"/>
          <w:szCs w:val="13"/>
          <w:b w:val="1"/>
          <w:bCs w:val="1"/>
          <w:color w:val="auto"/>
        </w:rPr>
        <w:t xml:space="preserve"> </w:t>
      </w:r>
      <w:r>
        <w:rPr>
          <w:rFonts w:ascii="Arial" w:cs="Arial" w:eastAsia="Arial" w:hAnsi="Arial"/>
          <w:sz w:val="13"/>
          <w:szCs w:val="13"/>
          <w:color w:val="auto"/>
        </w:rPr>
        <w:t>private equity firms will continue to be active investors in middle-market companies. These private equity funds generally seek to leverage their investments by combining their capital with senior secured loans and/or mezzanine debt provided by other sources, and we believe that we are well-positioned to partner with such equity investors. We expect such activity to be funded by the substantial amounts of private equity capital that have been raised in recent years.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60" w:right="100" w:hanging="436"/>
        <w:spacing w:after="0" w:line="278" w:lineRule="auto"/>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b w:val="1"/>
          <w:bCs w:val="1"/>
          <w:color w:val="auto"/>
        </w:rPr>
        <w:t xml:space="preserve">We believe there is substantial supply of opportunities resulting from maturing loans that seek refinancing. </w:t>
      </w:r>
      <w:r>
        <w:rPr>
          <w:rFonts w:ascii="Arial" w:cs="Arial" w:eastAsia="Arial" w:hAnsi="Arial"/>
          <w:sz w:val="13"/>
          <w:szCs w:val="13"/>
          <w:color w:val="auto"/>
        </w:rPr>
        <w:t>A high volume of financings were completed between the years 2004 and 2007,</w:t>
      </w:r>
      <w:r>
        <w:rPr>
          <w:rFonts w:ascii="Arial" w:cs="Arial" w:eastAsia="Arial" w:hAnsi="Arial"/>
          <w:sz w:val="13"/>
          <w:szCs w:val="13"/>
          <w:b w:val="1"/>
          <w:bCs w:val="1"/>
          <w:color w:val="auto"/>
        </w:rPr>
        <w:t xml:space="preserve"> </w:t>
      </w:r>
      <w:r>
        <w:rPr>
          <w:rFonts w:ascii="Arial" w:cs="Arial" w:eastAsia="Arial" w:hAnsi="Arial"/>
          <w:sz w:val="13"/>
          <w:szCs w:val="13"/>
          <w:color w:val="auto"/>
        </w:rPr>
        <w:t>which will come due in the next few years. We believe this supply of opportunities coupled with a lack of demand offers attractive risk-adjusted returns to investors.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Competitive Advantages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believe that we have the following competitive advantages over other capital providers in middle-market companies:</w:t>
      </w:r>
    </w:p>
    <w:p>
      <w:pPr>
        <w:spacing w:after="0" w:line="215" w:lineRule="exact"/>
        <w:rPr>
          <w:sz w:val="20"/>
          <w:szCs w:val="20"/>
          <w:color w:val="auto"/>
        </w:rPr>
      </w:pPr>
    </w:p>
    <w:p>
      <w:pPr>
        <w:ind w:left="1120" w:hanging="329"/>
        <w:spacing w:after="0"/>
        <w:tabs>
          <w:tab w:leader="none" w:pos="1120" w:val="left"/>
        </w:tabs>
        <w:numPr>
          <w:ilvl w:val="0"/>
          <w:numId w:val="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Experienced Management Team</w:t>
      </w:r>
    </w:p>
    <w:p>
      <w:pPr>
        <w:spacing w:after="0" w:line="80" w:lineRule="exact"/>
        <w:rPr>
          <w:sz w:val="20"/>
          <w:szCs w:val="20"/>
          <w:color w:val="auto"/>
        </w:rPr>
      </w:pPr>
    </w:p>
    <w:p>
      <w:pPr>
        <w:ind w:right="100" w:firstLine="562"/>
        <w:spacing w:after="0" w:line="256" w:lineRule="auto"/>
        <w:rPr>
          <w:sz w:val="20"/>
          <w:szCs w:val="20"/>
          <w:color w:val="auto"/>
        </w:rPr>
      </w:pPr>
      <w:r>
        <w:rPr>
          <w:rFonts w:ascii="Arial" w:cs="Arial" w:eastAsia="Arial" w:hAnsi="Arial"/>
          <w:sz w:val="13"/>
          <w:szCs w:val="13"/>
          <w:color w:val="auto"/>
        </w:rPr>
        <w:t>The senior investment professionals of our Investment Adviser have worked together for many years and average over 20 years of experience in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83" w:lineRule="exact"/>
        <w:rPr>
          <w:sz w:val="20"/>
          <w:szCs w:val="20"/>
          <w:color w:val="auto"/>
        </w:rPr>
      </w:pPr>
    </w:p>
    <w:p>
      <w:pPr>
        <w:ind w:left="1120" w:hanging="329"/>
        <w:spacing w:after="0"/>
        <w:tabs>
          <w:tab w:leader="none" w:pos="1120" w:val="left"/>
        </w:tabs>
        <w:numPr>
          <w:ilvl w:val="0"/>
          <w:numId w:val="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Disciplined Investment Approach with Strong Value Orientation</w:t>
      </w:r>
    </w:p>
    <w:p>
      <w:pPr>
        <w:spacing w:after="0" w:line="80"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06" w:lineRule="exact"/>
        <w:rPr>
          <w:sz w:val="20"/>
          <w:szCs w:val="20"/>
          <w:color w:val="auto"/>
        </w:rPr>
      </w:pPr>
    </w:p>
    <w:p>
      <w:pPr>
        <w:ind w:right="40" w:firstLine="562"/>
        <w:spacing w:after="0" w:line="256" w:lineRule="auto"/>
        <w:rPr>
          <w:sz w:val="20"/>
          <w:szCs w:val="20"/>
          <w:color w:val="auto"/>
        </w:rPr>
      </w:pPr>
      <w:r>
        <w:rPr>
          <w:rFonts w:ascii="Arial" w:cs="Arial" w:eastAsia="Arial" w:hAnsi="Arial"/>
          <w:sz w:val="13"/>
          <w:szCs w:val="13"/>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addition to engaging in extensive due diligence, our Investment Adviser seeks to reduce risk by focusing on businesses with:</w:t>
      </w:r>
    </w:p>
    <w:p>
      <w:pPr>
        <w:spacing w:after="0" w:line="148"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strong competitive positions;</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positive cash flow that is steady and stable;</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experienced management teams with strong track records;</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potential for growth and viable exit strategies; and</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capital structures offering appropriate risk-adjusted terms and covenants.</w:t>
      </w:r>
    </w:p>
    <w:p>
      <w:pPr>
        <w:spacing w:after="0" w:line="215" w:lineRule="exact"/>
        <w:rPr>
          <w:sz w:val="20"/>
          <w:szCs w:val="20"/>
          <w:color w:val="auto"/>
        </w:rPr>
      </w:pPr>
    </w:p>
    <w:p>
      <w:pPr>
        <w:ind w:left="1120" w:hanging="329"/>
        <w:spacing w:after="0"/>
        <w:tabs>
          <w:tab w:leader="none" w:pos="1120" w:val="left"/>
        </w:tabs>
        <w:numPr>
          <w:ilvl w:val="0"/>
          <w:numId w:val="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Ability to Source and Evaluate Transactions through our Investment Adviser’s Research Capability and Established Network</w:t>
      </w:r>
    </w:p>
    <w:p>
      <w:pPr>
        <w:spacing w:after="0" w:line="80" w:lineRule="exact"/>
        <w:rPr>
          <w:sz w:val="20"/>
          <w:szCs w:val="20"/>
          <w:color w:val="auto"/>
        </w:rPr>
      </w:pPr>
    </w:p>
    <w:p>
      <w:pPr>
        <w:ind w:right="160" w:firstLine="562"/>
        <w:spacing w:after="0" w:line="250" w:lineRule="auto"/>
        <w:rPr>
          <w:sz w:val="20"/>
          <w:szCs w:val="20"/>
          <w:color w:val="auto"/>
        </w:rPr>
      </w:pPr>
      <w:r>
        <w:rPr>
          <w:rFonts w:ascii="Arial" w:cs="Arial" w:eastAsia="Arial" w:hAnsi="Arial"/>
          <w:sz w:val="13"/>
          <w:szCs w:val="13"/>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87" w:lineRule="exact"/>
        <w:rPr>
          <w:sz w:val="20"/>
          <w:szCs w:val="20"/>
          <w:color w:val="auto"/>
        </w:rPr>
      </w:pPr>
    </w:p>
    <w:p>
      <w:pPr>
        <w:ind w:left="1120" w:hanging="329"/>
        <w:spacing w:after="0"/>
        <w:tabs>
          <w:tab w:leader="none" w:pos="1120" w:val="left"/>
        </w:tabs>
        <w:numPr>
          <w:ilvl w:val="0"/>
          <w:numId w:val="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Flexible Transaction Structuring</w:t>
      </w:r>
    </w:p>
    <w:p>
      <w:pPr>
        <w:spacing w:after="0" w:line="80"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91" w:lineRule="exact"/>
        <w:rPr>
          <w:sz w:val="20"/>
          <w:szCs w:val="20"/>
          <w:color w:val="auto"/>
        </w:rPr>
      </w:pPr>
    </w:p>
    <w:p>
      <w:pPr>
        <w:ind w:right="380" w:firstLine="562"/>
        <w:spacing w:after="0" w:line="274" w:lineRule="auto"/>
        <w:rPr>
          <w:sz w:val="20"/>
          <w:szCs w:val="20"/>
          <w:color w:val="auto"/>
        </w:rPr>
      </w:pPr>
      <w:r>
        <w:rPr>
          <w:rFonts w:ascii="Arial" w:cs="Arial" w:eastAsia="Arial" w:hAnsi="Arial"/>
          <w:sz w:val="13"/>
          <w:szCs w:val="13"/>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91"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Investment Selection Criteria</w:t>
      </w:r>
    </w:p>
    <w:p>
      <w:pPr>
        <w:spacing w:after="0" w:line="80" w:lineRule="exact"/>
        <w:rPr>
          <w:sz w:val="20"/>
          <w:szCs w:val="20"/>
          <w:color w:val="auto"/>
        </w:rPr>
      </w:pPr>
    </w:p>
    <w:p>
      <w:pPr>
        <w:ind w:right="80" w:firstLine="562"/>
        <w:spacing w:after="0" w:line="274" w:lineRule="auto"/>
        <w:rPr>
          <w:sz w:val="20"/>
          <w:szCs w:val="20"/>
          <w:color w:val="auto"/>
        </w:rPr>
      </w:pPr>
      <w:r>
        <w:rPr>
          <w:rFonts w:ascii="Arial" w:cs="Arial" w:eastAsia="Arial" w:hAnsi="Arial"/>
          <w:sz w:val="13"/>
          <w:szCs w:val="13"/>
          <w:color w:val="auto"/>
        </w:rPr>
        <w:t>We are committed to a value oriented philosophy used by the senior investment professionals who manage our portfolio and seek to minimize the risk of capital loss without foregoing potential for capital appreciation.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562"/>
        <w:spacing w:after="0" w:line="256" w:lineRule="auto"/>
        <w:rPr>
          <w:sz w:val="20"/>
          <w:szCs w:val="20"/>
          <w:color w:val="auto"/>
        </w:rPr>
      </w:pPr>
      <w:r>
        <w:rPr>
          <w:rFonts w:ascii="Arial" w:cs="Arial" w:eastAsia="Arial" w:hAnsi="Arial"/>
          <w:sz w:val="13"/>
          <w:szCs w:val="13"/>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relationships, and access to market information to identify investment candidates and to structure investments efficiently and effectively.</w:t>
      </w:r>
    </w:p>
    <w:p>
      <w:pPr>
        <w:spacing w:after="0" w:line="183" w:lineRule="exact"/>
        <w:rPr>
          <w:sz w:val="20"/>
          <w:szCs w:val="20"/>
          <w:color w:val="auto"/>
        </w:rPr>
      </w:pPr>
    </w:p>
    <w:p>
      <w:pPr>
        <w:ind w:left="1120" w:hanging="329"/>
        <w:spacing w:after="0"/>
        <w:tabs>
          <w:tab w:leader="none" w:pos="1120" w:val="left"/>
        </w:tabs>
        <w:numPr>
          <w:ilvl w:val="0"/>
          <w:numId w:val="1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Value orientation and positive cash flow</w:t>
      </w:r>
    </w:p>
    <w:p>
      <w:pPr>
        <w:spacing w:after="0" w:line="80" w:lineRule="exact"/>
        <w:rPr>
          <w:sz w:val="20"/>
          <w:szCs w:val="20"/>
          <w:color w:val="auto"/>
        </w:rPr>
      </w:pPr>
    </w:p>
    <w:p>
      <w:pPr>
        <w:ind w:right="180" w:firstLine="562"/>
        <w:spacing w:after="0" w:line="317" w:lineRule="auto"/>
        <w:rPr>
          <w:sz w:val="20"/>
          <w:szCs w:val="20"/>
          <w:color w:val="auto"/>
        </w:rPr>
      </w:pPr>
      <w:r>
        <w:rPr>
          <w:rFonts w:ascii="Arial" w:cs="Arial" w:eastAsia="Arial" w:hAnsi="Arial"/>
          <w:sz w:val="12"/>
          <w:szCs w:val="12"/>
          <w:color w:val="auto"/>
        </w:rPr>
        <w:t>Our investment philosophy places a premium on fundamental analysis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148" w:lineRule="exact"/>
        <w:rPr>
          <w:sz w:val="20"/>
          <w:szCs w:val="20"/>
          <w:color w:val="auto"/>
        </w:rPr>
      </w:pPr>
    </w:p>
    <w:p>
      <w:pPr>
        <w:ind w:left="1120" w:hanging="329"/>
        <w:spacing w:after="0"/>
        <w:tabs>
          <w:tab w:leader="none" w:pos="1120" w:val="left"/>
        </w:tabs>
        <w:numPr>
          <w:ilvl w:val="0"/>
          <w:numId w:val="1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Experienced management and established financial sponsor relationships</w:t>
      </w:r>
    </w:p>
    <w:p>
      <w:pPr>
        <w:spacing w:after="0" w:line="80" w:lineRule="exact"/>
        <w:rPr>
          <w:sz w:val="20"/>
          <w:szCs w:val="20"/>
          <w:color w:val="auto"/>
        </w:rPr>
      </w:pPr>
    </w:p>
    <w:p>
      <w:pPr>
        <w:ind w:right="200" w:firstLine="562"/>
        <w:spacing w:after="0" w:line="256" w:lineRule="auto"/>
        <w:rPr>
          <w:sz w:val="20"/>
          <w:szCs w:val="20"/>
          <w:color w:val="auto"/>
        </w:rPr>
      </w:pPr>
      <w:r>
        <w:rPr>
          <w:rFonts w:ascii="Arial" w:cs="Arial" w:eastAsia="Arial" w:hAnsi="Arial"/>
          <w:sz w:val="13"/>
          <w:szCs w:val="13"/>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equity interests. In addition, we focus our investments in companies backed by strong financial sponsors that have a history of creating value and with whom members of our Investment Adviser have an established relationship.</w:t>
      </w:r>
    </w:p>
    <w:p>
      <w:pPr>
        <w:spacing w:after="0" w:line="183" w:lineRule="exact"/>
        <w:rPr>
          <w:sz w:val="20"/>
          <w:szCs w:val="20"/>
          <w:color w:val="auto"/>
        </w:rPr>
      </w:pPr>
    </w:p>
    <w:p>
      <w:pPr>
        <w:ind w:left="1120" w:hanging="329"/>
        <w:spacing w:after="0"/>
        <w:tabs>
          <w:tab w:leader="none" w:pos="1120" w:val="left"/>
        </w:tabs>
        <w:numPr>
          <w:ilvl w:val="0"/>
          <w:numId w:val="1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Strong and defensible competitive market positions</w:t>
      </w:r>
    </w:p>
    <w:p>
      <w:pPr>
        <w:spacing w:after="0" w:line="80" w:lineRule="exact"/>
        <w:rPr>
          <w:sz w:val="20"/>
          <w:szCs w:val="20"/>
          <w:color w:val="auto"/>
        </w:rPr>
      </w:pPr>
    </w:p>
    <w:p>
      <w:pPr>
        <w:ind w:right="360" w:firstLine="562"/>
        <w:spacing w:after="0" w:line="274" w:lineRule="auto"/>
        <w:rPr>
          <w:sz w:val="20"/>
          <w:szCs w:val="20"/>
          <w:color w:val="auto"/>
        </w:rPr>
      </w:pPr>
      <w:r>
        <w:rPr>
          <w:rFonts w:ascii="Arial" w:cs="Arial" w:eastAsia="Arial" w:hAnsi="Arial"/>
          <w:sz w:val="13"/>
          <w:szCs w:val="13"/>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172" w:lineRule="exact"/>
        <w:rPr>
          <w:sz w:val="20"/>
          <w:szCs w:val="20"/>
          <w:color w:val="auto"/>
        </w:rPr>
      </w:pPr>
    </w:p>
    <w:p>
      <w:pPr>
        <w:ind w:left="1120" w:hanging="329"/>
        <w:spacing w:after="0"/>
        <w:tabs>
          <w:tab w:leader="none" w:pos="1120" w:val="left"/>
        </w:tabs>
        <w:numPr>
          <w:ilvl w:val="0"/>
          <w:numId w:val="1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Viable exit strategy</w:t>
      </w:r>
    </w:p>
    <w:p>
      <w:pPr>
        <w:spacing w:after="0" w:line="80" w:lineRule="exact"/>
        <w:rPr>
          <w:sz w:val="20"/>
          <w:szCs w:val="20"/>
          <w:color w:val="auto"/>
        </w:rPr>
      </w:pPr>
    </w:p>
    <w:p>
      <w:pPr>
        <w:ind w:right="20" w:firstLine="562"/>
        <w:spacing w:after="0" w:line="278" w:lineRule="auto"/>
        <w:rPr>
          <w:sz w:val="20"/>
          <w:szCs w:val="20"/>
          <w:color w:val="auto"/>
        </w:rPr>
      </w:pPr>
      <w:r>
        <w:rPr>
          <w:rFonts w:ascii="Arial" w:cs="Arial" w:eastAsia="Arial" w:hAnsi="Arial"/>
          <w:sz w:val="12"/>
          <w:szCs w:val="12"/>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 transaction.</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Competition</w:t>
      </w:r>
    </w:p>
    <w:p>
      <w:pPr>
        <w:spacing w:after="0" w:line="80" w:lineRule="exact"/>
        <w:rPr>
          <w:sz w:val="20"/>
          <w:szCs w:val="20"/>
          <w:color w:val="auto"/>
        </w:rPr>
      </w:pPr>
    </w:p>
    <w:p>
      <w:pPr>
        <w:ind w:right="80" w:firstLine="562"/>
        <w:spacing w:after="0" w:line="250" w:lineRule="auto"/>
        <w:rPr>
          <w:sz w:val="20"/>
          <w:szCs w:val="20"/>
          <w:color w:val="auto"/>
        </w:rPr>
      </w:pPr>
      <w:r>
        <w:rPr>
          <w:rFonts w:ascii="Arial" w:cs="Arial" w:eastAsia="Arial" w:hAnsi="Arial"/>
          <w:sz w:val="13"/>
          <w:szCs w:val="13"/>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06"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Leverage</w:t>
      </w:r>
    </w:p>
    <w:p>
      <w:pPr>
        <w:spacing w:after="0" w:line="80" w:lineRule="exact"/>
        <w:rPr>
          <w:sz w:val="20"/>
          <w:szCs w:val="20"/>
          <w:color w:val="auto"/>
        </w:rPr>
      </w:pPr>
    </w:p>
    <w:p>
      <w:pPr>
        <w:ind w:firstLine="562"/>
        <w:spacing w:after="0" w:line="273" w:lineRule="auto"/>
        <w:rPr>
          <w:sz w:val="20"/>
          <w:szCs w:val="20"/>
          <w:color w:val="auto"/>
        </w:rPr>
      </w:pPr>
      <w:r>
        <w:rPr>
          <w:rFonts w:ascii="Arial" w:cs="Arial" w:eastAsia="Arial" w:hAnsi="Arial"/>
          <w:sz w:val="12"/>
          <w:szCs w:val="12"/>
          <w:color w:val="auto"/>
        </w:rPr>
        <w:t>We maintain a multi-currency $380.0 million Credit Facility which matures in February 2016 and is secured by substantially all of our investment portfolio assets (excluding the assets of SBIC LP), under which we had $145.0 million (including a $35.5 million temporary draw) and $240.9 million of debt outstanding with a weighted average interest rate of 3.49% and 1.27% at September 30, 2012 and 2011, respectively. Pricing of borrowings under our current Credit Facility is set at 275 basis points over LIBOR. As of September 30, 2012 and 2011, we had $235.0 million and $74.1 million, respectively, available to us under our Credit Facility. We believe that our capital resources will provide us with the flexibility to take advantage of market opportunities when they arise. In addition, any future additional debt capital we incur, to the extent it is available, may be issued at a higher cost and on less favorable terms and conditions than our current Credit Facility.</w:t>
      </w:r>
    </w:p>
    <w:p>
      <w:pPr>
        <w:spacing w:after="0" w:line="93"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As of September 30, 2012 and 2011, SBIC LP had drawn $150.0 million, with a weighted average interest rate of 3.70%, exclusive of 3.43% of upfront fees (4.04% inclusive of the upfront fees), and had no remaining borrowing capacity.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priority claim over such assets. See “Regulation” for more information.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20"/>
          </w:cols>
          <w:pgMar w:left="320" w:top="459" w:right="3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Investment Policy Overview</w:t>
      </w:r>
    </w:p>
    <w:p>
      <w:pPr>
        <w:spacing w:after="0" w:line="80"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We seek to create a diversified portfolio that includes senior secured loans, mezzanine debt and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06" w:lineRule="exact"/>
        <w:rPr>
          <w:sz w:val="20"/>
          <w:szCs w:val="20"/>
          <w:color w:val="auto"/>
        </w:rPr>
      </w:pPr>
    </w:p>
    <w:p>
      <w:pPr>
        <w:ind w:right="200" w:firstLine="562"/>
        <w:spacing w:after="0" w:line="247" w:lineRule="auto"/>
        <w:rPr>
          <w:sz w:val="20"/>
          <w:szCs w:val="20"/>
          <w:color w:val="auto"/>
        </w:rPr>
      </w:pPr>
      <w:r>
        <w:rPr>
          <w:rFonts w:ascii="Arial" w:cs="Arial" w:eastAsia="Arial" w:hAnsi="Arial"/>
          <w:sz w:val="13"/>
          <w:szCs w:val="13"/>
          <w:color w:val="auto"/>
        </w:rPr>
        <w:t>Over time, we expect that our portfolio will continue to consist primarily of senior secured loans, mezzanine debt and, to a lesser extent, equity investments in qualifying assets such as private or thinly traded or small market-capitalization, public U.S.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Selection Criteria” for more information.</w:t>
      </w:r>
    </w:p>
    <w:p>
      <w:pPr>
        <w:spacing w:after="0" w:line="108" w:lineRule="exact"/>
        <w:rPr>
          <w:sz w:val="20"/>
          <w:szCs w:val="20"/>
          <w:color w:val="auto"/>
        </w:rPr>
      </w:pPr>
    </w:p>
    <w:p>
      <w:pPr>
        <w:jc w:val="both"/>
        <w:ind w:right="220" w:firstLine="562"/>
        <w:spacing w:after="0" w:line="250" w:lineRule="auto"/>
        <w:rPr>
          <w:sz w:val="20"/>
          <w:szCs w:val="20"/>
          <w:color w:val="auto"/>
        </w:rPr>
      </w:pPr>
      <w:r>
        <w:rPr>
          <w:rFonts w:ascii="Arial" w:cs="Arial" w:eastAsia="Arial" w:hAnsi="Arial"/>
          <w:sz w:val="13"/>
          <w:szCs w:val="13"/>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and impact our ability to make distributions and the value of our stock.</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Senior Secured Debt</w:t>
      </w:r>
    </w:p>
    <w:p>
      <w:pPr>
        <w:spacing w:after="0" w:line="80"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Mezzanine Debt</w:t>
      </w:r>
    </w:p>
    <w:p>
      <w:pPr>
        <w:spacing w:after="0" w:line="80" w:lineRule="exact"/>
        <w:rPr>
          <w:sz w:val="20"/>
          <w:szCs w:val="20"/>
          <w:color w:val="auto"/>
        </w:rPr>
      </w:pPr>
    </w:p>
    <w:p>
      <w:pPr>
        <w:ind w:right="140" w:firstLine="562"/>
        <w:spacing w:after="0" w:line="247" w:lineRule="auto"/>
        <w:rPr>
          <w:sz w:val="20"/>
          <w:szCs w:val="20"/>
          <w:color w:val="auto"/>
        </w:rPr>
      </w:pPr>
      <w:r>
        <w:rPr>
          <w:rFonts w:ascii="Arial" w:cs="Arial" w:eastAsia="Arial" w:hAnsi="Arial"/>
          <w:sz w:val="13"/>
          <w:szCs w:val="13"/>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a borrowers’ capital structures.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Operating and Regulatory Structure</w:t>
      </w:r>
    </w:p>
    <w:p>
      <w:pPr>
        <w:spacing w:after="0" w:line="80" w:lineRule="exact"/>
        <w:rPr>
          <w:sz w:val="20"/>
          <w:szCs w:val="20"/>
          <w:color w:val="auto"/>
        </w:rPr>
      </w:pPr>
    </w:p>
    <w:p>
      <w:pPr>
        <w:jc w:val="both"/>
        <w:ind w:right="40" w:firstLine="562"/>
        <w:spacing w:after="0" w:line="256" w:lineRule="auto"/>
        <w:rPr>
          <w:sz w:val="20"/>
          <w:szCs w:val="20"/>
          <w:color w:val="auto"/>
        </w:rPr>
      </w:pPr>
      <w:r>
        <w:rPr>
          <w:rFonts w:ascii="Arial" w:cs="Arial" w:eastAsia="Arial" w:hAnsi="Arial"/>
          <w:sz w:val="13"/>
          <w:szCs w:val="13"/>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total assets as well as an incentive fee based on our investment performance. See “Investment Management Agreement” for more information.</w:t>
      </w:r>
    </w:p>
    <w:p>
      <w:pPr>
        <w:spacing w:after="0" w:line="129" w:lineRule="exact"/>
        <w:rPr>
          <w:sz w:val="20"/>
          <w:szCs w:val="20"/>
          <w:color w:val="auto"/>
        </w:rPr>
      </w:pPr>
    </w:p>
    <w:p>
      <w:pPr>
        <w:ind w:right="340" w:firstLine="562"/>
        <w:spacing w:after="0" w:line="288" w:lineRule="auto"/>
        <w:rPr>
          <w:sz w:val="20"/>
          <w:szCs w:val="20"/>
          <w:color w:val="auto"/>
        </w:rPr>
      </w:pPr>
      <w:r>
        <w:rPr>
          <w:rFonts w:ascii="Arial" w:cs="Arial" w:eastAsia="Arial" w:hAnsi="Arial"/>
          <w:sz w:val="12"/>
          <w:szCs w:val="12"/>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“Administration Agreement” for more information.</w:t>
      </w:r>
    </w:p>
    <w:p>
      <w:pPr>
        <w:spacing w:after="0" w:line="84"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02" w:lineRule="exact"/>
        <w:rPr>
          <w:sz w:val="20"/>
          <w:szCs w:val="20"/>
          <w:color w:val="auto"/>
        </w:rPr>
      </w:pPr>
    </w:p>
    <w:p>
      <w:pPr>
        <w:ind w:right="220" w:firstLine="562"/>
        <w:spacing w:after="0" w:line="250" w:lineRule="auto"/>
        <w:rPr>
          <w:sz w:val="20"/>
          <w:szCs w:val="20"/>
          <w:color w:val="auto"/>
        </w:rPr>
      </w:pPr>
      <w:r>
        <w:rPr>
          <w:rFonts w:ascii="Arial" w:cs="Arial" w:eastAsia="Arial" w:hAnsi="Arial"/>
          <w:sz w:val="13"/>
          <w:szCs w:val="13"/>
          <w:color w:val="auto"/>
        </w:rPr>
        <w:t>As a BDC, we are required to comply with certain regulatory requirements. Also, while we are permitted to finance investments using debt, our ability to use debt is limited in certain significant respects. We have elected to be treated for federal income tax purposes under the Code as a RIC. Our wholly owned subsidiary, SBIC LP, received a license from the SBA to operate as an SBIC under Section 301(c) of the 1958 Act and is regulated by the SBA. PennantPark Investment serves as the investment adviser and administrator to SBIC LP. The SBA regulates, among other matters, SBIC LP’s investing activities. See “Regulation” for more information.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Corporate Information</w:t>
      </w:r>
    </w:p>
    <w:p>
      <w:pPr>
        <w:spacing w:after="0" w:line="53" w:lineRule="exact"/>
        <w:rPr>
          <w:sz w:val="20"/>
          <w:szCs w:val="20"/>
          <w:color w:val="auto"/>
        </w:rPr>
      </w:pPr>
    </w:p>
    <w:p>
      <w:pPr>
        <w:ind w:firstLine="224"/>
        <w:spacing w:after="0" w:line="244" w:lineRule="auto"/>
        <w:rPr>
          <w:sz w:val="20"/>
          <w:szCs w:val="20"/>
          <w:color w:val="auto"/>
        </w:rPr>
      </w:pPr>
      <w:r>
        <w:rPr>
          <w:rFonts w:ascii="Arial" w:cs="Arial" w:eastAsia="Arial" w:hAnsi="Arial"/>
          <w:sz w:val="13"/>
          <w:szCs w:val="13"/>
          <w:color w:val="auto"/>
        </w:rPr>
        <w:t xml:space="preserve">Our address is 590 Madison Avenue, 15th Floor, New York, NY 10022. Our phone number is (212) 905-1000, and our internet address is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We make available, free of charge, on our website our annual report on Form 10-K, quarterly reports on Form 10-Q, current reports on Form 8-K and amendments to those reports as well as proxy statements as soon as reasonably practicable after we electronically file such material with, or furnish it to, the SEC. Information contained on our website is not incorporated by reference into this Report, and you should not consider information contained on our website to be part of this Report or any other report we file with the SEC. The SEC also maintains a website that contains reports, proxy and information statements and other information we file with the SEC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Copies of these reports, proxy and information statements and other information may also be obtained, after paying a duplicating fee, by electronic request at the following e-mail address: </w:t>
      </w:r>
      <w:r>
        <w:rPr>
          <w:rFonts w:ascii="Arial" w:cs="Arial" w:eastAsia="Arial" w:hAnsi="Arial"/>
          <w:sz w:val="13"/>
          <w:szCs w:val="13"/>
          <w:i w:val="1"/>
          <w:iCs w:val="1"/>
          <w:u w:val="single" w:color="auto"/>
          <w:color w:val="auto"/>
        </w:rPr>
        <w:t>publicinfo@sec.gov</w:t>
      </w:r>
      <w:r>
        <w:rPr>
          <w:rFonts w:ascii="Arial" w:cs="Arial" w:eastAsia="Arial" w:hAnsi="Arial"/>
          <w:sz w:val="13"/>
          <w:szCs w:val="13"/>
          <w:color w:val="auto"/>
        </w:rPr>
        <w:t>, or by writing the SEC’s Public Reference Section, 100 F Street, N.E., Washington, D.C. 20549-0102. Information on the operation of the Public Reference Room may be obtained by calling the SEC at 1-800-SEC-0330.</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3"/>
          <w:szCs w:val="13"/>
          <w:b w:val="1"/>
          <w:bCs w:val="1"/>
          <w:i w:val="1"/>
          <w:iCs w:val="1"/>
          <w:color w:val="auto"/>
        </w:rPr>
        <w:t>Our Consolidated Portfolio</w:t>
      </w:r>
    </w:p>
    <w:p>
      <w:pPr>
        <w:spacing w:after="0" w:line="80"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680" w:type="dxa"/>
            <w:vAlign w:val="bottom"/>
            <w:gridSpan w:val="2"/>
          </w:tcPr>
          <w:p>
            <w:pPr>
              <w:spacing w:after="0"/>
              <w:rPr>
                <w:sz w:val="20"/>
                <w:szCs w:val="20"/>
                <w:color w:val="auto"/>
              </w:rPr>
            </w:pPr>
            <w:r>
              <w:rPr>
                <w:rFonts w:ascii="Arial" w:cs="Arial" w:eastAsia="Arial" w:hAnsi="Arial"/>
                <w:sz w:val="13"/>
                <w:szCs w:val="13"/>
                <w:color w:val="auto"/>
              </w:rPr>
              <w:t>• Aerospace and Defense</w:t>
            </w:r>
          </w:p>
        </w:tc>
        <w:tc>
          <w:tcPr>
            <w:tcW w:w="1340" w:type="dxa"/>
            <w:vAlign w:val="bottom"/>
          </w:tcPr>
          <w:p>
            <w:pPr>
              <w:ind w:left="126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Environmental Services</w:t>
            </w:r>
          </w:p>
        </w:tc>
      </w:tr>
      <w:tr>
        <w:trPr>
          <w:trHeight w:val="148"/>
        </w:trPr>
        <w:tc>
          <w:tcPr>
            <w:tcW w:w="4680" w:type="dxa"/>
            <w:vAlign w:val="bottom"/>
            <w:gridSpan w:val="2"/>
          </w:tcPr>
          <w:p>
            <w:pPr>
              <w:spacing w:after="0"/>
              <w:rPr>
                <w:sz w:val="20"/>
                <w:szCs w:val="20"/>
                <w:color w:val="auto"/>
              </w:rPr>
            </w:pPr>
            <w:r>
              <w:rPr>
                <w:rFonts w:ascii="Arial" w:cs="Arial" w:eastAsia="Arial" w:hAnsi="Arial"/>
                <w:sz w:val="13"/>
                <w:szCs w:val="13"/>
                <w:color w:val="auto"/>
              </w:rPr>
              <w:t>• Auto Sector</w:t>
            </w:r>
          </w:p>
        </w:tc>
        <w:tc>
          <w:tcPr>
            <w:tcW w:w="1340" w:type="dxa"/>
            <w:vAlign w:val="bottom"/>
          </w:tcPr>
          <w:p>
            <w:pPr>
              <w:ind w:left="126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Financial Services</w:t>
            </w:r>
          </w:p>
        </w:tc>
      </w:tr>
      <w:tr>
        <w:trPr>
          <w:trHeight w:val="148"/>
        </w:trPr>
        <w:tc>
          <w:tcPr>
            <w:tcW w:w="4680" w:type="dxa"/>
            <w:vAlign w:val="bottom"/>
            <w:gridSpan w:val="2"/>
          </w:tcPr>
          <w:p>
            <w:pPr>
              <w:spacing w:after="0"/>
              <w:rPr>
                <w:sz w:val="20"/>
                <w:szCs w:val="20"/>
                <w:color w:val="auto"/>
              </w:rPr>
            </w:pPr>
            <w:r>
              <w:rPr>
                <w:rFonts w:ascii="Arial" w:cs="Arial" w:eastAsia="Arial" w:hAnsi="Arial"/>
                <w:sz w:val="13"/>
                <w:szCs w:val="13"/>
                <w:color w:val="auto"/>
              </w:rPr>
              <w:t>• Beverage, Food and Tobacco</w:t>
            </w:r>
          </w:p>
        </w:tc>
        <w:tc>
          <w:tcPr>
            <w:tcW w:w="5340" w:type="dxa"/>
            <w:vAlign w:val="bottom"/>
            <w:gridSpan w:val="2"/>
          </w:tcPr>
          <w:p>
            <w:pPr>
              <w:ind w:left="1260"/>
              <w:spacing w:after="0"/>
              <w:rPr>
                <w:sz w:val="20"/>
                <w:szCs w:val="20"/>
                <w:color w:val="auto"/>
              </w:rPr>
            </w:pPr>
            <w:r>
              <w:rPr>
                <w:rFonts w:ascii="Arial" w:cs="Arial" w:eastAsia="Arial" w:hAnsi="Arial"/>
                <w:sz w:val="13"/>
                <w:szCs w:val="13"/>
                <w:color w:val="auto"/>
              </w:rPr>
              <w:t>• Grocery</w:t>
            </w:r>
          </w:p>
        </w:tc>
      </w:tr>
      <w:tr>
        <w:trPr>
          <w:trHeight w:val="148"/>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600" w:type="dxa"/>
            <w:vAlign w:val="bottom"/>
          </w:tcPr>
          <w:p>
            <w:pPr>
              <w:ind w:left="40"/>
              <w:spacing w:after="0"/>
              <w:rPr>
                <w:sz w:val="20"/>
                <w:szCs w:val="20"/>
                <w:color w:val="auto"/>
              </w:rPr>
            </w:pPr>
            <w:r>
              <w:rPr>
                <w:rFonts w:ascii="Arial" w:cs="Arial" w:eastAsia="Arial" w:hAnsi="Arial"/>
                <w:sz w:val="13"/>
                <w:szCs w:val="13"/>
                <w:color w:val="auto"/>
              </w:rPr>
              <w:t>Broadcasting and Entertainment</w:t>
            </w:r>
          </w:p>
        </w:tc>
        <w:tc>
          <w:tcPr>
            <w:tcW w:w="1340" w:type="dxa"/>
            <w:vAlign w:val="bottom"/>
          </w:tcPr>
          <w:p>
            <w:pPr>
              <w:ind w:left="126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Healthcare, Education and Childcare</w:t>
            </w:r>
          </w:p>
        </w:tc>
      </w:tr>
      <w:tr>
        <w:trPr>
          <w:trHeight w:val="148"/>
        </w:trPr>
        <w:tc>
          <w:tcPr>
            <w:tcW w:w="4680" w:type="dxa"/>
            <w:vAlign w:val="bottom"/>
            <w:gridSpan w:val="2"/>
          </w:tcPr>
          <w:p>
            <w:pPr>
              <w:spacing w:after="0"/>
              <w:rPr>
                <w:sz w:val="20"/>
                <w:szCs w:val="20"/>
                <w:color w:val="auto"/>
              </w:rPr>
            </w:pPr>
            <w:r>
              <w:rPr>
                <w:rFonts w:ascii="Arial" w:cs="Arial" w:eastAsia="Arial" w:hAnsi="Arial"/>
                <w:sz w:val="13"/>
                <w:szCs w:val="13"/>
                <w:color w:val="auto"/>
              </w:rPr>
              <w:t>• Buildings and Real Estate</w:t>
            </w:r>
          </w:p>
        </w:tc>
        <w:tc>
          <w:tcPr>
            <w:tcW w:w="5340" w:type="dxa"/>
            <w:vAlign w:val="bottom"/>
            <w:gridSpan w:val="2"/>
          </w:tcPr>
          <w:p>
            <w:pPr>
              <w:ind w:left="1260"/>
              <w:spacing w:after="0"/>
              <w:rPr>
                <w:sz w:val="20"/>
                <w:szCs w:val="20"/>
                <w:color w:val="auto"/>
              </w:rPr>
            </w:pPr>
            <w:r>
              <w:rPr>
                <w:rFonts w:ascii="Arial" w:cs="Arial" w:eastAsia="Arial" w:hAnsi="Arial"/>
                <w:sz w:val="13"/>
                <w:szCs w:val="13"/>
                <w:color w:val="auto"/>
                <w:w w:val="96"/>
              </w:rPr>
              <w:t>• Home &amp; Office Furnishings, Housewares &amp; Durable Consumer Products</w:t>
            </w:r>
          </w:p>
        </w:tc>
      </w:tr>
      <w:tr>
        <w:trPr>
          <w:trHeight w:val="149"/>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600" w:type="dxa"/>
            <w:vAlign w:val="bottom"/>
          </w:tcPr>
          <w:p>
            <w:pPr>
              <w:ind w:left="40"/>
              <w:spacing w:after="0"/>
              <w:rPr>
                <w:sz w:val="20"/>
                <w:szCs w:val="20"/>
                <w:color w:val="auto"/>
              </w:rPr>
            </w:pPr>
            <w:r>
              <w:rPr>
                <w:rFonts w:ascii="Arial" w:cs="Arial" w:eastAsia="Arial" w:hAnsi="Arial"/>
                <w:sz w:val="13"/>
                <w:szCs w:val="13"/>
                <w:color w:val="auto"/>
              </w:rPr>
              <w:t>Business Services</w:t>
            </w:r>
          </w:p>
        </w:tc>
        <w:tc>
          <w:tcPr>
            <w:tcW w:w="1340" w:type="dxa"/>
            <w:vAlign w:val="bottom"/>
          </w:tcPr>
          <w:p>
            <w:pPr>
              <w:ind w:left="126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Hotels, Motels, Inns and Gaming</w:t>
            </w:r>
          </w:p>
        </w:tc>
      </w:tr>
      <w:tr>
        <w:trPr>
          <w:trHeight w:val="148"/>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600" w:type="dxa"/>
            <w:vAlign w:val="bottom"/>
          </w:tcPr>
          <w:p>
            <w:pPr>
              <w:ind w:left="40"/>
              <w:spacing w:after="0"/>
              <w:rPr>
                <w:sz w:val="20"/>
                <w:szCs w:val="20"/>
                <w:color w:val="auto"/>
              </w:rPr>
            </w:pPr>
            <w:r>
              <w:rPr>
                <w:rFonts w:ascii="Arial" w:cs="Arial" w:eastAsia="Arial" w:hAnsi="Arial"/>
                <w:sz w:val="13"/>
                <w:szCs w:val="13"/>
                <w:color w:val="auto"/>
              </w:rPr>
              <w:t>Cable Television</w:t>
            </w:r>
          </w:p>
        </w:tc>
        <w:tc>
          <w:tcPr>
            <w:tcW w:w="1340" w:type="dxa"/>
            <w:vAlign w:val="bottom"/>
          </w:tcPr>
          <w:p>
            <w:pPr>
              <w:ind w:left="126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Insurance</w:t>
            </w:r>
          </w:p>
        </w:tc>
      </w:tr>
      <w:tr>
        <w:trPr>
          <w:trHeight w:val="148"/>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600" w:type="dxa"/>
            <w:vAlign w:val="bottom"/>
          </w:tcPr>
          <w:p>
            <w:pPr>
              <w:ind w:left="40"/>
              <w:spacing w:after="0"/>
              <w:rPr>
                <w:sz w:val="20"/>
                <w:szCs w:val="20"/>
                <w:color w:val="auto"/>
              </w:rPr>
            </w:pPr>
            <w:r>
              <w:rPr>
                <w:rFonts w:ascii="Arial" w:cs="Arial" w:eastAsia="Arial" w:hAnsi="Arial"/>
                <w:sz w:val="13"/>
                <w:szCs w:val="13"/>
                <w:color w:val="auto"/>
              </w:rPr>
              <w:t>Cargo Transportation</w:t>
            </w:r>
          </w:p>
        </w:tc>
        <w:tc>
          <w:tcPr>
            <w:tcW w:w="1340" w:type="dxa"/>
            <w:vAlign w:val="bottom"/>
          </w:tcPr>
          <w:p>
            <w:pPr>
              <w:ind w:left="126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Leisure, Amusement, Motion Picture, Entertainment</w:t>
            </w:r>
          </w:p>
        </w:tc>
      </w:tr>
      <w:tr>
        <w:trPr>
          <w:trHeight w:val="148"/>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600" w:type="dxa"/>
            <w:vAlign w:val="bottom"/>
          </w:tcPr>
          <w:p>
            <w:pPr>
              <w:ind w:left="40"/>
              <w:spacing w:after="0"/>
              <w:rPr>
                <w:sz w:val="20"/>
                <w:szCs w:val="20"/>
                <w:color w:val="auto"/>
              </w:rPr>
            </w:pPr>
            <w:r>
              <w:rPr>
                <w:rFonts w:ascii="Arial" w:cs="Arial" w:eastAsia="Arial" w:hAnsi="Arial"/>
                <w:sz w:val="13"/>
                <w:szCs w:val="13"/>
                <w:color w:val="auto"/>
              </w:rPr>
              <w:t>Chemicals, Plastics and Rubber</w:t>
            </w:r>
          </w:p>
        </w:tc>
        <w:tc>
          <w:tcPr>
            <w:tcW w:w="1340" w:type="dxa"/>
            <w:vAlign w:val="bottom"/>
          </w:tcPr>
          <w:p>
            <w:pPr>
              <w:ind w:left="126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Logistics</w:t>
            </w:r>
          </w:p>
        </w:tc>
      </w:tr>
      <w:tr>
        <w:trPr>
          <w:trHeight w:val="148"/>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600" w:type="dxa"/>
            <w:vAlign w:val="bottom"/>
          </w:tcPr>
          <w:p>
            <w:pPr>
              <w:ind w:left="40"/>
              <w:spacing w:after="0"/>
              <w:rPr>
                <w:sz w:val="20"/>
                <w:szCs w:val="20"/>
                <w:color w:val="auto"/>
              </w:rPr>
            </w:pPr>
            <w:r>
              <w:rPr>
                <w:rFonts w:ascii="Arial" w:cs="Arial" w:eastAsia="Arial" w:hAnsi="Arial"/>
                <w:sz w:val="13"/>
                <w:szCs w:val="13"/>
                <w:color w:val="auto"/>
              </w:rPr>
              <w:t>Communications</w:t>
            </w:r>
          </w:p>
        </w:tc>
        <w:tc>
          <w:tcPr>
            <w:tcW w:w="1340" w:type="dxa"/>
            <w:vAlign w:val="bottom"/>
          </w:tcPr>
          <w:p>
            <w:pPr>
              <w:ind w:left="126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Manufacturing/Basic Industries</w:t>
            </w:r>
          </w:p>
        </w:tc>
      </w:tr>
      <w:tr>
        <w:trPr>
          <w:trHeight w:val="149"/>
        </w:trPr>
        <w:tc>
          <w:tcPr>
            <w:tcW w:w="4680" w:type="dxa"/>
            <w:vAlign w:val="bottom"/>
            <w:gridSpan w:val="2"/>
          </w:tcPr>
          <w:p>
            <w:pPr>
              <w:spacing w:after="0"/>
              <w:rPr>
                <w:sz w:val="20"/>
                <w:szCs w:val="20"/>
                <w:color w:val="auto"/>
              </w:rPr>
            </w:pPr>
            <w:r>
              <w:rPr>
                <w:rFonts w:ascii="Arial" w:cs="Arial" w:eastAsia="Arial" w:hAnsi="Arial"/>
                <w:sz w:val="13"/>
                <w:szCs w:val="13"/>
                <w:color w:val="auto"/>
              </w:rPr>
              <w:t>• Consumer Products</w:t>
            </w:r>
          </w:p>
        </w:tc>
        <w:tc>
          <w:tcPr>
            <w:tcW w:w="5340" w:type="dxa"/>
            <w:vAlign w:val="bottom"/>
            <w:gridSpan w:val="2"/>
          </w:tcPr>
          <w:p>
            <w:pPr>
              <w:ind w:left="1260"/>
              <w:spacing w:after="0"/>
              <w:rPr>
                <w:sz w:val="20"/>
                <w:szCs w:val="20"/>
                <w:color w:val="auto"/>
              </w:rPr>
            </w:pPr>
            <w:r>
              <w:rPr>
                <w:rFonts w:ascii="Arial" w:cs="Arial" w:eastAsia="Arial" w:hAnsi="Arial"/>
                <w:sz w:val="13"/>
                <w:szCs w:val="13"/>
                <w:color w:val="auto"/>
              </w:rPr>
              <w:t>• Media</w:t>
            </w:r>
          </w:p>
        </w:tc>
      </w:tr>
      <w:tr>
        <w:trPr>
          <w:trHeight w:val="148"/>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600" w:type="dxa"/>
            <w:vAlign w:val="bottom"/>
          </w:tcPr>
          <w:p>
            <w:pPr>
              <w:ind w:left="40"/>
              <w:spacing w:after="0"/>
              <w:rPr>
                <w:sz w:val="20"/>
                <w:szCs w:val="20"/>
                <w:color w:val="auto"/>
              </w:rPr>
            </w:pPr>
            <w:r>
              <w:rPr>
                <w:rFonts w:ascii="Arial" w:cs="Arial" w:eastAsia="Arial" w:hAnsi="Arial"/>
                <w:sz w:val="13"/>
                <w:szCs w:val="13"/>
                <w:color w:val="auto"/>
              </w:rPr>
              <w:t>Containers Packaging &amp; Glass</w:t>
            </w:r>
          </w:p>
        </w:tc>
        <w:tc>
          <w:tcPr>
            <w:tcW w:w="1340" w:type="dxa"/>
            <w:vAlign w:val="bottom"/>
          </w:tcPr>
          <w:p>
            <w:pPr>
              <w:ind w:left="126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Mining, Steel, Iron and Non-Precious Metals</w:t>
            </w:r>
          </w:p>
        </w:tc>
      </w:tr>
      <w:tr>
        <w:trPr>
          <w:trHeight w:val="148"/>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600" w:type="dxa"/>
            <w:vAlign w:val="bottom"/>
          </w:tcPr>
          <w:p>
            <w:pPr>
              <w:ind w:left="40"/>
              <w:spacing w:after="0"/>
              <w:rPr>
                <w:sz w:val="20"/>
                <w:szCs w:val="20"/>
                <w:color w:val="auto"/>
              </w:rPr>
            </w:pPr>
            <w:r>
              <w:rPr>
                <w:rFonts w:ascii="Arial" w:cs="Arial" w:eastAsia="Arial" w:hAnsi="Arial"/>
                <w:sz w:val="13"/>
                <w:szCs w:val="13"/>
                <w:color w:val="auto"/>
              </w:rPr>
              <w:t>Distribution</w:t>
            </w:r>
          </w:p>
        </w:tc>
        <w:tc>
          <w:tcPr>
            <w:tcW w:w="1340" w:type="dxa"/>
            <w:vAlign w:val="bottom"/>
          </w:tcPr>
          <w:p>
            <w:pPr>
              <w:ind w:left="126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Oil and Gas</w:t>
            </w:r>
          </w:p>
        </w:tc>
      </w:tr>
      <w:tr>
        <w:trPr>
          <w:trHeight w:val="148"/>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600" w:type="dxa"/>
            <w:vAlign w:val="bottom"/>
          </w:tcPr>
          <w:p>
            <w:pPr>
              <w:ind w:left="40"/>
              <w:spacing w:after="0"/>
              <w:rPr>
                <w:sz w:val="20"/>
                <w:szCs w:val="20"/>
                <w:color w:val="auto"/>
              </w:rPr>
            </w:pPr>
            <w:r>
              <w:rPr>
                <w:rFonts w:ascii="Arial" w:cs="Arial" w:eastAsia="Arial" w:hAnsi="Arial"/>
                <w:sz w:val="13"/>
                <w:szCs w:val="13"/>
                <w:color w:val="auto"/>
              </w:rPr>
              <w:t>Diversified/Conglomerate Manufacturing</w:t>
            </w:r>
          </w:p>
        </w:tc>
        <w:tc>
          <w:tcPr>
            <w:tcW w:w="1340" w:type="dxa"/>
            <w:vAlign w:val="bottom"/>
          </w:tcPr>
          <w:p>
            <w:pPr>
              <w:ind w:left="126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Other Media</w:t>
            </w:r>
          </w:p>
        </w:tc>
      </w:tr>
      <w:tr>
        <w:trPr>
          <w:trHeight w:val="148"/>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600" w:type="dxa"/>
            <w:vAlign w:val="bottom"/>
          </w:tcPr>
          <w:p>
            <w:pPr>
              <w:ind w:left="40"/>
              <w:spacing w:after="0"/>
              <w:rPr>
                <w:sz w:val="20"/>
                <w:szCs w:val="20"/>
                <w:color w:val="auto"/>
              </w:rPr>
            </w:pPr>
            <w:r>
              <w:rPr>
                <w:rFonts w:ascii="Arial" w:cs="Arial" w:eastAsia="Arial" w:hAnsi="Arial"/>
                <w:sz w:val="13"/>
                <w:szCs w:val="13"/>
                <w:color w:val="auto"/>
              </w:rPr>
              <w:t>Diversified/Conglomerate Services</w:t>
            </w:r>
          </w:p>
        </w:tc>
        <w:tc>
          <w:tcPr>
            <w:tcW w:w="1340" w:type="dxa"/>
            <w:vAlign w:val="bottom"/>
          </w:tcPr>
          <w:p>
            <w:pPr>
              <w:ind w:left="126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Personal, Food and Miscellaneous Services</w:t>
            </w:r>
          </w:p>
        </w:tc>
      </w:tr>
      <w:tr>
        <w:trPr>
          <w:trHeight w:val="149"/>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600" w:type="dxa"/>
            <w:vAlign w:val="bottom"/>
          </w:tcPr>
          <w:p>
            <w:pPr>
              <w:ind w:left="40"/>
              <w:spacing w:after="0"/>
              <w:rPr>
                <w:sz w:val="20"/>
                <w:szCs w:val="20"/>
                <w:color w:val="auto"/>
              </w:rPr>
            </w:pPr>
            <w:r>
              <w:rPr>
                <w:rFonts w:ascii="Arial" w:cs="Arial" w:eastAsia="Arial" w:hAnsi="Arial"/>
                <w:sz w:val="13"/>
                <w:szCs w:val="13"/>
                <w:color w:val="auto"/>
              </w:rPr>
              <w:t>Diversified Natural Resources, Precious Metals and Minerals</w:t>
            </w:r>
          </w:p>
        </w:tc>
        <w:tc>
          <w:tcPr>
            <w:tcW w:w="1340" w:type="dxa"/>
            <w:vAlign w:val="bottom"/>
          </w:tcPr>
          <w:p>
            <w:pPr>
              <w:ind w:left="126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Printing and Publishing</w:t>
            </w:r>
          </w:p>
        </w:tc>
      </w:tr>
      <w:tr>
        <w:trPr>
          <w:trHeight w:val="148"/>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600" w:type="dxa"/>
            <w:vAlign w:val="bottom"/>
          </w:tcPr>
          <w:p>
            <w:pPr>
              <w:ind w:left="40"/>
              <w:spacing w:after="0"/>
              <w:rPr>
                <w:sz w:val="20"/>
                <w:szCs w:val="20"/>
                <w:color w:val="auto"/>
              </w:rPr>
            </w:pPr>
            <w:r>
              <w:rPr>
                <w:rFonts w:ascii="Arial" w:cs="Arial" w:eastAsia="Arial" w:hAnsi="Arial"/>
                <w:sz w:val="13"/>
                <w:szCs w:val="13"/>
                <w:color w:val="auto"/>
              </w:rPr>
              <w:t>Education</w:t>
            </w:r>
          </w:p>
        </w:tc>
        <w:tc>
          <w:tcPr>
            <w:tcW w:w="1340" w:type="dxa"/>
            <w:vAlign w:val="bottom"/>
          </w:tcPr>
          <w:p>
            <w:pPr>
              <w:ind w:left="126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Retail Stores</w:t>
            </w:r>
          </w:p>
        </w:tc>
      </w:tr>
      <w:tr>
        <w:trPr>
          <w:trHeight w:val="148"/>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600" w:type="dxa"/>
            <w:vAlign w:val="bottom"/>
          </w:tcPr>
          <w:p>
            <w:pPr>
              <w:ind w:left="40"/>
              <w:spacing w:after="0"/>
              <w:rPr>
                <w:sz w:val="20"/>
                <w:szCs w:val="20"/>
                <w:color w:val="auto"/>
              </w:rPr>
            </w:pPr>
            <w:r>
              <w:rPr>
                <w:rFonts w:ascii="Arial" w:cs="Arial" w:eastAsia="Arial" w:hAnsi="Arial"/>
                <w:sz w:val="13"/>
                <w:szCs w:val="13"/>
                <w:color w:val="auto"/>
              </w:rPr>
              <w:t>Electronics</w:t>
            </w:r>
          </w:p>
        </w:tc>
        <w:tc>
          <w:tcPr>
            <w:tcW w:w="1340" w:type="dxa"/>
            <w:vAlign w:val="bottom"/>
          </w:tcPr>
          <w:p>
            <w:pPr>
              <w:ind w:left="1260"/>
              <w:spacing w:after="0"/>
              <w:rPr>
                <w:sz w:val="20"/>
                <w:szCs w:val="20"/>
                <w:color w:val="auto"/>
              </w:rPr>
            </w:pPr>
            <w:r>
              <w:rPr>
                <w:rFonts w:ascii="Arial" w:cs="Arial" w:eastAsia="Arial" w:hAnsi="Arial"/>
                <w:sz w:val="13"/>
                <w:szCs w:val="13"/>
                <w:color w:val="auto"/>
              </w:rPr>
              <w:t>•</w:t>
            </w:r>
          </w:p>
        </w:tc>
        <w:tc>
          <w:tcPr>
            <w:tcW w:w="4000" w:type="dxa"/>
            <w:vAlign w:val="bottom"/>
          </w:tcPr>
          <w:p>
            <w:pPr>
              <w:ind w:left="40"/>
              <w:spacing w:after="0"/>
              <w:rPr>
                <w:sz w:val="20"/>
                <w:szCs w:val="20"/>
                <w:color w:val="auto"/>
              </w:rPr>
            </w:pPr>
            <w:r>
              <w:rPr>
                <w:rFonts w:ascii="Arial" w:cs="Arial" w:eastAsia="Arial" w:hAnsi="Arial"/>
                <w:sz w:val="13"/>
                <w:szCs w:val="13"/>
                <w:color w:val="auto"/>
              </w:rPr>
              <w:t>Telecommunications</w:t>
            </w:r>
          </w:p>
        </w:tc>
      </w:tr>
      <w:tr>
        <w:trPr>
          <w:trHeight w:val="172"/>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4600" w:type="dxa"/>
            <w:vAlign w:val="bottom"/>
          </w:tcPr>
          <w:p>
            <w:pPr>
              <w:ind w:left="40"/>
              <w:spacing w:after="0"/>
              <w:rPr>
                <w:sz w:val="20"/>
                <w:szCs w:val="20"/>
                <w:color w:val="auto"/>
              </w:rPr>
            </w:pPr>
            <w:r>
              <w:rPr>
                <w:rFonts w:ascii="Arial" w:cs="Arial" w:eastAsia="Arial" w:hAnsi="Arial"/>
                <w:sz w:val="13"/>
                <w:szCs w:val="13"/>
                <w:color w:val="auto"/>
              </w:rPr>
              <w:t>Energy/Utilities</w:t>
            </w:r>
          </w:p>
        </w:tc>
        <w:tc>
          <w:tcPr>
            <w:tcW w:w="1340" w:type="dxa"/>
            <w:vAlign w:val="bottom"/>
          </w:tcPr>
          <w:p>
            <w:pPr>
              <w:spacing w:after="0"/>
              <w:rPr>
                <w:sz w:val="14"/>
                <w:szCs w:val="14"/>
                <w:color w:val="auto"/>
              </w:rPr>
            </w:pPr>
          </w:p>
        </w:tc>
        <w:tc>
          <w:tcPr>
            <w:tcW w:w="4000" w:type="dxa"/>
            <w:vAlign w:val="bottom"/>
          </w:tcPr>
          <w:p>
            <w:pPr>
              <w:spacing w:after="0"/>
              <w:rPr>
                <w:sz w:val="14"/>
                <w:szCs w:val="14"/>
                <w:color w:val="auto"/>
              </w:rPr>
            </w:pPr>
          </w:p>
        </w:tc>
      </w:tr>
    </w:tbl>
    <w:p>
      <w:pPr>
        <w:spacing w:after="0" w:line="1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Listed below are our top ten portfolio companies and industries represented as a percentage of our consolidated portfolio assets (excluding cash equivalents) as of September 30,: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ind w:left="20"/>
              <w:spacing w:after="0"/>
              <w:rPr>
                <w:sz w:val="20"/>
                <w:szCs w:val="20"/>
                <w:color w:val="auto"/>
              </w:rPr>
            </w:pPr>
            <w:r>
              <w:rPr>
                <w:rFonts w:ascii="Arial" w:cs="Arial" w:eastAsia="Arial" w:hAnsi="Arial"/>
                <w:sz w:val="13"/>
                <w:szCs w:val="13"/>
                <w:b w:val="1"/>
                <w:bCs w:val="1"/>
                <w:color w:val="auto"/>
                <w:w w:val="97"/>
              </w:rPr>
              <w:t>Portfolio Company</w:t>
            </w:r>
          </w:p>
        </w:tc>
        <w:tc>
          <w:tcPr>
            <w:tcW w:w="3800" w:type="dxa"/>
            <w:vAlign w:val="bottom"/>
          </w:tcPr>
          <w:p>
            <w:pPr>
              <w:spacing w:after="0"/>
              <w:rPr>
                <w:sz w:val="14"/>
                <w:szCs w:val="14"/>
                <w:color w:val="auto"/>
              </w:rPr>
            </w:pPr>
          </w:p>
        </w:tc>
        <w:tc>
          <w:tcPr>
            <w:tcW w:w="420" w:type="dxa"/>
            <w:vAlign w:val="bottom"/>
            <w:gridSpan w:val="2"/>
          </w:tcPr>
          <w:p>
            <w:pPr>
              <w:jc w:val="right"/>
              <w:ind w:right="98"/>
              <w:spacing w:after="0"/>
              <w:rPr>
                <w:sz w:val="20"/>
                <w:szCs w:val="20"/>
                <w:color w:val="auto"/>
              </w:rPr>
            </w:pPr>
            <w:r>
              <w:rPr>
                <w:rFonts w:ascii="Arial" w:cs="Arial" w:eastAsia="Arial" w:hAnsi="Arial"/>
                <w:sz w:val="13"/>
                <w:szCs w:val="13"/>
                <w:b w:val="1"/>
                <w:bCs w:val="1"/>
                <w:color w:val="auto"/>
                <w:w w:val="82"/>
              </w:rPr>
              <w:t>2012</w:t>
            </w:r>
          </w:p>
        </w:tc>
        <w:tc>
          <w:tcPr>
            <w:tcW w:w="5300" w:type="dxa"/>
            <w:vAlign w:val="bottom"/>
            <w:gridSpan w:val="3"/>
          </w:tcPr>
          <w:p>
            <w:pPr>
              <w:ind w:left="320"/>
              <w:spacing w:after="0"/>
              <w:rPr>
                <w:sz w:val="20"/>
                <w:szCs w:val="20"/>
                <w:color w:val="auto"/>
              </w:rPr>
            </w:pPr>
            <w:r>
              <w:rPr>
                <w:rFonts w:ascii="Arial" w:cs="Arial" w:eastAsia="Arial" w:hAnsi="Arial"/>
                <w:sz w:val="13"/>
                <w:szCs w:val="13"/>
                <w:b w:val="1"/>
                <w:bCs w:val="1"/>
                <w:color w:val="auto"/>
              </w:rPr>
              <w:t>Portfolio Company</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160" w:type="dxa"/>
            <w:vAlign w:val="bottom"/>
            <w:tcBorders>
              <w:bottom w:val="single" w:sz="8" w:color="CCEEFF"/>
            </w:tcBorders>
            <w:shd w:val="clear" w:color="auto" w:fill="000000"/>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980" w:type="dxa"/>
            <w:vAlign w:val="bottom"/>
            <w:tcBorders>
              <w:bottom w:val="single" w:sz="8" w:color="CCEEFF"/>
            </w:tcBorders>
            <w:gridSpan w:val="2"/>
            <w:shd w:val="clear" w:color="auto" w:fill="CCEEFF"/>
          </w:tcPr>
          <w:p>
            <w:pPr>
              <w:ind w:left="20"/>
              <w:spacing w:after="0" w:line="111" w:lineRule="exact"/>
              <w:rPr>
                <w:sz w:val="20"/>
                <w:szCs w:val="20"/>
                <w:color w:val="auto"/>
              </w:rPr>
            </w:pPr>
            <w:r>
              <w:rPr>
                <w:rFonts w:ascii="Arial" w:cs="Arial" w:eastAsia="Arial" w:hAnsi="Arial"/>
                <w:sz w:val="12"/>
                <w:szCs w:val="12"/>
                <w:color w:val="auto"/>
              </w:rPr>
              <w:t>Last Mile Funding, Corp. (3 PD, Inc.)</w:t>
            </w:r>
          </w:p>
        </w:tc>
        <w:tc>
          <w:tcPr>
            <w:tcW w:w="260" w:type="dxa"/>
            <w:vAlign w:val="bottom"/>
            <w:tcBorders>
              <w:bottom w:val="single" w:sz="8" w:color="CCEEFF"/>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5</w:t>
            </w:r>
          </w:p>
        </w:tc>
        <w:tc>
          <w:tcPr>
            <w:tcW w:w="160" w:type="dxa"/>
            <w:vAlign w:val="bottom"/>
            <w:tcBorders>
              <w:bottom w:val="single" w:sz="8" w:color="CCEEFF"/>
            </w:tcBorders>
            <w:shd w:val="clear" w:color="auto" w:fill="CCEEFF"/>
          </w:tcPr>
          <w:p>
            <w:pPr>
              <w:jc w:val="right"/>
              <w:spacing w:after="0" w:line="111" w:lineRule="exact"/>
              <w:rPr>
                <w:sz w:val="20"/>
                <w:szCs w:val="20"/>
                <w:color w:val="auto"/>
              </w:rPr>
            </w:pPr>
            <w:r>
              <w:rPr>
                <w:rFonts w:ascii="Arial" w:cs="Arial" w:eastAsia="Arial" w:hAnsi="Arial"/>
                <w:sz w:val="12"/>
                <w:szCs w:val="12"/>
                <w:color w:val="auto"/>
                <w:w w:val="93"/>
              </w:rPr>
              <w:t>%</w:t>
            </w:r>
          </w:p>
        </w:tc>
        <w:tc>
          <w:tcPr>
            <w:tcW w:w="340" w:type="dxa"/>
            <w:vAlign w:val="bottom"/>
            <w:vMerge w:val="continue"/>
          </w:tcPr>
          <w:p>
            <w:pPr>
              <w:spacing w:after="0"/>
              <w:rPr>
                <w:sz w:val="10"/>
                <w:szCs w:val="10"/>
                <w:color w:val="auto"/>
              </w:rPr>
            </w:pPr>
          </w:p>
        </w:tc>
        <w:tc>
          <w:tcPr>
            <w:tcW w:w="4960" w:type="dxa"/>
            <w:vAlign w:val="bottom"/>
            <w:tcBorders>
              <w:bottom w:val="single" w:sz="8" w:color="CCEEFF"/>
            </w:tcBorders>
            <w:gridSpan w:val="2"/>
            <w:shd w:val="clear" w:color="auto" w:fill="CCEEFF"/>
          </w:tcPr>
          <w:p>
            <w:pPr>
              <w:spacing w:after="0" w:line="111" w:lineRule="exact"/>
              <w:rPr>
                <w:sz w:val="20"/>
                <w:szCs w:val="20"/>
                <w:color w:val="auto"/>
              </w:rPr>
            </w:pPr>
            <w:r>
              <w:rPr>
                <w:rFonts w:ascii="Arial" w:cs="Arial" w:eastAsia="Arial" w:hAnsi="Arial"/>
                <w:sz w:val="12"/>
                <w:szCs w:val="12"/>
                <w:color w:val="auto"/>
              </w:rPr>
              <w:t>Magnum Hunter Resources Corporation</w:t>
            </w:r>
          </w:p>
        </w:tc>
        <w:tc>
          <w:tcPr>
            <w:tcW w:w="26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80" w:type="dxa"/>
            <w:vAlign w:val="bottom"/>
            <w:gridSpan w:val="2"/>
            <w:vMerge w:val="restart"/>
          </w:tcPr>
          <w:p>
            <w:pPr>
              <w:ind w:left="20"/>
              <w:spacing w:after="0"/>
              <w:rPr>
                <w:sz w:val="20"/>
                <w:szCs w:val="20"/>
                <w:color w:val="auto"/>
              </w:rPr>
            </w:pPr>
            <w:r>
              <w:rPr>
                <w:rFonts w:ascii="Arial" w:cs="Arial" w:eastAsia="Arial" w:hAnsi="Arial"/>
                <w:sz w:val="13"/>
                <w:szCs w:val="13"/>
                <w:color w:val="auto"/>
              </w:rPr>
              <w:t>Magnum Hunter Resources Corporation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960" w:type="dxa"/>
            <w:vAlign w:val="bottom"/>
            <w:gridSpan w:val="2"/>
            <w:shd w:val="clear" w:color="auto" w:fill="CCEEFF"/>
          </w:tcPr>
          <w:p>
            <w:pPr>
              <w:ind w:left="200"/>
              <w:spacing w:after="0" w:line="148" w:lineRule="exact"/>
              <w:rPr>
                <w:sz w:val="20"/>
                <w:szCs w:val="20"/>
                <w:color w:val="auto"/>
              </w:rPr>
            </w:pPr>
            <w:r>
              <w:rPr>
                <w:rFonts w:ascii="Arial" w:cs="Arial" w:eastAsia="Arial" w:hAnsi="Arial"/>
                <w:sz w:val="13"/>
                <w:szCs w:val="13"/>
                <w:color w:val="auto"/>
              </w:rPr>
              <w:t>(Eureka Hunter Pipeline, LLC)</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57"/>
        </w:trPr>
        <w:tc>
          <w:tcPr>
            <w:tcW w:w="49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980" w:type="dxa"/>
            <w:vAlign w:val="bottom"/>
            <w:gridSpan w:val="2"/>
          </w:tcPr>
          <w:p>
            <w:pPr>
              <w:ind w:left="220"/>
              <w:spacing w:after="0"/>
              <w:rPr>
                <w:sz w:val="20"/>
                <w:szCs w:val="20"/>
                <w:color w:val="auto"/>
              </w:rPr>
            </w:pPr>
            <w:r>
              <w:rPr>
                <w:rFonts w:ascii="Arial" w:cs="Arial" w:eastAsia="Arial" w:hAnsi="Arial"/>
                <w:sz w:val="13"/>
                <w:szCs w:val="13"/>
                <w:color w:val="auto"/>
              </w:rPr>
              <w:t>(Eureka Hunter Pipeline, LLC)</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5300" w:type="dxa"/>
            <w:vAlign w:val="bottom"/>
            <w:gridSpan w:val="3"/>
          </w:tcPr>
          <w:p>
            <w:pPr>
              <w:ind w:left="320"/>
              <w:spacing w:after="0"/>
              <w:rPr>
                <w:sz w:val="20"/>
                <w:szCs w:val="20"/>
                <w:color w:val="auto"/>
              </w:rPr>
            </w:pPr>
            <w:r>
              <w:rPr>
                <w:rFonts w:ascii="Arial" w:cs="Arial" w:eastAsia="Arial" w:hAnsi="Arial"/>
                <w:sz w:val="13"/>
                <w:szCs w:val="13"/>
                <w:color w:val="auto"/>
              </w:rPr>
              <w:t>Last Mile Funding Corp. (3PD, Inc.)</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3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1160" w:type="dxa"/>
            <w:vAlign w:val="bottom"/>
          </w:tcPr>
          <w:p>
            <w:pPr>
              <w:spacing w:after="0"/>
              <w:rPr>
                <w:sz w:val="3"/>
                <w:szCs w:val="3"/>
                <w:color w:val="auto"/>
              </w:rPr>
            </w:pPr>
          </w:p>
        </w:tc>
        <w:tc>
          <w:tcPr>
            <w:tcW w:w="3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LTI Flexible Products, Inc.</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340" w:type="dxa"/>
            <w:vAlign w:val="bottom"/>
            <w:vMerge w:val="continue"/>
          </w:tcPr>
          <w:p>
            <w:pPr>
              <w:spacing w:after="0"/>
              <w:rPr>
                <w:sz w:val="12"/>
                <w:szCs w:val="12"/>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Pre-Paid Legal Services, Inc.</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5"/>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New Service Champ Holdings, Inc.</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300" w:type="dxa"/>
            <w:vAlign w:val="bottom"/>
            <w:gridSpan w:val="3"/>
          </w:tcPr>
          <w:p>
            <w:pPr>
              <w:ind w:left="320"/>
              <w:spacing w:after="0"/>
              <w:rPr>
                <w:sz w:val="20"/>
                <w:szCs w:val="20"/>
                <w:color w:val="auto"/>
              </w:rPr>
            </w:pPr>
            <w:r>
              <w:rPr>
                <w:rFonts w:ascii="Arial" w:cs="Arial" w:eastAsia="Arial" w:hAnsi="Arial"/>
                <w:sz w:val="13"/>
                <w:szCs w:val="13"/>
                <w:color w:val="auto"/>
              </w:rPr>
              <w:t>Kadmon Pharmaceuticals LLC</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80" w:type="dxa"/>
            <w:vAlign w:val="bottom"/>
            <w:gridSpan w:val="2"/>
          </w:tcPr>
          <w:p>
            <w:pPr>
              <w:ind w:left="220"/>
              <w:spacing w:after="0"/>
              <w:rPr>
                <w:sz w:val="20"/>
                <w:szCs w:val="20"/>
                <w:color w:val="auto"/>
              </w:rPr>
            </w:pPr>
            <w:r>
              <w:rPr>
                <w:rFonts w:ascii="Arial" w:cs="Arial" w:eastAsia="Arial" w:hAnsi="Arial"/>
                <w:sz w:val="13"/>
                <w:szCs w:val="13"/>
                <w:color w:val="auto"/>
              </w:rPr>
              <w:t>(Service Champ Inc.)</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340" w:type="dxa"/>
            <w:vAlign w:val="bottom"/>
          </w:tcPr>
          <w:p>
            <w:pPr>
              <w:spacing w:after="0"/>
              <w:rPr>
                <w:sz w:val="16"/>
                <w:szCs w:val="16"/>
                <w:color w:val="auto"/>
              </w:rPr>
            </w:pPr>
          </w:p>
        </w:tc>
        <w:tc>
          <w:tcPr>
            <w:tcW w:w="4960" w:type="dxa"/>
            <w:vAlign w:val="bottom"/>
            <w:gridSpan w:val="2"/>
          </w:tcPr>
          <w:p>
            <w:pPr>
              <w:ind w:left="200"/>
              <w:spacing w:after="0"/>
              <w:rPr>
                <w:sz w:val="20"/>
                <w:szCs w:val="20"/>
                <w:color w:val="auto"/>
              </w:rPr>
            </w:pPr>
            <w:r>
              <w:rPr>
                <w:rFonts w:ascii="Arial" w:cs="Arial" w:eastAsia="Arial" w:hAnsi="Arial"/>
                <w:sz w:val="13"/>
                <w:szCs w:val="13"/>
                <w:color w:val="auto"/>
              </w:rPr>
              <w:t>(f/k/a Three River Pharmaceuticals LLC)</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55"/>
        </w:trPr>
        <w:tc>
          <w:tcPr>
            <w:tcW w:w="118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Pre-Paid Legal Services, Inc.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340" w:type="dxa"/>
            <w:vAlign w:val="bottom"/>
            <w:vMerge w:val="continue"/>
          </w:tcPr>
          <w:p>
            <w:pPr>
              <w:spacing w:after="0"/>
              <w:rPr>
                <w:sz w:val="12"/>
                <w:szCs w:val="12"/>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Learning Care Group, Inc.</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29"/>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American Gilsonite Company</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5300" w:type="dxa"/>
            <w:vAlign w:val="bottom"/>
            <w:gridSpan w:val="3"/>
          </w:tcPr>
          <w:p>
            <w:pPr>
              <w:ind w:left="320"/>
              <w:spacing w:after="0"/>
              <w:rPr>
                <w:sz w:val="20"/>
                <w:szCs w:val="20"/>
                <w:color w:val="auto"/>
              </w:rPr>
            </w:pPr>
            <w:r>
              <w:rPr>
                <w:rFonts w:ascii="Arial" w:cs="Arial" w:eastAsia="Arial" w:hAnsi="Arial"/>
                <w:sz w:val="13"/>
                <w:szCs w:val="13"/>
                <w:color w:val="auto"/>
              </w:rPr>
              <w:t>LTI Flexible Products, Inc.</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55"/>
        </w:trPr>
        <w:tc>
          <w:tcPr>
            <w:tcW w:w="118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Brand Energy and Infrastructure Services, Inc.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340" w:type="dxa"/>
            <w:vAlign w:val="bottom"/>
            <w:vMerge w:val="continue"/>
          </w:tcPr>
          <w:p>
            <w:pPr>
              <w:spacing w:after="0"/>
              <w:rPr>
                <w:sz w:val="12"/>
                <w:szCs w:val="12"/>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Veritext Corporation</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29"/>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Learning Care Group, Inc.</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5300" w:type="dxa"/>
            <w:vAlign w:val="bottom"/>
            <w:gridSpan w:val="3"/>
          </w:tcPr>
          <w:p>
            <w:pPr>
              <w:ind w:left="320"/>
              <w:spacing w:after="0"/>
              <w:rPr>
                <w:sz w:val="20"/>
                <w:szCs w:val="20"/>
                <w:color w:val="auto"/>
              </w:rPr>
            </w:pPr>
            <w:r>
              <w:rPr>
                <w:rFonts w:ascii="Arial" w:cs="Arial" w:eastAsia="Arial" w:hAnsi="Arial"/>
                <w:sz w:val="13"/>
                <w:szCs w:val="13"/>
                <w:color w:val="auto"/>
              </w:rPr>
              <w:t>Instant Web, Inc.</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55"/>
        </w:trPr>
        <w:tc>
          <w:tcPr>
            <w:tcW w:w="118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Penton Media, Inc.</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340" w:type="dxa"/>
            <w:vAlign w:val="bottom"/>
            <w:vMerge w:val="continue"/>
          </w:tcPr>
          <w:p>
            <w:pPr>
              <w:spacing w:after="0"/>
              <w:rPr>
                <w:sz w:val="12"/>
                <w:szCs w:val="12"/>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Penton Media, Inc.</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29"/>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Prince Mineral Holdings Corp.</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5300" w:type="dxa"/>
            <w:vAlign w:val="bottom"/>
            <w:gridSpan w:val="3"/>
          </w:tcPr>
          <w:p>
            <w:pPr>
              <w:ind w:left="320"/>
              <w:spacing w:after="0"/>
              <w:rPr>
                <w:sz w:val="20"/>
                <w:szCs w:val="20"/>
                <w:color w:val="auto"/>
              </w:rPr>
            </w:pPr>
            <w:r>
              <w:rPr>
                <w:rFonts w:ascii="Arial" w:cs="Arial" w:eastAsia="Arial" w:hAnsi="Arial"/>
                <w:sz w:val="13"/>
                <w:szCs w:val="13"/>
                <w:color w:val="auto"/>
              </w:rPr>
              <w:t>Prince Mineral Holdings Corp.</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405"/>
        </w:trPr>
        <w:tc>
          <w:tcPr>
            <w:tcW w:w="11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200"/>
              <w:spacing w:after="0"/>
              <w:rPr>
                <w:sz w:val="20"/>
                <w:szCs w:val="20"/>
                <w:color w:val="auto"/>
              </w:rPr>
            </w:pPr>
            <w:r>
              <w:rPr>
                <w:rFonts w:ascii="Arial" w:cs="Arial" w:eastAsia="Arial" w:hAnsi="Arial"/>
                <w:sz w:val="13"/>
                <w:szCs w:val="13"/>
                <w:color w:val="auto"/>
              </w:rPr>
              <w:t>6</w:t>
            </w:r>
          </w:p>
        </w:tc>
        <w:tc>
          <w:tcPr>
            <w:tcW w:w="1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ind w:left="20"/>
              <w:spacing w:after="0"/>
              <w:rPr>
                <w:sz w:val="20"/>
                <w:szCs w:val="20"/>
                <w:color w:val="auto"/>
              </w:rPr>
            </w:pPr>
            <w:r>
              <w:rPr>
                <w:rFonts w:ascii="Arial" w:cs="Arial" w:eastAsia="Arial" w:hAnsi="Arial"/>
                <w:sz w:val="13"/>
                <w:szCs w:val="13"/>
                <w:b w:val="1"/>
                <w:bCs w:val="1"/>
                <w:color w:val="auto"/>
                <w:w w:val="97"/>
              </w:rPr>
              <w:t>Industry</w:t>
            </w:r>
          </w:p>
        </w:tc>
        <w:tc>
          <w:tcPr>
            <w:tcW w:w="4440" w:type="dxa"/>
            <w:vAlign w:val="bottom"/>
          </w:tcPr>
          <w:p>
            <w:pPr>
              <w:spacing w:after="0"/>
              <w:rPr>
                <w:sz w:val="14"/>
                <w:szCs w:val="14"/>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2"/>
              </w:rPr>
              <w:t>2012</w:t>
            </w:r>
          </w:p>
        </w:tc>
        <w:tc>
          <w:tcPr>
            <w:tcW w:w="5300" w:type="dxa"/>
            <w:vAlign w:val="bottom"/>
            <w:gridSpan w:val="3"/>
          </w:tcPr>
          <w:p>
            <w:pPr>
              <w:ind w:left="320"/>
              <w:spacing w:after="0"/>
              <w:rPr>
                <w:sz w:val="20"/>
                <w:szCs w:val="20"/>
                <w:color w:val="auto"/>
              </w:rPr>
            </w:pPr>
            <w:r>
              <w:rPr>
                <w:rFonts w:ascii="Arial" w:cs="Arial" w:eastAsia="Arial" w:hAnsi="Arial"/>
                <w:sz w:val="13"/>
                <w:szCs w:val="13"/>
                <w:b w:val="1"/>
                <w:bCs w:val="1"/>
                <w:color w:val="auto"/>
              </w:rPr>
              <w:t>Industry</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98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3"/>
                <w:szCs w:val="13"/>
                <w:color w:val="auto"/>
              </w:rPr>
              <w:t>Healthcare, Education &amp; Childcare</w:t>
            </w: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8%</w:t>
            </w:r>
          </w:p>
        </w:tc>
        <w:tc>
          <w:tcPr>
            <w:tcW w:w="340" w:type="dxa"/>
            <w:vAlign w:val="bottom"/>
          </w:tcPr>
          <w:p>
            <w:pPr>
              <w:spacing w:after="0"/>
              <w:rPr>
                <w:sz w:val="11"/>
                <w:szCs w:val="11"/>
                <w:color w:val="auto"/>
              </w:rPr>
            </w:pPr>
          </w:p>
        </w:tc>
        <w:tc>
          <w:tcPr>
            <w:tcW w:w="496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Business Services</w:t>
            </w: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29"/>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Electronics</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7%</w:t>
            </w:r>
          </w:p>
        </w:tc>
        <w:tc>
          <w:tcPr>
            <w:tcW w:w="5300" w:type="dxa"/>
            <w:vAlign w:val="bottom"/>
            <w:gridSpan w:val="3"/>
          </w:tcPr>
          <w:p>
            <w:pPr>
              <w:ind w:left="320"/>
              <w:spacing w:after="0"/>
              <w:rPr>
                <w:sz w:val="20"/>
                <w:szCs w:val="20"/>
                <w:color w:val="auto"/>
              </w:rPr>
            </w:pPr>
            <w:r>
              <w:rPr>
                <w:rFonts w:ascii="Arial" w:cs="Arial" w:eastAsia="Arial" w:hAnsi="Arial"/>
                <w:sz w:val="13"/>
                <w:szCs w:val="13"/>
                <w:color w:val="auto"/>
              </w:rPr>
              <w:t>Healthcare, Education &amp; Childcare</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55"/>
        </w:trPr>
        <w:tc>
          <w:tcPr>
            <w:tcW w:w="540" w:type="dxa"/>
            <w:vAlign w:val="bottom"/>
          </w:tcPr>
          <w:p>
            <w:pPr>
              <w:spacing w:after="0"/>
              <w:rPr>
                <w:sz w:val="4"/>
                <w:szCs w:val="4"/>
                <w:color w:val="auto"/>
              </w:rPr>
            </w:pPr>
          </w:p>
        </w:tc>
        <w:tc>
          <w:tcPr>
            <w:tcW w:w="4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vMerge w:val="restart"/>
          </w:tcPr>
          <w:p>
            <w:pPr>
              <w:spacing w:after="0"/>
              <w:rPr>
                <w:sz w:val="4"/>
                <w:szCs w:val="4"/>
                <w:color w:val="auto"/>
              </w:rPr>
            </w:pPr>
          </w:p>
        </w:tc>
        <w:tc>
          <w:tcPr>
            <w:tcW w:w="500" w:type="dxa"/>
            <w:vAlign w:val="bottom"/>
          </w:tcPr>
          <w:p>
            <w:pPr>
              <w:spacing w:after="0"/>
              <w:rPr>
                <w:sz w:val="4"/>
                <w:szCs w:val="4"/>
                <w:color w:val="auto"/>
              </w:rPr>
            </w:pPr>
          </w:p>
        </w:tc>
        <w:tc>
          <w:tcPr>
            <w:tcW w:w="4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Energy/Utilities</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c>
          <w:tcPr>
            <w:tcW w:w="340" w:type="dxa"/>
            <w:vAlign w:val="bottom"/>
            <w:vMerge w:val="continue"/>
          </w:tcPr>
          <w:p>
            <w:pPr>
              <w:spacing w:after="0"/>
              <w:rPr>
                <w:sz w:val="12"/>
                <w:szCs w:val="12"/>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Energy/Utilities</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29"/>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Auto Sector</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6%</w:t>
            </w:r>
          </w:p>
        </w:tc>
        <w:tc>
          <w:tcPr>
            <w:tcW w:w="5300" w:type="dxa"/>
            <w:vAlign w:val="bottom"/>
            <w:gridSpan w:val="3"/>
          </w:tcPr>
          <w:p>
            <w:pPr>
              <w:ind w:left="320"/>
              <w:spacing w:after="0"/>
              <w:rPr>
                <w:sz w:val="20"/>
                <w:szCs w:val="20"/>
                <w:color w:val="auto"/>
              </w:rPr>
            </w:pPr>
            <w:r>
              <w:rPr>
                <w:rFonts w:ascii="Arial" w:cs="Arial" w:eastAsia="Arial" w:hAnsi="Arial"/>
                <w:sz w:val="13"/>
                <w:szCs w:val="13"/>
                <w:color w:val="auto"/>
              </w:rPr>
              <w:t>Cargo Transport</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54"/>
        </w:trPr>
        <w:tc>
          <w:tcPr>
            <w:tcW w:w="540" w:type="dxa"/>
            <w:vAlign w:val="bottom"/>
          </w:tcPr>
          <w:p>
            <w:pPr>
              <w:spacing w:after="0"/>
              <w:rPr>
                <w:sz w:val="4"/>
                <w:szCs w:val="4"/>
                <w:color w:val="auto"/>
              </w:rPr>
            </w:pPr>
          </w:p>
        </w:tc>
        <w:tc>
          <w:tcPr>
            <w:tcW w:w="4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vMerge w:val="restart"/>
          </w:tcPr>
          <w:p>
            <w:pPr>
              <w:spacing w:after="0"/>
              <w:rPr>
                <w:sz w:val="4"/>
                <w:szCs w:val="4"/>
                <w:color w:val="auto"/>
              </w:rPr>
            </w:pPr>
          </w:p>
        </w:tc>
        <w:tc>
          <w:tcPr>
            <w:tcW w:w="500" w:type="dxa"/>
            <w:vAlign w:val="bottom"/>
          </w:tcPr>
          <w:p>
            <w:pPr>
              <w:spacing w:after="0"/>
              <w:rPr>
                <w:sz w:val="4"/>
                <w:szCs w:val="4"/>
                <w:color w:val="auto"/>
              </w:rPr>
            </w:pPr>
          </w:p>
        </w:tc>
        <w:tc>
          <w:tcPr>
            <w:tcW w:w="4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Business Services</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340" w:type="dxa"/>
            <w:vAlign w:val="bottom"/>
            <w:vMerge w:val="continue"/>
          </w:tcPr>
          <w:p>
            <w:pPr>
              <w:spacing w:after="0"/>
              <w:rPr>
                <w:sz w:val="12"/>
                <w:szCs w:val="12"/>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Chemicals, Plastics and Rubber</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29"/>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Cargo Transport</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6%</w:t>
            </w:r>
          </w:p>
        </w:tc>
        <w:tc>
          <w:tcPr>
            <w:tcW w:w="5300" w:type="dxa"/>
            <w:vAlign w:val="bottom"/>
            <w:gridSpan w:val="3"/>
          </w:tcPr>
          <w:p>
            <w:pPr>
              <w:ind w:left="320"/>
              <w:spacing w:after="0"/>
              <w:rPr>
                <w:sz w:val="20"/>
                <w:szCs w:val="20"/>
                <w:color w:val="auto"/>
              </w:rPr>
            </w:pPr>
            <w:r>
              <w:rPr>
                <w:rFonts w:ascii="Arial" w:cs="Arial" w:eastAsia="Arial" w:hAnsi="Arial"/>
                <w:sz w:val="13"/>
                <w:szCs w:val="13"/>
                <w:color w:val="auto"/>
              </w:rPr>
              <w:t>Consumer Products</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54"/>
        </w:trPr>
        <w:tc>
          <w:tcPr>
            <w:tcW w:w="540" w:type="dxa"/>
            <w:vAlign w:val="bottom"/>
          </w:tcPr>
          <w:p>
            <w:pPr>
              <w:spacing w:after="0"/>
              <w:rPr>
                <w:sz w:val="4"/>
                <w:szCs w:val="4"/>
                <w:color w:val="auto"/>
              </w:rPr>
            </w:pPr>
          </w:p>
        </w:tc>
        <w:tc>
          <w:tcPr>
            <w:tcW w:w="4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vMerge w:val="restart"/>
          </w:tcPr>
          <w:p>
            <w:pPr>
              <w:spacing w:after="0"/>
              <w:rPr>
                <w:sz w:val="4"/>
                <w:szCs w:val="4"/>
                <w:color w:val="auto"/>
              </w:rPr>
            </w:pPr>
          </w:p>
        </w:tc>
        <w:tc>
          <w:tcPr>
            <w:tcW w:w="500" w:type="dxa"/>
            <w:vAlign w:val="bottom"/>
          </w:tcPr>
          <w:p>
            <w:pPr>
              <w:spacing w:after="0"/>
              <w:rPr>
                <w:sz w:val="4"/>
                <w:szCs w:val="4"/>
                <w:color w:val="auto"/>
              </w:rPr>
            </w:pPr>
          </w:p>
        </w:tc>
        <w:tc>
          <w:tcPr>
            <w:tcW w:w="4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Chemicals, Plastics and Rubber</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340" w:type="dxa"/>
            <w:vAlign w:val="bottom"/>
            <w:vMerge w:val="continue"/>
          </w:tcPr>
          <w:p>
            <w:pPr>
              <w:spacing w:after="0"/>
              <w:rPr>
                <w:sz w:val="12"/>
                <w:szCs w:val="12"/>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Oil and Gas</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29"/>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Consumer Products</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c>
          <w:tcPr>
            <w:tcW w:w="5300" w:type="dxa"/>
            <w:vAlign w:val="bottom"/>
            <w:gridSpan w:val="3"/>
          </w:tcPr>
          <w:p>
            <w:pPr>
              <w:ind w:left="320"/>
              <w:spacing w:after="0"/>
              <w:rPr>
                <w:sz w:val="20"/>
                <w:szCs w:val="20"/>
                <w:color w:val="auto"/>
              </w:rPr>
            </w:pPr>
            <w:r>
              <w:rPr>
                <w:rFonts w:ascii="Arial" w:cs="Arial" w:eastAsia="Arial" w:hAnsi="Arial"/>
                <w:sz w:val="13"/>
                <w:szCs w:val="13"/>
                <w:color w:val="auto"/>
              </w:rPr>
              <w:t>Personal, Food and Miscellaneous Services</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55"/>
        </w:trPr>
        <w:tc>
          <w:tcPr>
            <w:tcW w:w="540" w:type="dxa"/>
            <w:vAlign w:val="bottom"/>
          </w:tcPr>
          <w:p>
            <w:pPr>
              <w:spacing w:after="0"/>
              <w:rPr>
                <w:sz w:val="4"/>
                <w:szCs w:val="4"/>
                <w:color w:val="auto"/>
              </w:rPr>
            </w:pPr>
          </w:p>
        </w:tc>
        <w:tc>
          <w:tcPr>
            <w:tcW w:w="4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vMerge w:val="restart"/>
          </w:tcPr>
          <w:p>
            <w:pPr>
              <w:spacing w:after="0"/>
              <w:rPr>
                <w:sz w:val="4"/>
                <w:szCs w:val="4"/>
                <w:color w:val="auto"/>
              </w:rPr>
            </w:pPr>
          </w:p>
        </w:tc>
        <w:tc>
          <w:tcPr>
            <w:tcW w:w="500" w:type="dxa"/>
            <w:vAlign w:val="bottom"/>
          </w:tcPr>
          <w:p>
            <w:pPr>
              <w:spacing w:after="0"/>
              <w:rPr>
                <w:sz w:val="4"/>
                <w:szCs w:val="4"/>
                <w:color w:val="auto"/>
              </w:rPr>
            </w:pPr>
          </w:p>
        </w:tc>
        <w:tc>
          <w:tcPr>
            <w:tcW w:w="4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Distribution</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w:t>
            </w:r>
          </w:p>
        </w:tc>
        <w:tc>
          <w:tcPr>
            <w:tcW w:w="340" w:type="dxa"/>
            <w:vAlign w:val="bottom"/>
            <w:vMerge w:val="continue"/>
          </w:tcPr>
          <w:p>
            <w:pPr>
              <w:spacing w:after="0"/>
              <w:rPr>
                <w:sz w:val="12"/>
                <w:szCs w:val="12"/>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Printing and Publishing</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29"/>
        </w:trPr>
        <w:tc>
          <w:tcPr>
            <w:tcW w:w="4980" w:type="dxa"/>
            <w:vAlign w:val="bottom"/>
            <w:gridSpan w:val="2"/>
          </w:tcPr>
          <w:p>
            <w:pPr>
              <w:ind w:left="20"/>
              <w:spacing w:after="0"/>
              <w:rPr>
                <w:sz w:val="20"/>
                <w:szCs w:val="20"/>
                <w:color w:val="auto"/>
              </w:rPr>
            </w:pPr>
            <w:r>
              <w:rPr>
                <w:rFonts w:ascii="Arial" w:cs="Arial" w:eastAsia="Arial" w:hAnsi="Arial"/>
                <w:sz w:val="13"/>
                <w:szCs w:val="13"/>
                <w:color w:val="auto"/>
              </w:rPr>
              <w:t>Personal, Food and Miscellaneous Services</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5300" w:type="dxa"/>
            <w:vAlign w:val="bottom"/>
            <w:gridSpan w:val="3"/>
          </w:tcPr>
          <w:p>
            <w:pPr>
              <w:ind w:left="320"/>
              <w:spacing w:after="0"/>
              <w:rPr>
                <w:sz w:val="20"/>
                <w:szCs w:val="20"/>
                <w:color w:val="auto"/>
              </w:rPr>
            </w:pPr>
            <w:r>
              <w:rPr>
                <w:rFonts w:ascii="Arial" w:cs="Arial" w:eastAsia="Arial" w:hAnsi="Arial"/>
                <w:sz w:val="13"/>
                <w:szCs w:val="13"/>
                <w:color w:val="auto"/>
              </w:rPr>
              <w:t>Aerospace and Defense</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right="60" w:firstLine="562"/>
        <w:spacing w:after="0" w:line="265" w:lineRule="auto"/>
        <w:rPr>
          <w:sz w:val="20"/>
          <w:szCs w:val="20"/>
          <w:color w:val="auto"/>
        </w:rPr>
      </w:pPr>
      <w:r>
        <w:rPr>
          <w:rFonts w:ascii="Arial" w:cs="Arial" w:eastAsia="Arial" w:hAnsi="Arial"/>
          <w:sz w:val="12"/>
          <w:szCs w:val="12"/>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Floating Rate Capital Ltd., a publicly traded BDC and other managed funds, as applicable. Accordingly, they may have obligations to investors in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00"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and our trade allocation procedures. Some types of negotiated co-investments may be made only if we receive an order from the SEC permitting us to do so. We have not sought, and there can be no assurance that we would obtain, any such order.</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Due diligence</w:t>
      </w:r>
    </w:p>
    <w:p>
      <w:pPr>
        <w:spacing w:after="0" w:line="80" w:lineRule="exact"/>
        <w:rPr>
          <w:sz w:val="20"/>
          <w:szCs w:val="20"/>
          <w:color w:val="auto"/>
        </w:rPr>
      </w:pPr>
    </w:p>
    <w:p>
      <w:pPr>
        <w:ind w:right="100" w:firstLine="562"/>
        <w:spacing w:after="0" w:line="250" w:lineRule="auto"/>
        <w:rPr>
          <w:sz w:val="20"/>
          <w:szCs w:val="20"/>
          <w:color w:val="auto"/>
        </w:rPr>
      </w:pPr>
      <w:r>
        <w:rPr>
          <w:rFonts w:ascii="Arial" w:cs="Arial" w:eastAsia="Arial" w:hAnsi="Arial"/>
          <w:sz w:val="13"/>
          <w:szCs w:val="13"/>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due diligence typically includes:</w:t>
      </w:r>
    </w:p>
    <w:p>
      <w:pPr>
        <w:spacing w:after="0" w:line="148"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review of historical and prospective financial information;</w:t>
      </w:r>
    </w:p>
    <w:p>
      <w:pPr>
        <w:spacing w:after="0" w:line="147" w:lineRule="exact"/>
        <w:rPr>
          <w:rFonts w:ascii="Arial" w:cs="Arial" w:eastAsia="Arial" w:hAnsi="Arial"/>
          <w:sz w:val="13"/>
          <w:szCs w:val="13"/>
          <w:color w:val="auto"/>
        </w:rPr>
      </w:pPr>
    </w:p>
    <w:p>
      <w:pPr>
        <w:ind w:left="540" w:hanging="316"/>
        <w:spacing w:after="0"/>
        <w:tabs>
          <w:tab w:leader="none" w:pos="5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research relating to the company’s management, industry, markets, products and services and competitors.;</w:t>
      </w:r>
    </w:p>
    <w:p>
      <w:pPr>
        <w:spacing w:after="0" w:line="147" w:lineRule="exact"/>
        <w:rPr>
          <w:rFonts w:ascii="Arial" w:cs="Arial" w:eastAsia="Arial" w:hAnsi="Arial"/>
          <w:sz w:val="13"/>
          <w:szCs w:val="13"/>
          <w:color w:val="auto"/>
        </w:rPr>
      </w:pPr>
    </w:p>
    <w:p>
      <w:pPr>
        <w:ind w:left="540" w:hanging="316"/>
        <w:spacing w:after="0"/>
        <w:tabs>
          <w:tab w:leader="none" w:pos="5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interviews with management, employees, customers and vendors of the potential portfolio company;</w:t>
      </w:r>
    </w:p>
    <w:p>
      <w:pPr>
        <w:spacing w:after="0" w:line="147" w:lineRule="exact"/>
        <w:rPr>
          <w:rFonts w:ascii="Arial" w:cs="Arial" w:eastAsia="Arial" w:hAnsi="Arial"/>
          <w:sz w:val="13"/>
          <w:szCs w:val="13"/>
          <w:color w:val="auto"/>
        </w:rPr>
      </w:pPr>
    </w:p>
    <w:p>
      <w:pPr>
        <w:ind w:left="540" w:hanging="316"/>
        <w:spacing w:after="0"/>
        <w:tabs>
          <w:tab w:leader="none" w:pos="5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on-site visits;</w:t>
      </w:r>
    </w:p>
    <w:p>
      <w:pPr>
        <w:spacing w:after="0" w:line="147" w:lineRule="exact"/>
        <w:rPr>
          <w:rFonts w:ascii="Arial" w:cs="Arial" w:eastAsia="Arial" w:hAnsi="Arial"/>
          <w:sz w:val="13"/>
          <w:szCs w:val="13"/>
          <w:color w:val="auto"/>
        </w:rPr>
      </w:pPr>
    </w:p>
    <w:p>
      <w:pPr>
        <w:ind w:left="540" w:hanging="316"/>
        <w:spacing w:after="0"/>
        <w:tabs>
          <w:tab w:leader="none" w:pos="5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review of loan documents; and</w:t>
      </w:r>
    </w:p>
    <w:p>
      <w:pPr>
        <w:spacing w:after="0" w:line="147" w:lineRule="exact"/>
        <w:rPr>
          <w:rFonts w:ascii="Arial" w:cs="Arial" w:eastAsia="Arial" w:hAnsi="Arial"/>
          <w:sz w:val="13"/>
          <w:szCs w:val="13"/>
          <w:color w:val="auto"/>
        </w:rPr>
      </w:pPr>
    </w:p>
    <w:p>
      <w:pPr>
        <w:ind w:left="540" w:hanging="316"/>
        <w:spacing w:after="0"/>
        <w:tabs>
          <w:tab w:leader="none" w:pos="5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background checks.</w:t>
      </w:r>
    </w:p>
    <w:p>
      <w:pPr>
        <w:spacing w:after="0" w:line="134" w:lineRule="exact"/>
        <w:rPr>
          <w:sz w:val="20"/>
          <w:szCs w:val="20"/>
          <w:color w:val="auto"/>
        </w:rPr>
      </w:pPr>
    </w:p>
    <w:p>
      <w:pPr>
        <w:ind w:right="160" w:firstLine="562"/>
        <w:spacing w:after="0" w:line="288" w:lineRule="auto"/>
        <w:rPr>
          <w:sz w:val="20"/>
          <w:szCs w:val="20"/>
          <w:color w:val="auto"/>
        </w:rPr>
      </w:pPr>
      <w:r>
        <w:rPr>
          <w:rFonts w:ascii="Arial" w:cs="Arial" w:eastAsia="Arial" w:hAnsi="Arial"/>
          <w:sz w:val="12"/>
          <w:szCs w:val="12"/>
          <w:color w:val="auto"/>
        </w:rPr>
        <w:t>Upon the completion of due diligence and a decision to proceed with an investment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40" w:firstLine="562"/>
        <w:spacing w:after="0" w:line="274" w:lineRule="auto"/>
        <w:rPr>
          <w:sz w:val="20"/>
          <w:szCs w:val="20"/>
          <w:color w:val="auto"/>
        </w:rPr>
      </w:pPr>
      <w:r>
        <w:rPr>
          <w:rFonts w:ascii="Arial" w:cs="Arial" w:eastAsia="Arial" w:hAnsi="Arial"/>
          <w:sz w:val="13"/>
          <w:szCs w:val="13"/>
          <w:color w:val="auto"/>
        </w:rPr>
        <w:t>Additional due diligence with respect to any investment may be conducted on our behalf by attorneys and independent auditors prior to the closing of the investment, as well as other outside advisers, as appropriate.</w:t>
      </w:r>
    </w:p>
    <w:p>
      <w:pPr>
        <w:spacing w:after="0" w:line="91"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The Investment Adviser monitors credit risk of each portfolio company regularly and periodically with a goal toward identifying early, and when able and appropriate, selling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08"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The Investment Adviser seeks to achieve our investment objective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Investment structure</w:t>
      </w:r>
    </w:p>
    <w:p>
      <w:pPr>
        <w:spacing w:after="0" w:line="80" w:lineRule="exact"/>
        <w:rPr>
          <w:sz w:val="20"/>
          <w:szCs w:val="20"/>
          <w:color w:val="auto"/>
        </w:rPr>
      </w:pPr>
    </w:p>
    <w:p>
      <w:pPr>
        <w:ind w:right="300" w:firstLine="562"/>
        <w:spacing w:after="0" w:line="317" w:lineRule="auto"/>
        <w:rPr>
          <w:sz w:val="20"/>
          <w:szCs w:val="20"/>
          <w:color w:val="auto"/>
        </w:rPr>
      </w:pPr>
      <w:r>
        <w:rPr>
          <w:rFonts w:ascii="Arial" w:cs="Arial" w:eastAsia="Arial" w:hAnsi="Arial"/>
          <w:sz w:val="12"/>
          <w:szCs w:val="12"/>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67" w:lineRule="exact"/>
        <w:rPr>
          <w:sz w:val="20"/>
          <w:szCs w:val="20"/>
          <w:color w:val="auto"/>
        </w:rPr>
      </w:pPr>
    </w:p>
    <w:p>
      <w:pPr>
        <w:ind w:right="240" w:firstLine="562"/>
        <w:spacing w:after="0" w:line="274" w:lineRule="auto"/>
        <w:rPr>
          <w:sz w:val="20"/>
          <w:szCs w:val="20"/>
          <w:color w:val="auto"/>
        </w:rPr>
      </w:pPr>
      <w:r>
        <w:rPr>
          <w:rFonts w:ascii="Arial" w:cs="Arial" w:eastAsia="Arial" w:hAnsi="Arial"/>
          <w:sz w:val="13"/>
          <w:szCs w:val="13"/>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91" w:lineRule="exact"/>
        <w:rPr>
          <w:sz w:val="20"/>
          <w:szCs w:val="20"/>
          <w:color w:val="auto"/>
        </w:rPr>
      </w:pPr>
    </w:p>
    <w:p>
      <w:pPr>
        <w:ind w:right="40" w:firstLine="562"/>
        <w:spacing w:after="0" w:line="288" w:lineRule="auto"/>
        <w:rPr>
          <w:sz w:val="20"/>
          <w:szCs w:val="20"/>
          <w:color w:val="auto"/>
        </w:rPr>
      </w:pPr>
      <w:r>
        <w:rPr>
          <w:rFonts w:ascii="Arial" w:cs="Arial" w:eastAsia="Arial" w:hAnsi="Arial"/>
          <w:sz w:val="12"/>
          <w:szCs w:val="12"/>
          <w:color w:val="auto"/>
        </w:rPr>
        <w:t>Mezzanine debt may have interest-only payments in the early years, with cash or payment-in-kind, or PIK, payments with amortization of principal deferred to the later years of the mezzanine debt. In some cases, we may invest in debt securities that, by their terms, convert into equity or additional debt securities or defers payment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84" w:lineRule="exact"/>
        <w:rPr>
          <w:sz w:val="20"/>
          <w:szCs w:val="20"/>
          <w:color w:val="auto"/>
        </w:rPr>
      </w:pPr>
    </w:p>
    <w:p>
      <w:pPr>
        <w:ind w:right="40" w:firstLine="337"/>
        <w:spacing w:after="0" w:line="256" w:lineRule="auto"/>
        <w:rPr>
          <w:sz w:val="20"/>
          <w:szCs w:val="20"/>
          <w:color w:val="auto"/>
        </w:rPr>
      </w:pPr>
      <w:r>
        <w:rPr>
          <w:rFonts w:ascii="Arial" w:cs="Arial" w:eastAsia="Arial" w:hAnsi="Arial"/>
          <w:sz w:val="13"/>
          <w:szCs w:val="13"/>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116" w:lineRule="exact"/>
        <w:rPr>
          <w:sz w:val="20"/>
          <w:szCs w:val="20"/>
          <w:color w:val="auto"/>
        </w:rPr>
      </w:pPr>
    </w:p>
    <w:p>
      <w:pPr>
        <w:ind w:left="880" w:hanging="656"/>
        <w:spacing w:after="0"/>
        <w:tabs>
          <w:tab w:leader="none" w:pos="8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requiring a total return on our investments (including both interest in the form of a floor and potential equity appreciation) that compensates us for credit risk;</w:t>
      </w:r>
    </w:p>
    <w:p>
      <w:pPr>
        <w:spacing w:after="0" w:line="147" w:lineRule="exact"/>
        <w:rPr>
          <w:rFonts w:ascii="Arial" w:cs="Arial" w:eastAsia="Arial" w:hAnsi="Arial"/>
          <w:sz w:val="13"/>
          <w:szCs w:val="13"/>
          <w:color w:val="auto"/>
        </w:rPr>
      </w:pPr>
    </w:p>
    <w:p>
      <w:pPr>
        <w:ind w:left="880" w:hanging="656"/>
        <w:spacing w:after="0"/>
        <w:tabs>
          <w:tab w:leader="none" w:pos="8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incorporating “put” rights and call protection into the investment structure; and</w:t>
      </w:r>
    </w:p>
    <w:p>
      <w:pPr>
        <w:spacing w:after="0" w:line="147" w:lineRule="exact"/>
        <w:rPr>
          <w:rFonts w:ascii="Arial" w:cs="Arial" w:eastAsia="Arial" w:hAnsi="Arial"/>
          <w:sz w:val="13"/>
          <w:szCs w:val="13"/>
          <w:color w:val="auto"/>
        </w:rPr>
      </w:pPr>
    </w:p>
    <w:p>
      <w:pPr>
        <w:ind w:left="880" w:right="480" w:hanging="656"/>
        <w:spacing w:after="0" w:line="256" w:lineRule="auto"/>
        <w:tabs>
          <w:tab w:leader="none" w:pos="8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02" w:lineRule="exact"/>
        <w:rPr>
          <w:sz w:val="20"/>
          <w:szCs w:val="20"/>
          <w:color w:val="auto"/>
        </w:rPr>
      </w:pPr>
    </w:p>
    <w:p>
      <w:pPr>
        <w:ind w:right="120" w:firstLine="562"/>
        <w:spacing w:after="0" w:line="278" w:lineRule="auto"/>
        <w:rPr>
          <w:sz w:val="20"/>
          <w:szCs w:val="20"/>
          <w:color w:val="auto"/>
        </w:rPr>
      </w:pPr>
      <w:r>
        <w:rPr>
          <w:rFonts w:ascii="Arial" w:cs="Arial" w:eastAsia="Arial" w:hAnsi="Arial"/>
          <w:sz w:val="12"/>
          <w:szCs w:val="12"/>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2"/>
          <w:szCs w:val="12"/>
          <w:color w:val="auto"/>
        </w:rPr>
        <w:t>We expect to hold most of our investments to maturity or repayment, but we may sell certain investments earlier if a liquidity event takes place, such as the sale or refinancing of a portfolio company.</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We also may turn over investments to better position the portfolio in light of market conditions.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Ongoing relationships with portfolio companies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Monitoring</w:t>
      </w:r>
    </w:p>
    <w:p>
      <w:pPr>
        <w:spacing w:after="0" w:line="80"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Investment Adviser monitors our portfolio companies on an ongoing basis. The Investment Adviser also monitors the financial trends of each portfolio company to determine if it is meeting its business plan and to assess the appropriate course of action for each portfolio company.</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Investment Adviser has several methods of evaluating and monitoring the performance and fair value of our investments, which may include the following:</w:t>
      </w:r>
    </w:p>
    <w:p>
      <w:pPr>
        <w:spacing w:after="0" w:line="148" w:lineRule="exact"/>
        <w:rPr>
          <w:sz w:val="20"/>
          <w:szCs w:val="20"/>
          <w:color w:val="auto"/>
        </w:rPr>
      </w:pPr>
    </w:p>
    <w:p>
      <w:pPr>
        <w:ind w:left="880" w:hanging="656"/>
        <w:spacing w:after="0"/>
        <w:tabs>
          <w:tab w:leader="none" w:pos="8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Assessment of success in adhering to portfolio company’s business plan and compliance with covenants;</w:t>
      </w:r>
    </w:p>
    <w:p>
      <w:pPr>
        <w:spacing w:after="0" w:line="147" w:lineRule="exact"/>
        <w:rPr>
          <w:rFonts w:ascii="Arial" w:cs="Arial" w:eastAsia="Arial" w:hAnsi="Arial"/>
          <w:sz w:val="13"/>
          <w:szCs w:val="13"/>
          <w:color w:val="auto"/>
        </w:rPr>
      </w:pPr>
    </w:p>
    <w:p>
      <w:pPr>
        <w:ind w:left="880" w:hanging="656"/>
        <w:spacing w:after="0"/>
        <w:tabs>
          <w:tab w:leader="none" w:pos="8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Periodic and regular contact with portfolio company management and, if appropriate, the financial or strategic sponsor, to discuss financial position, requirements and accomplishments;</w:t>
      </w:r>
    </w:p>
    <w:p>
      <w:pPr>
        <w:spacing w:after="0" w:line="159" w:lineRule="exact"/>
        <w:rPr>
          <w:rFonts w:ascii="Arial" w:cs="Arial" w:eastAsia="Arial" w:hAnsi="Arial"/>
          <w:sz w:val="12"/>
          <w:szCs w:val="12"/>
          <w:color w:val="auto"/>
        </w:rPr>
      </w:pPr>
    </w:p>
    <w:p>
      <w:pPr>
        <w:ind w:left="880" w:hanging="656"/>
        <w:spacing w:after="0"/>
        <w:tabs>
          <w:tab w:leader="none" w:pos="8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Comparisons to other portfolio companies in the industry, if any;</w:t>
      </w:r>
    </w:p>
    <w:p>
      <w:pPr>
        <w:spacing w:after="0" w:line="147" w:lineRule="exact"/>
        <w:rPr>
          <w:rFonts w:ascii="Arial" w:cs="Arial" w:eastAsia="Arial" w:hAnsi="Arial"/>
          <w:sz w:val="13"/>
          <w:szCs w:val="13"/>
          <w:color w:val="auto"/>
        </w:rPr>
      </w:pPr>
    </w:p>
    <w:p>
      <w:pPr>
        <w:ind w:left="880" w:hanging="656"/>
        <w:spacing w:after="0"/>
        <w:tabs>
          <w:tab w:leader="none" w:pos="8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Attendance at and participation in board meetings or presentations by portfolio companies; and</w:t>
      </w:r>
    </w:p>
    <w:p>
      <w:pPr>
        <w:spacing w:after="0" w:line="147" w:lineRule="exact"/>
        <w:rPr>
          <w:rFonts w:ascii="Arial" w:cs="Arial" w:eastAsia="Arial" w:hAnsi="Arial"/>
          <w:sz w:val="13"/>
          <w:szCs w:val="13"/>
          <w:color w:val="auto"/>
        </w:rPr>
      </w:pPr>
    </w:p>
    <w:p>
      <w:pPr>
        <w:ind w:left="880" w:hanging="656"/>
        <w:spacing w:after="0"/>
        <w:tabs>
          <w:tab w:leader="none" w:pos="8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Review of monthly and quarterly financial statements and financial projections for portfolio companies.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Managerial assistance</w:t>
      </w:r>
    </w:p>
    <w:p>
      <w:pPr>
        <w:spacing w:after="0" w:line="80" w:lineRule="exact"/>
        <w:rPr>
          <w:sz w:val="20"/>
          <w:szCs w:val="20"/>
          <w:color w:val="auto"/>
        </w:rPr>
      </w:pPr>
    </w:p>
    <w:p>
      <w:pPr>
        <w:ind w:right="540" w:firstLine="562"/>
        <w:spacing w:after="0" w:line="274" w:lineRule="auto"/>
        <w:rPr>
          <w:sz w:val="20"/>
          <w:szCs w:val="20"/>
          <w:color w:val="auto"/>
        </w:rPr>
      </w:pPr>
      <w:r>
        <w:rPr>
          <w:rFonts w:ascii="Arial" w:cs="Arial" w:eastAsia="Arial" w:hAnsi="Arial"/>
          <w:sz w:val="13"/>
          <w:szCs w:val="13"/>
          <w:color w:val="auto"/>
        </w:rPr>
        <w:t>We offer managerial assistance to our portfolio companies. As a BDC, we are required to make available such managerial assistance within the meaning of Section 55 of the 1940 Act. See “Regulation” for more information.</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Staffing</w:t>
      </w:r>
    </w:p>
    <w:p>
      <w:pPr>
        <w:spacing w:after="0" w:line="80" w:lineRule="exact"/>
        <w:rPr>
          <w:sz w:val="20"/>
          <w:szCs w:val="20"/>
          <w:color w:val="auto"/>
        </w:rPr>
      </w:pPr>
    </w:p>
    <w:p>
      <w:pPr>
        <w:ind w:right="220" w:firstLine="562"/>
        <w:spacing w:after="0" w:line="274" w:lineRule="auto"/>
        <w:rPr>
          <w:sz w:val="20"/>
          <w:szCs w:val="20"/>
          <w:color w:val="auto"/>
        </w:rPr>
      </w:pPr>
      <w:r>
        <w:rPr>
          <w:rFonts w:ascii="Arial" w:cs="Arial" w:eastAsia="Arial" w:hAnsi="Arial"/>
          <w:sz w:val="13"/>
          <w:szCs w:val="13"/>
          <w:color w:val="auto"/>
        </w:rPr>
        <w:t>We do not currently have any employees. Our Investment Adviser and Administrator have hired and expect to continue to hire professionals with skills applicable to our business plan, including experience in middle-market investing, mezzanine lending, leveraged finance, distressed debt and private equity businesses.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Management Agreement</w:t>
      </w:r>
    </w:p>
    <w:p>
      <w:pPr>
        <w:spacing w:after="0" w:line="80" w:lineRule="exact"/>
        <w:rPr>
          <w:sz w:val="20"/>
          <w:szCs w:val="20"/>
          <w:color w:val="auto"/>
        </w:rPr>
      </w:pPr>
    </w:p>
    <w:p>
      <w:pPr>
        <w:ind w:right="100" w:firstLine="562"/>
        <w:spacing w:after="0" w:line="250" w:lineRule="auto"/>
        <w:rPr>
          <w:sz w:val="20"/>
          <w:szCs w:val="20"/>
          <w:color w:val="auto"/>
        </w:rPr>
      </w:pPr>
      <w:r>
        <w:rPr>
          <w:rFonts w:ascii="Arial" w:cs="Arial" w:eastAsia="Arial" w:hAnsi="Arial"/>
          <w:sz w:val="13"/>
          <w:szCs w:val="13"/>
          <w:color w:val="auto"/>
        </w:rPr>
        <w:t>We have entered into an agreement with the Investment Adviser, or the Investment Management Agreement,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interests in PennantPark Investment Advisers. PennantPark Investment through the Investment Adviser, provides similar services to SBIC LP under its investment management agreement. Under the terms of our Investment Management Agreement, the Investment Adviser:</w:t>
      </w:r>
    </w:p>
    <w:p>
      <w:pPr>
        <w:spacing w:after="0" w:line="120"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determines the composition of our portfolio, the nature and timing of the changes to our portfolio and the manner of implementing such changes;</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identifies, evaluates and negotiates the structure of the investments we make (including performing due diligence on our prospective portfolio companies);</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closes and monitors the investments we make; and</w:t>
      </w:r>
    </w:p>
    <w:p>
      <w:pPr>
        <w:spacing w:after="0" w:line="147" w:lineRule="exact"/>
        <w:rPr>
          <w:rFonts w:ascii="Arial" w:cs="Arial" w:eastAsia="Arial" w:hAnsi="Arial"/>
          <w:sz w:val="13"/>
          <w:szCs w:val="13"/>
          <w:color w:val="auto"/>
        </w:rPr>
      </w:pPr>
    </w:p>
    <w:p>
      <w:pPr>
        <w:ind w:left="660" w:hanging="436"/>
        <w:spacing w:after="0"/>
        <w:tabs>
          <w:tab w:leader="none" w:pos="6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provides us with such other investment advisory, research and related services, as we may need from time to time.</w:t>
      </w:r>
    </w:p>
    <w:p>
      <w:pPr>
        <w:spacing w:after="0" w:line="134" w:lineRule="exact"/>
        <w:rPr>
          <w:sz w:val="20"/>
          <w:szCs w:val="20"/>
          <w:color w:val="auto"/>
        </w:rPr>
      </w:pPr>
    </w:p>
    <w:p>
      <w:pPr>
        <w:jc w:val="both"/>
        <w:ind w:right="60" w:firstLine="562"/>
        <w:spacing w:after="0" w:line="288" w:lineRule="auto"/>
        <w:rPr>
          <w:sz w:val="20"/>
          <w:szCs w:val="20"/>
          <w:color w:val="auto"/>
        </w:rPr>
      </w:pPr>
      <w:r>
        <w:rPr>
          <w:rFonts w:ascii="Arial" w:cs="Arial" w:eastAsia="Arial" w:hAnsi="Arial"/>
          <w:sz w:val="12"/>
          <w:szCs w:val="12"/>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Investment Advisory Fees</w:t>
      </w:r>
    </w:p>
    <w:p>
      <w:pPr>
        <w:spacing w:after="0" w:line="80"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The base management fee is calculated at an annual rate of 2.00% of our gross assets (net of temporary investments, as discussed under “Regulation,” temporary draws under our Credit Facility and other balance sheet transactions undertaken at the end of a fiscal quarter for purposes of preserving investment flexibility for the next quarter, or “average adjusted gross assets,” if any (see example below))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the fiscal years ended September 30, 2012, 2011 and 2010, the Investment Adviser earned base management fees of $17.5 million, $14.9 million and $11.6 million, respectively, from us.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is a hypothetical example of the calculation of average adjusted gross assets:</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Gross assets as of December 31, 20XX = $160 million</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U.S. Treasury bills and temporary draws on credit facilities as of December 31, 20 XX = $10 million</w:t>
      </w:r>
    </w:p>
    <w:p>
      <w:pPr>
        <w:ind w:left="560"/>
        <w:spacing w:after="0"/>
        <w:rPr>
          <w:sz w:val="20"/>
          <w:szCs w:val="20"/>
          <w:color w:val="auto"/>
        </w:rPr>
      </w:pPr>
      <w:r>
        <w:rPr>
          <w:rFonts w:ascii="Arial" w:cs="Arial" w:eastAsia="Arial" w:hAnsi="Arial"/>
          <w:sz w:val="13"/>
          <w:szCs w:val="13"/>
          <w:color w:val="auto"/>
        </w:rPr>
        <w:t>Adjusted gross assets as of December 31, 20 XX = $150 million</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Gross assets as of March 31, 20 XX = $200 million</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U.S. Treasury bills and temporary draws on credit facilities as of March 31, 20 XX = $20 million</w:t>
      </w:r>
    </w:p>
    <w:p>
      <w:pPr>
        <w:ind w:left="560"/>
        <w:spacing w:after="0"/>
        <w:rPr>
          <w:sz w:val="20"/>
          <w:szCs w:val="20"/>
          <w:color w:val="auto"/>
        </w:rPr>
      </w:pPr>
      <w:r>
        <w:rPr>
          <w:rFonts w:ascii="Arial" w:cs="Arial" w:eastAsia="Arial" w:hAnsi="Arial"/>
          <w:sz w:val="13"/>
          <w:szCs w:val="13"/>
          <w:color w:val="auto"/>
        </w:rPr>
        <w:t>Adjusted gross assets as of March 31, 20XX = $180 million</w:t>
      </w:r>
    </w:p>
    <w:p>
      <w:pPr>
        <w:spacing w:after="0" w:line="122" w:lineRule="exact"/>
        <w:rPr>
          <w:sz w:val="20"/>
          <w:szCs w:val="20"/>
          <w:color w:val="auto"/>
        </w:rPr>
      </w:pPr>
    </w:p>
    <w:p>
      <w:pPr>
        <w:ind w:right="260"/>
        <w:spacing w:after="0" w:line="274" w:lineRule="auto"/>
        <w:rPr>
          <w:sz w:val="20"/>
          <w:szCs w:val="20"/>
          <w:color w:val="auto"/>
        </w:rPr>
      </w:pPr>
      <w:r>
        <w:rPr>
          <w:rFonts w:ascii="Arial" w:cs="Arial" w:eastAsia="Arial" w:hAnsi="Arial"/>
          <w:sz w:val="13"/>
          <w:szCs w:val="13"/>
          <w:color w:val="auto"/>
        </w:rPr>
        <w:t>Average value of adjusted gross assets as of March 31, 20XX at the end of the two most recently completed calendar quarters, and appropriately adjusted for any share issuances or repurchases during the current calendar quarter = ($150 million + $180 million) / 2 = $165 million</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incentive fee has two parts, as follows:</w:t>
      </w:r>
    </w:p>
    <w:p>
      <w:pPr>
        <w:spacing w:after="0" w:line="53" w:lineRule="exact"/>
        <w:rPr>
          <w:sz w:val="20"/>
          <w:szCs w:val="20"/>
          <w:color w:val="auto"/>
        </w:rPr>
      </w:pPr>
    </w:p>
    <w:p>
      <w:pPr>
        <w:ind w:firstLine="562"/>
        <w:spacing w:after="0" w:line="262"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prepayment penalties,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percentage on the value of our net assets at the end of the immediately preceding calendar quarter, will be compared to a Hurdle of 1.75% per quarter (7.00% annualized). We have agreed to pay PennantPark Investment Advisers an incentive fee with respect to our Pre-Incentive Fee Net Investment Income in each calendar quarter as follows: (1) no incentive fee in any calendar quarter in which PennantPark Investment’s Pre-Incentive Fee Net Income does not exceed the hurdle rate of 1.75%, (2) 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 These calculations are adjusted for any share issuances or repurchases, if applicable. For the fiscal years ended September 30, 2012, 2011 and 2010, the Investment Adviser earned $14.2 million, $13.2 million and $8.0 million, respectively, in incentive fees.</w:t>
      </w:r>
    </w:p>
    <w:p>
      <w:pPr>
        <w:spacing w:after="0" w:line="103" w:lineRule="exact"/>
        <w:rPr>
          <w:sz w:val="20"/>
          <w:szCs w:val="20"/>
          <w:color w:val="auto"/>
        </w:rPr>
      </w:pPr>
    </w:p>
    <w:p>
      <w:pPr>
        <w:ind w:left="2480"/>
        <w:spacing w:after="0"/>
        <w:rPr>
          <w:sz w:val="20"/>
          <w:szCs w:val="20"/>
          <w:color w:val="auto"/>
        </w:rPr>
      </w:pPr>
      <w:r>
        <w:rPr>
          <w:rFonts w:ascii="Arial" w:cs="Arial" w:eastAsia="Arial" w:hAnsi="Arial"/>
          <w:sz w:val="13"/>
          <w:szCs w:val="13"/>
          <w:color w:val="auto"/>
        </w:rPr>
        <w:t>The following is a graphical representation of calculation of quarterly incentive fee based on Net Investment Income</w:t>
      </w:r>
    </w:p>
    <w:p>
      <w:pPr>
        <w:spacing w:after="0" w:line="134" w:lineRule="exact"/>
        <w:rPr>
          <w:sz w:val="20"/>
          <w:szCs w:val="20"/>
          <w:color w:val="auto"/>
        </w:rPr>
      </w:pPr>
    </w:p>
    <w:p>
      <w:pPr>
        <w:ind w:left="4460"/>
        <w:spacing w:after="0"/>
        <w:rPr>
          <w:sz w:val="20"/>
          <w:szCs w:val="20"/>
          <w:color w:val="auto"/>
        </w:rPr>
      </w:pPr>
      <w:r>
        <w:rPr>
          <w:rFonts w:ascii="Arial" w:cs="Arial" w:eastAsia="Arial" w:hAnsi="Arial"/>
          <w:sz w:val="13"/>
          <w:szCs w:val="13"/>
          <w:b w:val="1"/>
          <w:bCs w:val="1"/>
          <w:i w:val="1"/>
          <w:iCs w:val="1"/>
          <w:color w:val="auto"/>
        </w:rPr>
        <w:t>Pre-Incentive Fee Net Investment Income</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255905</wp:posOffset>
            </wp:positionV>
            <wp:extent cx="2185670" cy="38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8567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Percentage of Pre-Incentive Fee Net Investment Income</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 xml:space="preserve">allocated to income-related portion of incentive </w:t>
      </w:r>
      <w:r>
        <w:rPr>
          <w:rFonts w:ascii="Arial" w:cs="Arial" w:eastAsia="Arial" w:hAnsi="Arial"/>
          <w:sz w:val="13"/>
          <w:szCs w:val="13"/>
          <w:b w:val="1"/>
          <w:bCs w:val="1"/>
          <w:color w:val="auto"/>
        </w:rPr>
        <w:t>fee</w:t>
      </w:r>
    </w:p>
    <w:p>
      <w:pPr>
        <w:spacing w:after="0" w:line="122" w:lineRule="exact"/>
        <w:rPr>
          <w:sz w:val="20"/>
          <w:szCs w:val="20"/>
          <w:color w:val="auto"/>
        </w:rPr>
      </w:pPr>
    </w:p>
    <w:p>
      <w:pPr>
        <w:ind w:right="140" w:firstLine="562"/>
        <w:spacing w:after="0" w:line="256"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w:t>
      </w:r>
    </w:p>
    <w:p>
      <w:pPr>
        <w:spacing w:after="0" w:line="102"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20"/>
          </w:cols>
          <w:pgMar w:left="32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If such amount is positive at the end of a period, then we record a capital gains incentive fee equal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2012, 2011 and 2010, our unrealized and realized capital gains did not exceed our cumulative realized and unrealized losses and resulted in no accrual under GAAP.</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Examples of Quarterly Incentive Fee Calculation</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Example 1: Income Related Portion of Incentive Fee (*):</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Alternative 1:</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Assumptions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Investment income (including interest, distributions, fees, etc.) = 1.25%</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Hurdle</w:t>
      </w:r>
      <w:r>
        <w:rPr>
          <w:rFonts w:ascii="Arial" w:cs="Arial" w:eastAsia="Arial" w:hAnsi="Arial"/>
          <w:sz w:val="22"/>
          <w:szCs w:val="22"/>
          <w:color w:val="auto"/>
          <w:vertAlign w:val="superscript"/>
        </w:rPr>
        <w:t>(1)</w:t>
      </w:r>
      <w:r>
        <w:rPr>
          <w:rFonts w:ascii="Arial" w:cs="Arial" w:eastAsia="Arial" w:hAnsi="Arial"/>
          <w:sz w:val="13"/>
          <w:szCs w:val="13"/>
          <w:color w:val="auto"/>
        </w:rPr>
        <w:t xml:space="preserve"> = 1.75%</w:t>
      </w:r>
    </w:p>
    <w:p>
      <w:pPr>
        <w:ind w:left="560"/>
        <w:spacing w:after="0" w:line="237" w:lineRule="auto"/>
        <w:rPr>
          <w:sz w:val="20"/>
          <w:szCs w:val="20"/>
          <w:color w:val="auto"/>
        </w:rPr>
      </w:pPr>
      <w:r>
        <w:rPr>
          <w:rFonts w:ascii="Arial" w:cs="Arial" w:eastAsia="Arial" w:hAnsi="Arial"/>
          <w:sz w:val="13"/>
          <w:szCs w:val="13"/>
          <w:color w:val="auto"/>
        </w:rPr>
        <w:t>Base management fee</w:t>
      </w:r>
      <w:r>
        <w:rPr>
          <w:rFonts w:ascii="Arial" w:cs="Arial" w:eastAsia="Arial" w:hAnsi="Arial"/>
          <w:sz w:val="22"/>
          <w:szCs w:val="22"/>
          <w:color w:val="auto"/>
          <w:vertAlign w:val="superscript"/>
        </w:rPr>
        <w:t>(2)</w:t>
      </w:r>
      <w:r>
        <w:rPr>
          <w:rFonts w:ascii="Arial" w:cs="Arial" w:eastAsia="Arial" w:hAnsi="Arial"/>
          <w:sz w:val="13"/>
          <w:szCs w:val="13"/>
          <w:color w:val="auto"/>
        </w:rPr>
        <w:t xml:space="preserve"> = 0.50%</w:t>
      </w:r>
    </w:p>
    <w:p>
      <w:pPr>
        <w:ind w:left="560"/>
        <w:spacing w:after="0"/>
        <w:rPr>
          <w:sz w:val="20"/>
          <w:szCs w:val="20"/>
          <w:color w:val="auto"/>
        </w:rPr>
      </w:pPr>
      <w:r>
        <w:rPr>
          <w:rFonts w:ascii="Arial" w:cs="Arial" w:eastAsia="Arial" w:hAnsi="Arial"/>
          <w:sz w:val="13"/>
          <w:szCs w:val="13"/>
          <w:color w:val="auto"/>
        </w:rPr>
        <w:t>Other expenses (legal, accounting, custodian, transfer agent, etc.) = 0.20%</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Pre-Incentive Fee Net Investment Income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(investment income—(base management fee + other expenses)) = 0.55%</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Pre-incentive net investment income does not exceed the Hurdle; therefore there is no incentive fee.</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Alternative 2:</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Assumptions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Investment income (including interest, distributions, fees, etc.) = 2.70%</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Hurdle</w:t>
      </w:r>
      <w:r>
        <w:rPr>
          <w:rFonts w:ascii="Arial" w:cs="Arial" w:eastAsia="Arial" w:hAnsi="Arial"/>
          <w:sz w:val="22"/>
          <w:szCs w:val="22"/>
          <w:color w:val="auto"/>
          <w:vertAlign w:val="superscript"/>
        </w:rPr>
        <w:t>(1)</w:t>
      </w:r>
      <w:r>
        <w:rPr>
          <w:rFonts w:ascii="Arial" w:cs="Arial" w:eastAsia="Arial" w:hAnsi="Arial"/>
          <w:sz w:val="13"/>
          <w:szCs w:val="13"/>
          <w:color w:val="auto"/>
        </w:rPr>
        <w:t xml:space="preserve"> = 1.75%</w:t>
      </w:r>
    </w:p>
    <w:p>
      <w:pPr>
        <w:ind w:left="560"/>
        <w:spacing w:after="0" w:line="237" w:lineRule="auto"/>
        <w:rPr>
          <w:sz w:val="20"/>
          <w:szCs w:val="20"/>
          <w:color w:val="auto"/>
        </w:rPr>
      </w:pPr>
      <w:r>
        <w:rPr>
          <w:rFonts w:ascii="Arial" w:cs="Arial" w:eastAsia="Arial" w:hAnsi="Arial"/>
          <w:sz w:val="13"/>
          <w:szCs w:val="13"/>
          <w:color w:val="auto"/>
        </w:rPr>
        <w:t>Base management fee</w:t>
      </w:r>
      <w:r>
        <w:rPr>
          <w:rFonts w:ascii="Arial" w:cs="Arial" w:eastAsia="Arial" w:hAnsi="Arial"/>
          <w:sz w:val="22"/>
          <w:szCs w:val="22"/>
          <w:color w:val="auto"/>
          <w:vertAlign w:val="superscript"/>
        </w:rPr>
        <w:t>(2)</w:t>
      </w:r>
      <w:r>
        <w:rPr>
          <w:rFonts w:ascii="Arial" w:cs="Arial" w:eastAsia="Arial" w:hAnsi="Arial"/>
          <w:sz w:val="13"/>
          <w:szCs w:val="13"/>
          <w:color w:val="auto"/>
        </w:rPr>
        <w:t xml:space="preserve"> = 0.50%</w:t>
      </w:r>
    </w:p>
    <w:p>
      <w:pPr>
        <w:ind w:left="560"/>
        <w:spacing w:after="0"/>
        <w:rPr>
          <w:sz w:val="20"/>
          <w:szCs w:val="20"/>
          <w:color w:val="auto"/>
        </w:rPr>
      </w:pPr>
      <w:r>
        <w:rPr>
          <w:rFonts w:ascii="Arial" w:cs="Arial" w:eastAsia="Arial" w:hAnsi="Arial"/>
          <w:sz w:val="13"/>
          <w:szCs w:val="13"/>
          <w:color w:val="auto"/>
        </w:rPr>
        <w:t>Other expenses (legal, accounting, custodian, transfer agent, etc.) = 0.20%</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Pre-Incentive Fee Net Investment Income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(investment income—(base management fee + other expenses)) = 2.00%</w:t>
      </w:r>
    </w:p>
    <w:p>
      <w:pPr>
        <w:spacing w:after="0" w:line="148" w:lineRule="exact"/>
        <w:rPr>
          <w:sz w:val="20"/>
          <w:szCs w:val="20"/>
          <w:color w:val="auto"/>
        </w:rPr>
      </w:pPr>
    </w:p>
    <w:p>
      <w:pPr>
        <w:ind w:left="1140"/>
        <w:spacing w:after="0"/>
        <w:tabs>
          <w:tab w:leader="none" w:pos="2280" w:val="left"/>
        </w:tabs>
        <w:rPr>
          <w:sz w:val="20"/>
          <w:szCs w:val="20"/>
          <w:color w:val="auto"/>
        </w:rPr>
      </w:pPr>
      <w:r>
        <w:rPr>
          <w:rFonts w:ascii="Arial" w:cs="Arial" w:eastAsia="Arial" w:hAnsi="Arial"/>
          <w:sz w:val="13"/>
          <w:szCs w:val="13"/>
          <w:color w:val="auto"/>
        </w:rPr>
        <w:t>Incentive fee</w:t>
      </w:r>
      <w:r>
        <w:rPr>
          <w:sz w:val="20"/>
          <w:szCs w:val="20"/>
          <w:color w:val="auto"/>
        </w:rPr>
        <w:tab/>
      </w:r>
      <w:r>
        <w:rPr>
          <w:rFonts w:ascii="Arial" w:cs="Arial" w:eastAsia="Arial" w:hAnsi="Arial"/>
          <w:sz w:val="12"/>
          <w:szCs w:val="12"/>
          <w:color w:val="auto"/>
        </w:rPr>
        <w:t>= 20% x Pre-Incentive Fee Net Investment Income, subject to “catch-up”</w:t>
      </w:r>
    </w:p>
    <w:p>
      <w:pPr>
        <w:spacing w:after="0" w:line="10" w:lineRule="exact"/>
        <w:rPr>
          <w:sz w:val="20"/>
          <w:szCs w:val="20"/>
          <w:color w:val="auto"/>
        </w:rPr>
      </w:pPr>
    </w:p>
    <w:p>
      <w:pPr>
        <w:ind w:left="2420" w:hanging="110"/>
        <w:spacing w:after="0"/>
        <w:tabs>
          <w:tab w:leader="none" w:pos="24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2.00% - 1.75%</w:t>
      </w:r>
    </w:p>
    <w:p>
      <w:pPr>
        <w:ind w:left="2420" w:hanging="110"/>
        <w:spacing w:after="0"/>
        <w:tabs>
          <w:tab w:leader="none" w:pos="24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0.25%</w:t>
      </w:r>
    </w:p>
    <w:p>
      <w:pPr>
        <w:ind w:left="2420" w:hanging="110"/>
        <w:spacing w:after="0"/>
        <w:tabs>
          <w:tab w:leader="none" w:pos="24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100% x 0.25%</w:t>
      </w:r>
    </w:p>
    <w:p>
      <w:pPr>
        <w:ind w:left="2420" w:hanging="110"/>
        <w:spacing w:after="0"/>
        <w:tabs>
          <w:tab w:leader="none" w:pos="24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0.25%</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Alternative 3:</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i w:val="1"/>
          <w:iCs w:val="1"/>
          <w:color w:val="auto"/>
        </w:rPr>
        <w:t>Assumptions: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Investment income (including interest, distributions, fees, etc.) = 3.00%</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Hurdle</w:t>
      </w:r>
      <w:r>
        <w:rPr>
          <w:rFonts w:ascii="Arial" w:cs="Arial" w:eastAsia="Arial" w:hAnsi="Arial"/>
          <w:sz w:val="22"/>
          <w:szCs w:val="22"/>
          <w:color w:val="auto"/>
          <w:vertAlign w:val="superscript"/>
        </w:rPr>
        <w:t>(1)</w:t>
      </w:r>
      <w:r>
        <w:rPr>
          <w:rFonts w:ascii="Arial" w:cs="Arial" w:eastAsia="Arial" w:hAnsi="Arial"/>
          <w:sz w:val="13"/>
          <w:szCs w:val="13"/>
          <w:color w:val="auto"/>
        </w:rPr>
        <w:t xml:space="preserve"> = 1.75%</w:t>
      </w:r>
    </w:p>
    <w:p>
      <w:pPr>
        <w:ind w:left="560"/>
        <w:spacing w:after="0" w:line="237" w:lineRule="auto"/>
        <w:rPr>
          <w:sz w:val="20"/>
          <w:szCs w:val="20"/>
          <w:color w:val="auto"/>
        </w:rPr>
      </w:pPr>
      <w:r>
        <w:rPr>
          <w:rFonts w:ascii="Arial" w:cs="Arial" w:eastAsia="Arial" w:hAnsi="Arial"/>
          <w:sz w:val="13"/>
          <w:szCs w:val="13"/>
          <w:color w:val="auto"/>
        </w:rPr>
        <w:t>Base management fee</w:t>
      </w:r>
      <w:r>
        <w:rPr>
          <w:rFonts w:ascii="Arial" w:cs="Arial" w:eastAsia="Arial" w:hAnsi="Arial"/>
          <w:sz w:val="22"/>
          <w:szCs w:val="22"/>
          <w:color w:val="auto"/>
          <w:vertAlign w:val="superscript"/>
        </w:rPr>
        <w:t>(2)</w:t>
      </w:r>
      <w:r>
        <w:rPr>
          <w:rFonts w:ascii="Arial" w:cs="Arial" w:eastAsia="Arial" w:hAnsi="Arial"/>
          <w:sz w:val="13"/>
          <w:szCs w:val="13"/>
          <w:color w:val="auto"/>
        </w:rPr>
        <w:t xml:space="preserve"> = 0.50%</w:t>
      </w:r>
    </w:p>
    <w:p>
      <w:pPr>
        <w:ind w:left="560"/>
        <w:spacing w:after="0"/>
        <w:rPr>
          <w:sz w:val="20"/>
          <w:szCs w:val="20"/>
          <w:color w:val="auto"/>
        </w:rPr>
      </w:pPr>
      <w:r>
        <w:rPr>
          <w:rFonts w:ascii="Arial" w:cs="Arial" w:eastAsia="Arial" w:hAnsi="Arial"/>
          <w:sz w:val="13"/>
          <w:szCs w:val="13"/>
          <w:color w:val="auto"/>
        </w:rPr>
        <w:t>Other expenses (legal, accounting, custodian, transfer agent, etc.) = 0.20%</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Pre-Incentive Fee Net Investment Income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(investment income—(base management fee + other expenses)) = 2.30%</w:t>
      </w:r>
    </w:p>
    <w:p>
      <w:pPr>
        <w:spacing w:after="0" w:line="147"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1040" w:type="dxa"/>
            <w:vAlign w:val="bottom"/>
          </w:tcPr>
          <w:p>
            <w:pPr>
              <w:spacing w:after="0"/>
              <w:rPr>
                <w:sz w:val="20"/>
                <w:szCs w:val="20"/>
                <w:color w:val="auto"/>
              </w:rPr>
            </w:pPr>
            <w:r>
              <w:rPr>
                <w:rFonts w:ascii="Arial" w:cs="Arial" w:eastAsia="Arial" w:hAnsi="Arial"/>
                <w:sz w:val="13"/>
                <w:szCs w:val="13"/>
                <w:color w:val="auto"/>
              </w:rPr>
              <w:t>Incentive fee</w:t>
            </w:r>
          </w:p>
        </w:tc>
        <w:tc>
          <w:tcPr>
            <w:tcW w:w="5040" w:type="dxa"/>
            <w:vAlign w:val="bottom"/>
            <w:gridSpan w:val="2"/>
          </w:tcPr>
          <w:p>
            <w:pPr>
              <w:ind w:left="340"/>
              <w:spacing w:after="0"/>
              <w:rPr>
                <w:sz w:val="20"/>
                <w:szCs w:val="20"/>
                <w:color w:val="auto"/>
              </w:rPr>
            </w:pPr>
            <w:r>
              <w:rPr>
                <w:rFonts w:ascii="Arial" w:cs="Arial" w:eastAsia="Arial" w:hAnsi="Arial"/>
                <w:sz w:val="13"/>
                <w:szCs w:val="13"/>
                <w:color w:val="auto"/>
              </w:rPr>
              <w:t>= 20% x Pre-Incentive Fee Net Investment Income, subject to “catch-up”</w:t>
            </w:r>
          </w:p>
        </w:tc>
      </w:tr>
      <w:tr>
        <w:trPr>
          <w:trHeight w:val="149"/>
        </w:trPr>
        <w:tc>
          <w:tcPr>
            <w:tcW w:w="1040" w:type="dxa"/>
            <w:vAlign w:val="bottom"/>
          </w:tcPr>
          <w:p>
            <w:pPr>
              <w:spacing w:after="0"/>
              <w:rPr>
                <w:sz w:val="20"/>
                <w:szCs w:val="20"/>
                <w:color w:val="auto"/>
              </w:rPr>
            </w:pPr>
            <w:r>
              <w:rPr>
                <w:rFonts w:ascii="Arial" w:cs="Arial" w:eastAsia="Arial" w:hAnsi="Arial"/>
                <w:sz w:val="13"/>
                <w:szCs w:val="13"/>
                <w:color w:val="auto"/>
              </w:rPr>
              <w:t>Incentive fee</w:t>
            </w:r>
          </w:p>
        </w:tc>
        <w:tc>
          <w:tcPr>
            <w:tcW w:w="5040" w:type="dxa"/>
            <w:vAlign w:val="bottom"/>
            <w:gridSpan w:val="2"/>
          </w:tcPr>
          <w:p>
            <w:pPr>
              <w:ind w:left="340"/>
              <w:spacing w:after="0"/>
              <w:rPr>
                <w:sz w:val="20"/>
                <w:szCs w:val="20"/>
                <w:color w:val="auto"/>
              </w:rPr>
            </w:pPr>
            <w:r>
              <w:rPr>
                <w:rFonts w:ascii="Arial" w:cs="Arial" w:eastAsia="Arial" w:hAnsi="Arial"/>
                <w:sz w:val="13"/>
                <w:szCs w:val="13"/>
                <w:color w:val="auto"/>
                <w:w w:val="95"/>
              </w:rPr>
              <w:t>= 100% x “catch-up” + (20% x (Pre-Incentive Fee Net Investment Income - 2.1875%))</w:t>
            </w:r>
          </w:p>
        </w:tc>
      </w:tr>
      <w:tr>
        <w:trPr>
          <w:trHeight w:val="148"/>
        </w:trPr>
        <w:tc>
          <w:tcPr>
            <w:tcW w:w="1040" w:type="dxa"/>
            <w:vAlign w:val="bottom"/>
          </w:tcPr>
          <w:p>
            <w:pPr>
              <w:spacing w:after="0"/>
              <w:rPr>
                <w:sz w:val="20"/>
                <w:szCs w:val="20"/>
                <w:color w:val="auto"/>
              </w:rPr>
            </w:pPr>
            <w:r>
              <w:rPr>
                <w:rFonts w:ascii="Arial" w:cs="Arial" w:eastAsia="Arial" w:hAnsi="Arial"/>
                <w:sz w:val="13"/>
                <w:szCs w:val="13"/>
                <w:color w:val="auto"/>
              </w:rPr>
              <w:t>Catch-up</w:t>
            </w:r>
          </w:p>
        </w:tc>
        <w:tc>
          <w:tcPr>
            <w:tcW w:w="5040" w:type="dxa"/>
            <w:vAlign w:val="bottom"/>
            <w:gridSpan w:val="2"/>
          </w:tcPr>
          <w:p>
            <w:pPr>
              <w:ind w:left="340"/>
              <w:spacing w:after="0"/>
              <w:rPr>
                <w:sz w:val="20"/>
                <w:szCs w:val="20"/>
                <w:color w:val="auto"/>
              </w:rPr>
            </w:pPr>
            <w:r>
              <w:rPr>
                <w:rFonts w:ascii="Arial" w:cs="Arial" w:eastAsia="Arial" w:hAnsi="Arial"/>
                <w:sz w:val="13"/>
                <w:szCs w:val="13"/>
                <w:color w:val="auto"/>
              </w:rPr>
              <w:t>= 2.1875% - 1.75%</w:t>
            </w:r>
          </w:p>
        </w:tc>
      </w:tr>
      <w:tr>
        <w:trPr>
          <w:trHeight w:val="149"/>
        </w:trPr>
        <w:tc>
          <w:tcPr>
            <w:tcW w:w="1040" w:type="dxa"/>
            <w:vAlign w:val="bottom"/>
          </w:tcPr>
          <w:p>
            <w:pPr>
              <w:spacing w:after="0"/>
              <w:rPr>
                <w:sz w:val="12"/>
                <w:szCs w:val="12"/>
                <w:color w:val="auto"/>
              </w:rPr>
            </w:pPr>
          </w:p>
        </w:tc>
        <w:tc>
          <w:tcPr>
            <w:tcW w:w="960" w:type="dxa"/>
            <w:vAlign w:val="bottom"/>
          </w:tcPr>
          <w:p>
            <w:pPr>
              <w:ind w:left="340"/>
              <w:spacing w:after="0"/>
              <w:rPr>
                <w:sz w:val="20"/>
                <w:szCs w:val="20"/>
                <w:color w:val="auto"/>
              </w:rPr>
            </w:pPr>
            <w:r>
              <w:rPr>
                <w:rFonts w:ascii="Arial" w:cs="Arial" w:eastAsia="Arial" w:hAnsi="Arial"/>
                <w:sz w:val="13"/>
                <w:szCs w:val="13"/>
                <w:color w:val="auto"/>
                <w:w w:val="95"/>
              </w:rPr>
              <w:t>= 0.4375%</w:t>
            </w:r>
          </w:p>
        </w:tc>
        <w:tc>
          <w:tcPr>
            <w:tcW w:w="4080" w:type="dxa"/>
            <w:vAlign w:val="bottom"/>
          </w:tcPr>
          <w:p>
            <w:pPr>
              <w:spacing w:after="0"/>
              <w:rPr>
                <w:sz w:val="12"/>
                <w:szCs w:val="12"/>
                <w:color w:val="auto"/>
              </w:rPr>
            </w:pPr>
          </w:p>
        </w:tc>
      </w:tr>
      <w:tr>
        <w:trPr>
          <w:trHeight w:val="148"/>
        </w:trPr>
        <w:tc>
          <w:tcPr>
            <w:tcW w:w="1040" w:type="dxa"/>
            <w:vAlign w:val="bottom"/>
          </w:tcPr>
          <w:p>
            <w:pPr>
              <w:spacing w:after="0"/>
              <w:rPr>
                <w:sz w:val="12"/>
                <w:szCs w:val="12"/>
                <w:color w:val="auto"/>
              </w:rPr>
            </w:pPr>
          </w:p>
        </w:tc>
        <w:tc>
          <w:tcPr>
            <w:tcW w:w="5040" w:type="dxa"/>
            <w:vAlign w:val="bottom"/>
            <w:gridSpan w:val="2"/>
          </w:tcPr>
          <w:p>
            <w:pPr>
              <w:ind w:left="340"/>
              <w:spacing w:after="0"/>
              <w:rPr>
                <w:sz w:val="20"/>
                <w:szCs w:val="20"/>
                <w:color w:val="auto"/>
              </w:rPr>
            </w:pPr>
            <w:r>
              <w:rPr>
                <w:rFonts w:ascii="Arial" w:cs="Arial" w:eastAsia="Arial" w:hAnsi="Arial"/>
                <w:sz w:val="13"/>
                <w:szCs w:val="13"/>
                <w:color w:val="auto"/>
              </w:rPr>
              <w:t>= (100% x 0.4375%) + (20% x (2.30% -2.1875%))</w:t>
            </w:r>
          </w:p>
        </w:tc>
      </w:tr>
      <w:tr>
        <w:trPr>
          <w:trHeight w:val="148"/>
        </w:trPr>
        <w:tc>
          <w:tcPr>
            <w:tcW w:w="1040" w:type="dxa"/>
            <w:vAlign w:val="bottom"/>
          </w:tcPr>
          <w:p>
            <w:pPr>
              <w:spacing w:after="0"/>
              <w:rPr>
                <w:sz w:val="12"/>
                <w:szCs w:val="12"/>
                <w:color w:val="auto"/>
              </w:rPr>
            </w:pPr>
          </w:p>
        </w:tc>
        <w:tc>
          <w:tcPr>
            <w:tcW w:w="960" w:type="dxa"/>
            <w:vAlign w:val="bottom"/>
          </w:tcPr>
          <w:p>
            <w:pPr>
              <w:ind w:left="340"/>
              <w:spacing w:after="0"/>
              <w:rPr>
                <w:sz w:val="20"/>
                <w:szCs w:val="20"/>
                <w:color w:val="auto"/>
              </w:rPr>
            </w:pPr>
            <w:r>
              <w:rPr>
                <w:rFonts w:ascii="Arial" w:cs="Arial" w:eastAsia="Arial" w:hAnsi="Arial"/>
                <w:sz w:val="13"/>
                <w:szCs w:val="13"/>
                <w:color w:val="auto"/>
                <w:w w:val="95"/>
              </w:rPr>
              <w:t>= 0.4375%</w:t>
            </w:r>
          </w:p>
        </w:tc>
        <w:tc>
          <w:tcPr>
            <w:tcW w:w="4080" w:type="dxa"/>
            <w:vAlign w:val="bottom"/>
          </w:tcPr>
          <w:p>
            <w:pPr>
              <w:spacing w:after="0"/>
              <w:rPr>
                <w:sz w:val="20"/>
                <w:szCs w:val="20"/>
                <w:color w:val="auto"/>
              </w:rPr>
            </w:pPr>
            <w:r>
              <w:rPr>
                <w:rFonts w:ascii="Arial" w:cs="Arial" w:eastAsia="Arial" w:hAnsi="Arial"/>
                <w:sz w:val="13"/>
                <w:szCs w:val="13"/>
                <w:color w:val="auto"/>
              </w:rPr>
              <w:t>+ (20% x 0.1125%)</w:t>
            </w:r>
          </w:p>
        </w:tc>
      </w:tr>
      <w:tr>
        <w:trPr>
          <w:trHeight w:val="149"/>
        </w:trPr>
        <w:tc>
          <w:tcPr>
            <w:tcW w:w="1040" w:type="dxa"/>
            <w:vAlign w:val="bottom"/>
          </w:tcPr>
          <w:p>
            <w:pPr>
              <w:spacing w:after="0"/>
              <w:rPr>
                <w:sz w:val="12"/>
                <w:szCs w:val="12"/>
                <w:color w:val="auto"/>
              </w:rPr>
            </w:pPr>
          </w:p>
        </w:tc>
        <w:tc>
          <w:tcPr>
            <w:tcW w:w="960" w:type="dxa"/>
            <w:vAlign w:val="bottom"/>
          </w:tcPr>
          <w:p>
            <w:pPr>
              <w:ind w:left="340"/>
              <w:spacing w:after="0"/>
              <w:rPr>
                <w:sz w:val="20"/>
                <w:szCs w:val="20"/>
                <w:color w:val="auto"/>
              </w:rPr>
            </w:pPr>
            <w:r>
              <w:rPr>
                <w:rFonts w:ascii="Arial" w:cs="Arial" w:eastAsia="Arial" w:hAnsi="Arial"/>
                <w:sz w:val="13"/>
                <w:szCs w:val="13"/>
                <w:color w:val="auto"/>
                <w:w w:val="95"/>
              </w:rPr>
              <w:t>= 0.4375%</w:t>
            </w:r>
          </w:p>
        </w:tc>
        <w:tc>
          <w:tcPr>
            <w:tcW w:w="4080" w:type="dxa"/>
            <w:vAlign w:val="bottom"/>
          </w:tcPr>
          <w:p>
            <w:pPr>
              <w:spacing w:after="0"/>
              <w:rPr>
                <w:sz w:val="20"/>
                <w:szCs w:val="20"/>
                <w:color w:val="auto"/>
              </w:rPr>
            </w:pPr>
            <w:r>
              <w:rPr>
                <w:rFonts w:ascii="Arial" w:cs="Arial" w:eastAsia="Arial" w:hAnsi="Arial"/>
                <w:sz w:val="13"/>
                <w:szCs w:val="13"/>
                <w:color w:val="auto"/>
              </w:rPr>
              <w:t>+ 0.0225%</w:t>
            </w:r>
          </w:p>
        </w:tc>
      </w:tr>
      <w:tr>
        <w:trPr>
          <w:trHeight w:val="172"/>
        </w:trPr>
        <w:tc>
          <w:tcPr>
            <w:tcW w:w="1040" w:type="dxa"/>
            <w:vAlign w:val="bottom"/>
          </w:tcPr>
          <w:p>
            <w:pPr>
              <w:spacing w:after="0"/>
              <w:rPr>
                <w:sz w:val="14"/>
                <w:szCs w:val="14"/>
                <w:color w:val="auto"/>
              </w:rPr>
            </w:pPr>
          </w:p>
        </w:tc>
        <w:tc>
          <w:tcPr>
            <w:tcW w:w="960" w:type="dxa"/>
            <w:vAlign w:val="bottom"/>
          </w:tcPr>
          <w:p>
            <w:pPr>
              <w:ind w:left="340"/>
              <w:spacing w:after="0"/>
              <w:rPr>
                <w:sz w:val="20"/>
                <w:szCs w:val="20"/>
                <w:color w:val="auto"/>
              </w:rPr>
            </w:pPr>
            <w:r>
              <w:rPr>
                <w:rFonts w:ascii="Arial" w:cs="Arial" w:eastAsia="Arial" w:hAnsi="Arial"/>
                <w:sz w:val="13"/>
                <w:szCs w:val="13"/>
                <w:color w:val="auto"/>
              </w:rPr>
              <w:t>= 0.46%</w:t>
            </w:r>
          </w:p>
        </w:tc>
        <w:tc>
          <w:tcPr>
            <w:tcW w:w="4080" w:type="dxa"/>
            <w:vAlign w:val="bottom"/>
          </w:tcPr>
          <w:p>
            <w:pPr>
              <w:spacing w:after="0"/>
              <w:rPr>
                <w:sz w:val="14"/>
                <w:szCs w:val="14"/>
                <w:color w:val="auto"/>
              </w:rPr>
            </w:pPr>
          </w:p>
        </w:tc>
      </w:tr>
      <w:tr>
        <w:trPr>
          <w:trHeight w:val="297"/>
        </w:trPr>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80" w:type="dxa"/>
            <w:vAlign w:val="bottom"/>
          </w:tcPr>
          <w:p>
            <w:pPr>
              <w:jc w:val="right"/>
              <w:ind w:right="1073"/>
              <w:spacing w:after="0"/>
              <w:rPr>
                <w:sz w:val="20"/>
                <w:szCs w:val="20"/>
                <w:color w:val="auto"/>
              </w:rPr>
            </w:pPr>
            <w:r>
              <w:rPr>
                <w:rFonts w:ascii="Arial" w:cs="Arial" w:eastAsia="Arial" w:hAnsi="Arial"/>
                <w:sz w:val="13"/>
                <w:szCs w:val="13"/>
                <w:color w:val="auto"/>
              </w:rPr>
              <w:t>11</w:t>
            </w:r>
          </w:p>
        </w:tc>
      </w:tr>
    </w:tbl>
    <w:p>
      <w:pPr>
        <w:sectPr>
          <w:pgSz w:w="11900" w:h="16838" w:orient="portrait"/>
          <w:cols w:equalWidth="0" w:num="1">
            <w:col w:w="11180"/>
          </w:cols>
          <w:pgMar w:left="32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Example 2: Capital Gains Portion of Incentive Fee:</w:t>
      </w:r>
    </w:p>
    <w:p>
      <w:pPr>
        <w:spacing w:after="0" w:line="82" w:lineRule="exact"/>
        <w:rPr>
          <w:sz w:val="20"/>
          <w:szCs w:val="20"/>
          <w:color w:val="auto"/>
        </w:rPr>
      </w:pPr>
    </w:p>
    <w:p>
      <w:pPr>
        <w:ind w:left="680"/>
        <w:spacing w:after="0"/>
        <w:rPr>
          <w:sz w:val="20"/>
          <w:szCs w:val="20"/>
          <w:color w:val="auto"/>
        </w:rPr>
      </w:pPr>
      <w:r>
        <w:rPr>
          <w:rFonts w:ascii="Arial" w:cs="Arial" w:eastAsia="Arial" w:hAnsi="Arial"/>
          <w:sz w:val="13"/>
          <w:szCs w:val="13"/>
          <w:i w:val="1"/>
          <w:iCs w:val="1"/>
          <w:color w:val="auto"/>
        </w:rPr>
        <w:t>Assumptions:</w:t>
      </w:r>
    </w:p>
    <w:p>
      <w:pPr>
        <w:spacing w:after="0" w:line="8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Year 1 = no net realized capital gains or losses</w:t>
      </w:r>
    </w:p>
    <w:p>
      <w:pPr>
        <w:spacing w:after="0" w:line="161" w:lineRule="exact"/>
        <w:rPr>
          <w:sz w:val="20"/>
          <w:szCs w:val="20"/>
          <w:color w:val="auto"/>
        </w:rPr>
      </w:pPr>
    </w:p>
    <w:p>
      <w:pPr>
        <w:ind w:left="680"/>
        <w:spacing w:after="0" w:line="274" w:lineRule="auto"/>
        <w:rPr>
          <w:sz w:val="20"/>
          <w:szCs w:val="20"/>
          <w:color w:val="auto"/>
        </w:rPr>
      </w:pPr>
      <w:r>
        <w:rPr>
          <w:rFonts w:ascii="Arial" w:cs="Arial" w:eastAsia="Arial" w:hAnsi="Arial"/>
          <w:sz w:val="13"/>
          <w:szCs w:val="13"/>
          <w:color w:val="auto"/>
        </w:rPr>
        <w:t>Year 2 = 6% realized capital gains and 1% realized capital losses and unrealized capital depreciation, capital gain incentive fee = 20% x (realized capital gains for year computed net of all realized capital losses and unrealized capital depreciation at year end)</w:t>
      </w:r>
    </w:p>
    <w:p>
      <w:pPr>
        <w:sectPr>
          <w:pgSz w:w="11900" w:h="16838" w:orient="portrait"/>
          <w:cols w:equalWidth="0" w:num="1">
            <w:col w:w="11240"/>
          </w:cols>
          <w:pgMar w:left="320" w:top="459" w:right="339" w:bottom="1440" w:gutter="0" w:footer="0" w:header="0"/>
        </w:sectPr>
      </w:pPr>
    </w:p>
    <w:p>
      <w:pPr>
        <w:spacing w:after="0" w:line="158" w:lineRule="exact"/>
        <w:rPr>
          <w:sz w:val="20"/>
          <w:szCs w:val="20"/>
          <w:color w:val="auto"/>
        </w:rPr>
      </w:pPr>
    </w:p>
    <w:p>
      <w:pPr>
        <w:ind w:left="740"/>
        <w:spacing w:after="0"/>
        <w:rPr>
          <w:sz w:val="20"/>
          <w:szCs w:val="20"/>
          <w:color w:val="auto"/>
        </w:rPr>
      </w:pPr>
      <w:r>
        <w:rPr>
          <w:rFonts w:ascii="Arial" w:cs="Arial" w:eastAsia="Arial" w:hAnsi="Arial"/>
          <w:sz w:val="12"/>
          <w:szCs w:val="12"/>
          <w:color w:val="auto"/>
        </w:rPr>
        <w:t>Year 1 incentive fee</w:t>
      </w:r>
    </w:p>
    <w:p>
      <w:pPr>
        <w:spacing w:after="0" w:line="308" w:lineRule="exact"/>
        <w:rPr>
          <w:sz w:val="20"/>
          <w:szCs w:val="20"/>
          <w:color w:val="auto"/>
        </w:rPr>
      </w:pPr>
    </w:p>
    <w:p>
      <w:pPr>
        <w:ind w:left="740"/>
        <w:spacing w:after="0"/>
        <w:rPr>
          <w:sz w:val="20"/>
          <w:szCs w:val="20"/>
          <w:color w:val="auto"/>
        </w:rPr>
      </w:pPr>
      <w:r>
        <w:rPr>
          <w:rFonts w:ascii="Arial" w:cs="Arial" w:eastAsia="Arial" w:hAnsi="Arial"/>
          <w:sz w:val="12"/>
          <w:szCs w:val="12"/>
          <w:color w:val="auto"/>
        </w:rPr>
        <w:t>Year 2 incentive fee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 20% x (0)</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 0</w:t>
      </w:r>
    </w:p>
    <w:p>
      <w:pPr>
        <w:spacing w:after="0"/>
        <w:rPr>
          <w:sz w:val="20"/>
          <w:szCs w:val="20"/>
          <w:color w:val="auto"/>
        </w:rPr>
      </w:pPr>
      <w:r>
        <w:rPr>
          <w:rFonts w:ascii="Arial" w:cs="Arial" w:eastAsia="Arial" w:hAnsi="Arial"/>
          <w:sz w:val="13"/>
          <w:szCs w:val="13"/>
          <w:color w:val="auto"/>
        </w:rPr>
        <w:t>= no incentive fee</w:t>
      </w:r>
    </w:p>
    <w:p>
      <w:pPr>
        <w:spacing w:after="0"/>
        <w:rPr>
          <w:sz w:val="20"/>
          <w:szCs w:val="20"/>
          <w:color w:val="auto"/>
        </w:rPr>
      </w:pPr>
      <w:r>
        <w:rPr>
          <w:rFonts w:ascii="Arial" w:cs="Arial" w:eastAsia="Arial" w:hAnsi="Arial"/>
          <w:sz w:val="12"/>
          <w:szCs w:val="12"/>
          <w:color w:val="auto"/>
        </w:rPr>
        <w:t>= 20% x (6% - 1%)</w:t>
      </w:r>
    </w:p>
    <w:p>
      <w:pPr>
        <w:spacing w:after="0" w:line="10" w:lineRule="exact"/>
        <w:rPr>
          <w:sz w:val="20"/>
          <w:szCs w:val="20"/>
          <w:color w:val="auto"/>
        </w:rPr>
      </w:pPr>
    </w:p>
    <w:p>
      <w:pPr>
        <w:sectPr>
          <w:pgSz w:w="11900" w:h="16838" w:orient="portrait"/>
          <w:cols w:equalWidth="0" w:num="2">
            <w:col w:w="1820" w:space="580"/>
            <w:col w:w="8840"/>
          </w:cols>
          <w:pgMar w:left="320" w:top="459" w:right="339" w:bottom="1440" w:gutter="0" w:footer="0" w:header="0"/>
          <w:type w:val="continuous"/>
        </w:sectPr>
      </w:pPr>
    </w:p>
    <w:p>
      <w:pPr>
        <w:ind w:left="2520" w:hanging="116"/>
        <w:spacing w:after="0"/>
        <w:tabs>
          <w:tab w:leader="none" w:pos="2520" w:val="left"/>
        </w:tabs>
        <w:numPr>
          <w:ilvl w:val="1"/>
          <w:numId w:val="19"/>
        </w:numPr>
        <w:rPr>
          <w:rFonts w:ascii="Arial" w:cs="Arial" w:eastAsia="Arial" w:hAnsi="Arial"/>
          <w:sz w:val="13"/>
          <w:szCs w:val="13"/>
          <w:color w:val="auto"/>
        </w:rPr>
      </w:pPr>
      <w:r>
        <w:rPr>
          <w:rFonts w:ascii="Arial" w:cs="Arial" w:eastAsia="Arial" w:hAnsi="Arial"/>
          <w:sz w:val="13"/>
          <w:szCs w:val="13"/>
          <w:color w:val="auto"/>
        </w:rPr>
        <w:t>20% x 5%</w:t>
      </w:r>
    </w:p>
    <w:p>
      <w:pPr>
        <w:ind w:left="2520" w:hanging="116"/>
        <w:spacing w:after="0"/>
        <w:tabs>
          <w:tab w:leader="none" w:pos="2520" w:val="left"/>
        </w:tabs>
        <w:numPr>
          <w:ilvl w:val="1"/>
          <w:numId w:val="19"/>
        </w:numPr>
        <w:rPr>
          <w:rFonts w:ascii="Arial" w:cs="Arial" w:eastAsia="Arial" w:hAnsi="Arial"/>
          <w:sz w:val="13"/>
          <w:szCs w:val="13"/>
          <w:color w:val="auto"/>
        </w:rPr>
      </w:pPr>
      <w:r>
        <w:rPr>
          <w:rFonts w:ascii="Arial" w:cs="Arial" w:eastAsia="Arial" w:hAnsi="Arial"/>
          <w:sz w:val="13"/>
          <w:szCs w:val="13"/>
          <w:color w:val="auto"/>
        </w:rPr>
        <w:t>1%</w:t>
      </w:r>
    </w:p>
    <w:p>
      <w:pPr>
        <w:spacing w:after="0" w:line="13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2"/>
          <w:szCs w:val="12"/>
          <w:color w:val="auto"/>
        </w:rPr>
        <w:t>The hypothetical amount of Pre-Incentive Fee Net Investment Income shown is based on a percentage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78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ind w:left="460" w:hanging="452"/>
        <w:spacing w:after="0"/>
        <w:tabs>
          <w:tab w:leader="none" w:pos="4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Represents 7.0% annualized Hurdle.</w:t>
      </w:r>
    </w:p>
    <w:p>
      <w:pPr>
        <w:ind w:left="460" w:hanging="452"/>
        <w:spacing w:after="0"/>
        <w:tabs>
          <w:tab w:leader="none" w:pos="4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Represents 2.0% annualized base management fee.</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Duration and Termination of Investment Management Agreement</w:t>
      </w:r>
    </w:p>
    <w:p>
      <w:pPr>
        <w:spacing w:after="0" w:line="80" w:lineRule="exact"/>
        <w:rPr>
          <w:sz w:val="20"/>
          <w:szCs w:val="20"/>
          <w:color w:val="auto"/>
        </w:rPr>
      </w:pPr>
    </w:p>
    <w:p>
      <w:pPr>
        <w:ind w:firstLine="562"/>
        <w:spacing w:after="0" w:line="263" w:lineRule="auto"/>
        <w:rPr>
          <w:sz w:val="20"/>
          <w:szCs w:val="20"/>
          <w:color w:val="auto"/>
        </w:rPr>
      </w:pPr>
      <w:r>
        <w:rPr>
          <w:rFonts w:ascii="Arial" w:cs="Arial" w:eastAsia="Arial" w:hAnsi="Arial"/>
          <w:sz w:val="12"/>
          <w:szCs w:val="12"/>
          <w:color w:val="auto"/>
        </w:rPr>
        <w:t>The Investment Management Agreement was re-approved by our board of directors, including a majority of our directors who are not interested persons of PennantPark Investment, in February 2012. Unless terminated earlier as described below, our Investment Management Agreement will continue in effect for a period of one year through February 2013. It will remain in effect if approved annually by our board of directors, or by the affirmative vote of the holders of a majority of our outstanding voting securities, including, in either case, approval by a majority of our directors who are not interested persons. In determining to re-approve the Investment Management Agreement, the board of directors requested information from the Investment Adviser that enabled it to evaluate a number of factors relevant to its determination. These factors included the nature, quality and extent of services performed by the Investment Adviser, our ability to effectively manage conflicts of interest, our short and long-term performance, our costs, including as compared to comparable externally and internally managed publicly traded business development companies that engage in similar investing activities, our profitability and any economies of scale. Based on the information reviewed and the considerations detailed above, our board of directors, including all of the directors who are not interested persons of PennantPark Investment, concluded that the investment advisory fee rates and terms are fair and reasonable in relation to the services provided and re-approved the Investment Management Agreement as being in the best interests of our stockholders.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 for more information.</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Organization of the Investment Adviser</w:t>
      </w:r>
    </w:p>
    <w:p>
      <w:pPr>
        <w:spacing w:after="0" w:line="80" w:lineRule="exact"/>
        <w:rPr>
          <w:sz w:val="20"/>
          <w:szCs w:val="20"/>
          <w:color w:val="auto"/>
        </w:rPr>
      </w:pPr>
    </w:p>
    <w:p>
      <w:pPr>
        <w:ind w:right="260" w:firstLine="562"/>
        <w:spacing w:after="0" w:line="274" w:lineRule="auto"/>
        <w:rPr>
          <w:sz w:val="20"/>
          <w:szCs w:val="20"/>
          <w:color w:val="auto"/>
        </w:rPr>
      </w:pPr>
      <w:r>
        <w:rPr>
          <w:rFonts w:ascii="Arial" w:cs="Arial" w:eastAsia="Arial" w:hAnsi="Arial"/>
          <w:sz w:val="13"/>
          <w:szCs w:val="13"/>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Administration Agreement</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PennantPark Investment has also entered into an Administration Agreement with the Administrator. Under this agreement the Administrator provides administrative services for PennantPark</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Investment. PennantPark Investment, through the Administrator, provides similar services to SBIC LP under its administration agreement with us. For providing these services, facilities and personnel,</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PennantPark Investment reimburses the Administrator for PennantPark Investment’s allocable portion of overhead and other expenses incurred by the Administrator in performing its obligations under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Administration Agreement, including rent, technology systems, insurance and PennantPark Investment’s allocable portion of the costs of the compensation and related expenses for its Chief Compliance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Officer, Chief Financial Officer and their respective staffs. The Administrator also offers on PennantPark Investment’s behalf managerial assistance to portfolio companies to which PennantPark Investment is</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required to offer such assistance. Reimbursement for certain of these costs is included in administrative services expenses in the Consolidated Statement of Operations. For the fiscal years ended</w:t>
      </w:r>
    </w:p>
    <w:p>
      <w:pPr>
        <w:spacing w:after="0"/>
        <w:rPr>
          <w:sz w:val="20"/>
          <w:szCs w:val="20"/>
          <w:color w:val="auto"/>
        </w:rPr>
      </w:pPr>
      <w:r>
        <w:rPr>
          <w:rFonts w:ascii="Arial" w:cs="Arial" w:eastAsia="Arial" w:hAnsi="Arial"/>
          <w:sz w:val="12"/>
          <w:szCs w:val="12"/>
          <w:color w:val="auto"/>
        </w:rPr>
        <w:t>September 30, 2012, 2011 and 2010, the Investment Adviser and Administrator, collectively, were reimbursed $3.6 million, $2.6 million and $2.1 million, respectively, from us, including expenses it incurred</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on behalf of the Administrator for services described above.</w:t>
      </w:r>
    </w:p>
    <w:p>
      <w:pPr>
        <w:spacing w:after="0" w:line="122" w:lineRule="exact"/>
        <w:rPr>
          <w:sz w:val="20"/>
          <w:szCs w:val="20"/>
          <w:color w:val="auto"/>
        </w:rPr>
      </w:pPr>
    </w:p>
    <w:p>
      <w:pPr>
        <w:ind w:right="40" w:firstLine="562"/>
        <w:spacing w:after="0" w:line="256" w:lineRule="auto"/>
        <w:rPr>
          <w:sz w:val="20"/>
          <w:szCs w:val="20"/>
          <w:color w:val="auto"/>
        </w:rPr>
      </w:pPr>
      <w:r>
        <w:rPr>
          <w:rFonts w:ascii="Arial" w:cs="Arial" w:eastAsia="Arial" w:hAnsi="Arial"/>
          <w:sz w:val="13"/>
          <w:szCs w:val="13"/>
          <w:color w:val="auto"/>
        </w:rPr>
        <w:t>PennantPark Investment entered into an administration agreement with its controlled affiliate, SuttonPark Holdings, Inc. and its subsidiaries, or SPH. Under the administration agreement with SPH, or the SPH Administration Agreement, PennantPark Investment, through the Administrator, furnishes SPH with office facilities, equipment and clerical, bookkeeping and record keeping services at such facilities.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40"/>
          </w:cols>
          <w:pgMar w:left="320" w:top="459"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spacing w:after="0" w:line="247" w:lineRule="auto"/>
        <w:rPr>
          <w:sz w:val="20"/>
          <w:szCs w:val="20"/>
          <w:color w:val="auto"/>
        </w:rPr>
      </w:pPr>
      <w:r>
        <w:rPr>
          <w:rFonts w:ascii="Arial" w:cs="Arial" w:eastAsia="Arial" w:hAnsi="Arial"/>
          <w:sz w:val="13"/>
          <w:szCs w:val="13"/>
          <w:color w:val="auto"/>
        </w:rPr>
        <w:t>Additionally, the Administrator performs or oversees the performance of SPH’s required administrative services, which include, among other duties,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respective staff. For the fiscal years ended September 30, 2012, 2011 and 2010, PennantPark Investment was reimbursed $0.7 million, $0.5 million and $0.1 million, respectively, from SPH, including expenses it incurred on behalf of the Administrator for the services described above.</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Duration and Termination of Administration Agreement</w:t>
      </w:r>
    </w:p>
    <w:p>
      <w:pPr>
        <w:spacing w:after="0" w:line="80"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The Administration Agreement was re-approved by our board of directors, including a majority of our directors who are not interested persons of PennantPark Investment, in February 2012. Unless terminated earlier as described below, our Administration Agreement will continue in effect for a period of one year through February 2013. It will remain in effect if approved annually by our board of directors, or by the affirmative vote of the holders of a majority of our outstanding voting securities, including, in either case, approval by a majority of our directors who are not interested persons. The Administration Agreement will automatically terminate in the event of its assignment. The Administration Agreement may be terminated by either party without penalty upon not more than 60 days’ written notice to the other.</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Indemnification</w:t>
      </w:r>
    </w:p>
    <w:p>
      <w:pPr>
        <w:spacing w:after="0" w:line="80"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License Agreement</w:t>
      </w:r>
    </w:p>
    <w:p>
      <w:pPr>
        <w:spacing w:after="0" w:line="80" w:lineRule="exact"/>
        <w:rPr>
          <w:sz w:val="20"/>
          <w:szCs w:val="20"/>
          <w:color w:val="auto"/>
        </w:rPr>
      </w:pPr>
    </w:p>
    <w:p>
      <w:pPr>
        <w:ind w:right="40" w:firstLine="562"/>
        <w:spacing w:after="0" w:line="256" w:lineRule="auto"/>
        <w:rPr>
          <w:sz w:val="20"/>
          <w:szCs w:val="20"/>
          <w:color w:val="auto"/>
        </w:rPr>
      </w:pPr>
      <w:r>
        <w:rPr>
          <w:rFonts w:ascii="Arial" w:cs="Arial" w:eastAsia="Arial" w:hAnsi="Arial"/>
          <w:sz w:val="13"/>
          <w:szCs w:val="13"/>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REGULATION</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Regulated Investment Company and Business Development Company Regulations</w:t>
      </w:r>
    </w:p>
    <w:p>
      <w:pPr>
        <w:spacing w:after="0" w:line="80"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06"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 policies in this paragraph are fundamental and they may be changed without stockholder approval.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Qualifying Assets</w:t>
      </w:r>
    </w:p>
    <w:p>
      <w:pPr>
        <w:spacing w:after="0" w:line="80" w:lineRule="exact"/>
        <w:rPr>
          <w:sz w:val="20"/>
          <w:szCs w:val="20"/>
          <w:color w:val="auto"/>
        </w:rPr>
      </w:pPr>
    </w:p>
    <w:p>
      <w:pPr>
        <w:ind w:right="580" w:firstLine="562"/>
        <w:spacing w:after="0" w:line="317" w:lineRule="auto"/>
        <w:rPr>
          <w:sz w:val="20"/>
          <w:szCs w:val="20"/>
          <w:color w:val="auto"/>
        </w:rPr>
      </w:pPr>
      <w:r>
        <w:rPr>
          <w:rFonts w:ascii="Arial" w:cs="Arial" w:eastAsia="Arial" w:hAnsi="Arial"/>
          <w:sz w:val="12"/>
          <w:szCs w:val="12"/>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1" w:lineRule="exact"/>
        <w:rPr>
          <w:sz w:val="20"/>
          <w:szCs w:val="20"/>
          <w:color w:val="auto"/>
        </w:rPr>
      </w:pPr>
    </w:p>
    <w:p>
      <w:pPr>
        <w:ind w:left="5560" w:right="3540" w:hanging="5228"/>
        <w:spacing w:after="0" w:line="513" w:lineRule="auto"/>
        <w:tabs>
          <w:tab w:leader="none" w:pos="781" w:val="left"/>
        </w:tabs>
        <w:numPr>
          <w:ilvl w:val="0"/>
          <w:numId w:val="21"/>
        </w:numPr>
        <w:rPr>
          <w:rFonts w:ascii="Arial" w:cs="Arial" w:eastAsia="Arial" w:hAnsi="Arial"/>
          <w:sz w:val="13"/>
          <w:szCs w:val="13"/>
          <w:color w:val="auto"/>
        </w:rPr>
      </w:pPr>
      <w:r>
        <w:rPr>
          <w:rFonts w:ascii="Arial" w:cs="Arial" w:eastAsia="Arial" w:hAnsi="Arial"/>
          <w:sz w:val="13"/>
          <w:szCs w:val="13"/>
          <w:color w:val="auto"/>
        </w:rPr>
        <w:t>Securities purchased in transactions not involving any public offering from the issuer of such securities, which issuer (subject to 13</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800" w:right="280"/>
        <w:spacing w:after="0" w:line="317" w:lineRule="auto"/>
        <w:rPr>
          <w:sz w:val="20"/>
          <w:szCs w:val="20"/>
          <w:color w:val="auto"/>
        </w:rPr>
      </w:pPr>
      <w:r>
        <w:rPr>
          <w:rFonts w:ascii="Arial" w:cs="Arial" w:eastAsia="Arial" w:hAnsi="Arial"/>
          <w:sz w:val="12"/>
          <w:szCs w:val="12"/>
          <w:color w:val="auto"/>
        </w:rPr>
        <w:t>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81" w:lineRule="exact"/>
        <w:rPr>
          <w:sz w:val="20"/>
          <w:szCs w:val="20"/>
          <w:color w:val="auto"/>
        </w:rPr>
      </w:pPr>
    </w:p>
    <w:p>
      <w:pPr>
        <w:ind w:left="1580" w:hanging="452"/>
        <w:spacing w:after="0"/>
        <w:tabs>
          <w:tab w:leader="none" w:pos="1580" w:val="left"/>
        </w:tabs>
        <w:numPr>
          <w:ilvl w:val="1"/>
          <w:numId w:val="22"/>
        </w:numPr>
        <w:rPr>
          <w:rFonts w:ascii="Arial" w:cs="Arial" w:eastAsia="Arial" w:hAnsi="Arial"/>
          <w:sz w:val="13"/>
          <w:szCs w:val="13"/>
          <w:color w:val="auto"/>
        </w:rPr>
      </w:pPr>
      <w:r>
        <w:rPr>
          <w:rFonts w:ascii="Arial" w:cs="Arial" w:eastAsia="Arial" w:hAnsi="Arial"/>
          <w:sz w:val="13"/>
          <w:szCs w:val="13"/>
          <w:color w:val="auto"/>
        </w:rPr>
        <w:t>is organized under the laws of, and has its principal place of business in, the United States;</w:t>
      </w:r>
    </w:p>
    <w:p>
      <w:pPr>
        <w:spacing w:after="0" w:line="147" w:lineRule="exact"/>
        <w:rPr>
          <w:rFonts w:ascii="Arial" w:cs="Arial" w:eastAsia="Arial" w:hAnsi="Arial"/>
          <w:sz w:val="13"/>
          <w:szCs w:val="13"/>
          <w:color w:val="auto"/>
        </w:rPr>
      </w:pPr>
    </w:p>
    <w:p>
      <w:pPr>
        <w:ind w:left="1580" w:right="120" w:hanging="452"/>
        <w:spacing w:after="0" w:line="274" w:lineRule="auto"/>
        <w:tabs>
          <w:tab w:leader="none" w:pos="1580" w:val="left"/>
        </w:tabs>
        <w:numPr>
          <w:ilvl w:val="1"/>
          <w:numId w:val="22"/>
        </w:numPr>
        <w:rPr>
          <w:rFonts w:ascii="Arial" w:cs="Arial" w:eastAsia="Arial" w:hAnsi="Arial"/>
          <w:sz w:val="13"/>
          <w:szCs w:val="13"/>
          <w:color w:val="auto"/>
        </w:rPr>
      </w:pPr>
      <w:r>
        <w:rPr>
          <w:rFonts w:ascii="Arial" w:cs="Arial" w:eastAsia="Arial" w:hAnsi="Arial"/>
          <w:sz w:val="13"/>
          <w:szCs w:val="13"/>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04" w:lineRule="exact"/>
        <w:rPr>
          <w:rFonts w:ascii="Arial" w:cs="Arial" w:eastAsia="Arial" w:hAnsi="Arial"/>
          <w:sz w:val="13"/>
          <w:szCs w:val="13"/>
          <w:color w:val="auto"/>
        </w:rPr>
      </w:pPr>
    </w:p>
    <w:p>
      <w:pPr>
        <w:ind w:left="1580" w:right="320" w:hanging="452"/>
        <w:spacing w:after="0" w:line="274" w:lineRule="auto"/>
        <w:tabs>
          <w:tab w:leader="none" w:pos="1580" w:val="left"/>
        </w:tabs>
        <w:numPr>
          <w:ilvl w:val="1"/>
          <w:numId w:val="22"/>
        </w:numPr>
        <w:rPr>
          <w:rFonts w:ascii="Arial" w:cs="Arial" w:eastAsia="Arial" w:hAnsi="Arial"/>
          <w:sz w:val="13"/>
          <w:szCs w:val="13"/>
          <w:color w:val="auto"/>
        </w:rPr>
      </w:pPr>
      <w:r>
        <w:rPr>
          <w:rFonts w:ascii="Arial" w:cs="Arial" w:eastAsia="Arial" w:hAnsi="Arial"/>
          <w:sz w:val="13"/>
          <w:szCs w:val="13"/>
          <w:color w:val="auto"/>
        </w:rPr>
        <w:t>does not have any class of securities listed on a national securities exchange; has any class of securities listed on a national securities exchange subject to a maximum market capitalization of $250.0 million.</w:t>
      </w:r>
    </w:p>
    <w:p>
      <w:pPr>
        <w:spacing w:after="0" w:line="104" w:lineRule="exact"/>
        <w:rPr>
          <w:rFonts w:ascii="Arial" w:cs="Arial" w:eastAsia="Arial" w:hAnsi="Arial"/>
          <w:sz w:val="13"/>
          <w:szCs w:val="13"/>
          <w:color w:val="auto"/>
        </w:rPr>
      </w:pPr>
    </w:p>
    <w:p>
      <w:pPr>
        <w:ind w:left="780" w:hanging="448"/>
        <w:spacing w:after="0"/>
        <w:tabs>
          <w:tab w:leader="none" w:pos="7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Securities of any eligible portfolio company which we control which may have an affiliated person who is a director of such portfolio company.</w:t>
      </w:r>
    </w:p>
    <w:p>
      <w:pPr>
        <w:spacing w:after="0" w:line="147" w:lineRule="exact"/>
        <w:rPr>
          <w:rFonts w:ascii="Arial" w:cs="Arial" w:eastAsia="Arial" w:hAnsi="Arial"/>
          <w:sz w:val="13"/>
          <w:szCs w:val="13"/>
          <w:color w:val="auto"/>
        </w:rPr>
      </w:pPr>
    </w:p>
    <w:p>
      <w:pPr>
        <w:ind w:left="780" w:right="260" w:hanging="448"/>
        <w:spacing w:after="0" w:line="256" w:lineRule="auto"/>
        <w:tabs>
          <w:tab w:leader="none" w:pos="7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15" w:lineRule="exact"/>
        <w:rPr>
          <w:rFonts w:ascii="Arial" w:cs="Arial" w:eastAsia="Arial" w:hAnsi="Arial"/>
          <w:sz w:val="13"/>
          <w:szCs w:val="13"/>
          <w:color w:val="auto"/>
        </w:rPr>
      </w:pPr>
    </w:p>
    <w:p>
      <w:pPr>
        <w:ind w:left="780" w:right="140" w:hanging="448"/>
        <w:spacing w:after="0" w:line="274" w:lineRule="auto"/>
        <w:tabs>
          <w:tab w:leader="none" w:pos="7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04" w:lineRule="exact"/>
        <w:rPr>
          <w:rFonts w:ascii="Arial" w:cs="Arial" w:eastAsia="Arial" w:hAnsi="Arial"/>
          <w:sz w:val="13"/>
          <w:szCs w:val="13"/>
          <w:color w:val="auto"/>
        </w:rPr>
      </w:pPr>
    </w:p>
    <w:p>
      <w:pPr>
        <w:ind w:left="780" w:hanging="448"/>
        <w:spacing w:after="0"/>
        <w:tabs>
          <w:tab w:leader="none" w:pos="7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Securities received in exchange for or distributed on or with respect to securities described in (1) through (4) above, or pursuant to the exercise of warrants or rights relating to such securities.</w:t>
      </w:r>
    </w:p>
    <w:p>
      <w:pPr>
        <w:spacing w:after="0" w:line="159" w:lineRule="exact"/>
        <w:rPr>
          <w:rFonts w:ascii="Arial" w:cs="Arial" w:eastAsia="Arial" w:hAnsi="Arial"/>
          <w:sz w:val="12"/>
          <w:szCs w:val="12"/>
          <w:color w:val="auto"/>
        </w:rPr>
      </w:pPr>
    </w:p>
    <w:p>
      <w:pPr>
        <w:ind w:left="780" w:hanging="448"/>
        <w:spacing w:after="0"/>
        <w:tabs>
          <w:tab w:leader="none" w:pos="7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Cash, cash equivalents, U.S. government securities or high-quality debt securities maturing in one year or less from the time of investment.</w:t>
      </w:r>
    </w:p>
    <w:p>
      <w:pPr>
        <w:spacing w:after="0" w:line="134" w:lineRule="exact"/>
        <w:rPr>
          <w:sz w:val="20"/>
          <w:szCs w:val="20"/>
          <w:color w:val="auto"/>
        </w:rPr>
      </w:pPr>
    </w:p>
    <w:p>
      <w:pPr>
        <w:ind w:right="320" w:firstLine="562"/>
        <w:spacing w:after="0" w:line="274" w:lineRule="auto"/>
        <w:rPr>
          <w:sz w:val="20"/>
          <w:szCs w:val="20"/>
          <w:color w:val="auto"/>
        </w:rPr>
      </w:pPr>
      <w:r>
        <w:rPr>
          <w:rFonts w:ascii="Arial" w:cs="Arial" w:eastAsia="Arial" w:hAnsi="Arial"/>
          <w:sz w:val="13"/>
          <w:szCs w:val="13"/>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Managerial Assistance to Portfolio Companies</w:t>
      </w:r>
    </w:p>
    <w:p>
      <w:pPr>
        <w:spacing w:after="0" w:line="80" w:lineRule="exact"/>
        <w:rPr>
          <w:sz w:val="20"/>
          <w:szCs w:val="20"/>
          <w:color w:val="auto"/>
        </w:rPr>
      </w:pPr>
    </w:p>
    <w:p>
      <w:pPr>
        <w:ind w:right="80" w:firstLine="562"/>
        <w:spacing w:after="0" w:line="247" w:lineRule="auto"/>
        <w:rPr>
          <w:sz w:val="20"/>
          <w:szCs w:val="20"/>
          <w:color w:val="auto"/>
        </w:rPr>
      </w:pPr>
      <w:r>
        <w:rPr>
          <w:rFonts w:ascii="Arial" w:cs="Arial" w:eastAsia="Arial" w:hAnsi="Arial"/>
          <w:sz w:val="13"/>
          <w:szCs w:val="13"/>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Temporary Investments</w:t>
      </w:r>
    </w:p>
    <w:p>
      <w:pPr>
        <w:spacing w:after="0" w:line="80" w:lineRule="exact"/>
        <w:rPr>
          <w:sz w:val="20"/>
          <w:szCs w:val="20"/>
          <w:color w:val="auto"/>
        </w:rPr>
      </w:pPr>
    </w:p>
    <w:p>
      <w:pPr>
        <w:ind w:right="20" w:firstLine="562"/>
        <w:spacing w:after="0" w:line="243" w:lineRule="auto"/>
        <w:rPr>
          <w:sz w:val="20"/>
          <w:szCs w:val="20"/>
          <w:color w:val="auto"/>
        </w:rPr>
      </w:pPr>
      <w:r>
        <w:rPr>
          <w:rFonts w:ascii="Arial" w:cs="Arial" w:eastAsia="Arial" w:hAnsi="Arial"/>
          <w:sz w:val="13"/>
          <w:szCs w:val="13"/>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Report under “Regulation—Election to be Taxed as a RIC”,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Senior Securities</w:t>
      </w:r>
    </w:p>
    <w:p>
      <w:pPr>
        <w:spacing w:after="0" w:line="80" w:lineRule="exact"/>
        <w:rPr>
          <w:sz w:val="20"/>
          <w:szCs w:val="20"/>
          <w:color w:val="auto"/>
        </w:rPr>
      </w:pPr>
    </w:p>
    <w:p>
      <w:pPr>
        <w:jc w:val="both"/>
        <w:ind w:firstLine="562"/>
        <w:spacing w:after="0" w:line="256" w:lineRule="auto"/>
        <w:rPr>
          <w:sz w:val="20"/>
          <w:szCs w:val="20"/>
          <w:color w:val="auto"/>
        </w:rPr>
      </w:pPr>
      <w:r>
        <w:rPr>
          <w:rFonts w:ascii="Arial" w:cs="Arial" w:eastAsia="Arial" w:hAnsi="Arial"/>
          <w:sz w:val="13"/>
          <w:szCs w:val="13"/>
          <w:color w:val="auto"/>
        </w:rPr>
        <w:t>We are permitted, under specified conditions, to issue multiple classes of indebtedness and one class of stock senior to our common stock if we meet our asset coverage ratio or test, which is defined in the 1940 Act as the ratio of total assets (less total liabilities other than indebtedness) to total indebtedness must equal 200% or more, after each such issuance. In addition, while any senior securities remain outstanding, we must make provisions to prohibit any distribution to our stockholders or the repurchase of such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securities or shares unless we meet the applicable asset coverage ratio at the time of the distribution or repurchase. We may also borrow amounts up to 5% of the value of our total assets for temporary or emergency purposes without regard to asset coverage ratio. We received exemptive relief from the SEC allowing us to modify the asset coverage requirement to exclude the SBA debentures from the calculation. For a discussion of the risks associated with leverage, see “Risk Factors—Risks Relating to our Business and Structure—Regulations governing our operation as a business development company will affect our ability to, and the way in which we, raise additional capital” for more information.</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Joint Code of Ethics and Code of Conduct</w:t>
      </w:r>
    </w:p>
    <w:p>
      <w:pPr>
        <w:spacing w:after="0" w:line="80" w:lineRule="exact"/>
        <w:rPr>
          <w:sz w:val="20"/>
          <w:szCs w:val="20"/>
          <w:color w:val="auto"/>
        </w:rPr>
      </w:pPr>
    </w:p>
    <w:p>
      <w:pPr>
        <w:ind w:right="20" w:firstLine="562"/>
        <w:spacing w:after="0" w:line="270" w:lineRule="auto"/>
        <w:rPr>
          <w:sz w:val="20"/>
          <w:szCs w:val="20"/>
          <w:color w:val="auto"/>
        </w:rPr>
      </w:pPr>
      <w:r>
        <w:rPr>
          <w:rFonts w:ascii="Arial" w:cs="Arial" w:eastAsia="Arial" w:hAnsi="Arial"/>
          <w:sz w:val="12"/>
          <w:szCs w:val="12"/>
          <w:color w:val="auto"/>
        </w:rPr>
        <w:t xml:space="preserve">We and PennantPark Investment Advisers have each adopted a joint code of ethics pursuant to Rule 17j-1 under the 1940 Act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i w:val="1"/>
          <w:iCs w:val="1"/>
          <w:color w:val="auto"/>
        </w:rPr>
        <w:t>.</w:t>
      </w:r>
      <w:r>
        <w:rPr>
          <w:rFonts w:ascii="Arial" w:cs="Arial" w:eastAsia="Arial" w:hAnsi="Arial"/>
          <w:sz w:val="12"/>
          <w:szCs w:val="12"/>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this Report and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You may also obtain copies of our joint code of ethics, after paying a duplicating fee, by electronic request at the following email address: </w:t>
      </w:r>
      <w:r>
        <w:rPr>
          <w:rFonts w:ascii="Arial" w:cs="Arial" w:eastAsia="Arial" w:hAnsi="Arial"/>
          <w:sz w:val="12"/>
          <w:szCs w:val="12"/>
          <w:i w:val="1"/>
          <w:iCs w:val="1"/>
          <w:u w:val="single" w:color="auto"/>
          <w:color w:val="auto"/>
        </w:rPr>
        <w:t>publicinfo@sec.gov</w:t>
      </w:r>
      <w:r>
        <w:rPr>
          <w:rFonts w:ascii="Arial" w:cs="Arial" w:eastAsia="Arial" w:hAnsi="Arial"/>
          <w:sz w:val="12"/>
          <w:szCs w:val="12"/>
          <w:color w:val="auto"/>
        </w:rPr>
        <w:t>, or by writing the SEC’s Public Reference Section, 100 F Street, N.E., Washington, D.C. 20549.</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Proxy Voting Policies and Procedures</w:t>
      </w:r>
    </w:p>
    <w:p>
      <w:pPr>
        <w:spacing w:after="0" w:line="80" w:lineRule="exact"/>
        <w:rPr>
          <w:sz w:val="20"/>
          <w:szCs w:val="20"/>
          <w:color w:val="auto"/>
        </w:rPr>
      </w:pPr>
    </w:p>
    <w:p>
      <w:pPr>
        <w:jc w:val="both"/>
        <w:ind w:right="40" w:firstLine="562"/>
        <w:spacing w:after="0" w:line="256" w:lineRule="auto"/>
        <w:rPr>
          <w:sz w:val="20"/>
          <w:szCs w:val="20"/>
          <w:color w:val="auto"/>
        </w:rPr>
      </w:pPr>
      <w:r>
        <w:rPr>
          <w:rFonts w:ascii="Arial" w:cs="Arial" w:eastAsia="Arial" w:hAnsi="Arial"/>
          <w:sz w:val="13"/>
          <w:szCs w:val="13"/>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Introduction</w:t>
      </w:r>
    </w:p>
    <w:p>
      <w:pPr>
        <w:spacing w:after="0" w:line="80" w:lineRule="exact"/>
        <w:rPr>
          <w:sz w:val="20"/>
          <w:szCs w:val="20"/>
          <w:color w:val="auto"/>
        </w:rPr>
      </w:pPr>
    </w:p>
    <w:p>
      <w:pPr>
        <w:ind w:right="320" w:firstLine="562"/>
        <w:spacing w:after="0" w:line="274" w:lineRule="auto"/>
        <w:rPr>
          <w:sz w:val="20"/>
          <w:szCs w:val="20"/>
          <w:color w:val="auto"/>
        </w:rPr>
      </w:pPr>
      <w:r>
        <w:rPr>
          <w:rFonts w:ascii="Arial" w:cs="Arial" w:eastAsia="Arial" w:hAnsi="Arial"/>
          <w:sz w:val="13"/>
          <w:szCs w:val="13"/>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These policies and procedures for voting proxies for our investment advisory clients are intended to comply with Section 206 of, and Rule 206(4)-6 under, the Advisers Act.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Proxy Policies</w:t>
      </w:r>
    </w:p>
    <w:p>
      <w:pPr>
        <w:spacing w:after="0" w:line="80" w:lineRule="exact"/>
        <w:rPr>
          <w:sz w:val="20"/>
          <w:szCs w:val="20"/>
          <w:color w:val="auto"/>
        </w:rPr>
      </w:pPr>
    </w:p>
    <w:p>
      <w:pPr>
        <w:ind w:right="140" w:firstLine="562"/>
        <w:spacing w:after="0" w:line="256" w:lineRule="auto"/>
        <w:rPr>
          <w:sz w:val="20"/>
          <w:szCs w:val="20"/>
          <w:color w:val="auto"/>
        </w:rPr>
      </w:pPr>
      <w:r>
        <w:rPr>
          <w:rFonts w:ascii="Arial" w:cs="Arial" w:eastAsia="Arial" w:hAnsi="Arial"/>
          <w:sz w:val="13"/>
          <w:szCs w:val="13"/>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02"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Our proxy voting decisions are made by the senior officers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3"/>
          <w:szCs w:val="13"/>
          <w:i w:val="1"/>
          <w:iCs w:val="1"/>
          <w:color w:val="auto"/>
        </w:rPr>
        <w:t>Proxy Voting Records</w:t>
      </w:r>
    </w:p>
    <w:p>
      <w:pPr>
        <w:spacing w:after="0" w:line="62" w:lineRule="exact"/>
        <w:rPr>
          <w:sz w:val="20"/>
          <w:szCs w:val="20"/>
          <w:color w:val="auto"/>
        </w:rPr>
      </w:pPr>
    </w:p>
    <w:p>
      <w:pPr>
        <w:ind w:right="60" w:firstLine="562"/>
        <w:spacing w:after="0" w:line="202" w:lineRule="auto"/>
        <w:rPr>
          <w:sz w:val="20"/>
          <w:szCs w:val="20"/>
          <w:color w:val="auto"/>
        </w:rPr>
      </w:pPr>
      <w:r>
        <w:rPr>
          <w:rFonts w:ascii="Arial" w:cs="Arial" w:eastAsia="Arial" w:hAnsi="Arial"/>
          <w:sz w:val="13"/>
          <w:szCs w:val="13"/>
          <w:color w:val="auto"/>
        </w:rPr>
        <w:t>You may obtain information about how we voted proxies by making a written request for proxy voting information to: Aviv Efrat, Chief Financial Officer and Treasurer, 590 Madison Avenue, 15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Floor, New York, New York 10022.</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Privacy Protection Principles</w:t>
      </w:r>
    </w:p>
    <w:p>
      <w:pPr>
        <w:spacing w:after="0" w:line="80" w:lineRule="exact"/>
        <w:rPr>
          <w:sz w:val="20"/>
          <w:szCs w:val="20"/>
          <w:color w:val="auto"/>
        </w:rPr>
      </w:pPr>
    </w:p>
    <w:p>
      <w:pPr>
        <w:ind w:left="120" w:right="260" w:firstLine="445"/>
        <w:spacing w:after="0" w:line="274" w:lineRule="auto"/>
        <w:rPr>
          <w:sz w:val="20"/>
          <w:szCs w:val="20"/>
          <w:color w:val="auto"/>
        </w:rPr>
      </w:pPr>
      <w:r>
        <w:rPr>
          <w:rFonts w:ascii="Arial" w:cs="Arial" w:eastAsia="Arial" w:hAnsi="Arial"/>
          <w:sz w:val="13"/>
          <w:szCs w:val="13"/>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91" w:lineRule="exact"/>
        <w:rPr>
          <w:sz w:val="20"/>
          <w:szCs w:val="20"/>
          <w:color w:val="auto"/>
        </w:rPr>
      </w:pPr>
    </w:p>
    <w:p>
      <w:pPr>
        <w:ind w:left="120" w:firstLine="445"/>
        <w:spacing w:after="0" w:line="256" w:lineRule="auto"/>
        <w:rPr>
          <w:sz w:val="20"/>
          <w:szCs w:val="20"/>
          <w:color w:val="auto"/>
        </w:rPr>
      </w:pPr>
      <w:r>
        <w:rPr>
          <w:rFonts w:ascii="Arial" w:cs="Arial" w:eastAsia="Arial" w:hAnsi="Arial"/>
          <w:sz w:val="13"/>
          <w:szCs w:val="13"/>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20"/>
          </w:cols>
          <w:pgMar w:left="32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20" w:right="400" w:firstLine="445"/>
        <w:spacing w:after="0" w:line="274" w:lineRule="auto"/>
        <w:rPr>
          <w:sz w:val="20"/>
          <w:szCs w:val="20"/>
          <w:color w:val="auto"/>
        </w:rPr>
      </w:pPr>
      <w:r>
        <w:rPr>
          <w:rFonts w:ascii="Arial" w:cs="Arial" w:eastAsia="Arial" w:hAnsi="Arial"/>
          <w:sz w:val="13"/>
          <w:szCs w:val="13"/>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91" w:lineRule="exact"/>
        <w:rPr>
          <w:sz w:val="20"/>
          <w:szCs w:val="20"/>
          <w:color w:val="auto"/>
        </w:rPr>
      </w:pPr>
    </w:p>
    <w:p>
      <w:pPr>
        <w:ind w:left="120" w:right="40" w:firstLine="445"/>
        <w:spacing w:after="0" w:line="256" w:lineRule="auto"/>
        <w:rPr>
          <w:sz w:val="20"/>
          <w:szCs w:val="20"/>
          <w:color w:val="auto"/>
        </w:rPr>
      </w:pPr>
      <w:r>
        <w:rPr>
          <w:rFonts w:ascii="Arial" w:cs="Arial" w:eastAsia="Arial" w:hAnsi="Arial"/>
          <w:sz w:val="13"/>
          <w:szCs w:val="13"/>
          <w:color w:val="auto"/>
        </w:rPr>
        <w:t xml:space="preserve">Our privacy and protection policies are available, free of charge, on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In addition, the privacy policy is available on the EDGAR Database on the SEC’s Internet 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filed as an exhibit to our report on Form 10-K (File No. 814-00736) on November 16, 2011. You may also obtain copies of our privacy policy, after paying a duplicating fee, by electronic request at the following email address: </w:t>
      </w:r>
      <w:r>
        <w:rPr>
          <w:rFonts w:ascii="Arial" w:cs="Arial" w:eastAsia="Arial" w:hAnsi="Arial"/>
          <w:sz w:val="13"/>
          <w:szCs w:val="13"/>
          <w:i w:val="1"/>
          <w:iCs w:val="1"/>
          <w:u w:val="single" w:color="auto"/>
          <w:color w:val="auto"/>
        </w:rPr>
        <w:t>publicinfo@sec.gov</w:t>
      </w:r>
      <w:r>
        <w:rPr>
          <w:rFonts w:ascii="Arial" w:cs="Arial" w:eastAsia="Arial" w:hAnsi="Arial"/>
          <w:sz w:val="13"/>
          <w:szCs w:val="13"/>
          <w:color w:val="auto"/>
        </w:rPr>
        <w:t>, or by writing the SEC’s Public Reference Section, 100 F Street, N.E., Washington, D.C. 20549.</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Other</w:t>
      </w:r>
    </w:p>
    <w:p>
      <w:pPr>
        <w:spacing w:after="0" w:line="80" w:lineRule="exact"/>
        <w:rPr>
          <w:sz w:val="20"/>
          <w:szCs w:val="20"/>
          <w:color w:val="auto"/>
        </w:rPr>
      </w:pPr>
    </w:p>
    <w:p>
      <w:pPr>
        <w:ind w:left="120" w:firstLine="445"/>
        <w:spacing w:after="0" w:line="274" w:lineRule="auto"/>
        <w:rPr>
          <w:sz w:val="20"/>
          <w:szCs w:val="20"/>
          <w:color w:val="auto"/>
        </w:rPr>
      </w:pPr>
      <w:r>
        <w:rPr>
          <w:rFonts w:ascii="Arial" w:cs="Arial" w:eastAsia="Arial" w:hAnsi="Arial"/>
          <w:sz w:val="13"/>
          <w:szCs w:val="13"/>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will be periodically examined by the SEC and SBA for compliance with the 1940 Act and 1958 Act, respectively.</w:t>
      </w:r>
    </w:p>
    <w:p>
      <w:pPr>
        <w:spacing w:after="0" w:line="134" w:lineRule="exact"/>
        <w:rPr>
          <w:sz w:val="20"/>
          <w:szCs w:val="20"/>
          <w:color w:val="auto"/>
        </w:rPr>
      </w:pPr>
    </w:p>
    <w:p>
      <w:pPr>
        <w:ind w:left="120" w:right="100" w:firstLine="445"/>
        <w:spacing w:after="0" w:line="256" w:lineRule="auto"/>
        <w:rPr>
          <w:sz w:val="20"/>
          <w:szCs w:val="20"/>
          <w:color w:val="auto"/>
        </w:rPr>
      </w:pPr>
      <w:r>
        <w:rPr>
          <w:rFonts w:ascii="Arial" w:cs="Arial" w:eastAsia="Arial" w:hAnsi="Arial"/>
          <w:sz w:val="13"/>
          <w:szCs w:val="13"/>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2" w:lineRule="exact"/>
        <w:rPr>
          <w:sz w:val="20"/>
          <w:szCs w:val="20"/>
          <w:color w:val="auto"/>
        </w:rPr>
      </w:pPr>
    </w:p>
    <w:p>
      <w:pPr>
        <w:ind w:left="120" w:right="240" w:firstLine="445"/>
        <w:spacing w:after="0" w:line="256" w:lineRule="auto"/>
        <w:rPr>
          <w:sz w:val="20"/>
          <w:szCs w:val="20"/>
          <w:color w:val="auto"/>
        </w:rPr>
      </w:pPr>
      <w:r>
        <w:rPr>
          <w:rFonts w:ascii="Arial" w:cs="Arial" w:eastAsia="Arial" w:hAnsi="Arial"/>
          <w:sz w:val="13"/>
          <w:szCs w:val="13"/>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have designated a Chief Compliance Officer to be responsible for administering these policies and procedures.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Sarbanes-Oxley Act of 2002</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Sarbanes-Oxley Act of 2002, or the Sarbanes-Oxley Act, imposes several regulatory requirements on publicly held companies and their insiders. Many of these requirements affect us. For</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example:</w:t>
      </w:r>
    </w:p>
    <w:p>
      <w:pPr>
        <w:spacing w:after="0" w:line="136" w:lineRule="exact"/>
        <w:rPr>
          <w:sz w:val="20"/>
          <w:szCs w:val="20"/>
          <w:color w:val="auto"/>
        </w:rPr>
      </w:pPr>
    </w:p>
    <w:p>
      <w:pPr>
        <w:ind w:left="880" w:right="180" w:hanging="319"/>
        <w:spacing w:after="0" w:line="274" w:lineRule="auto"/>
        <w:tabs>
          <w:tab w:leader="none" w:pos="8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104" w:lineRule="exact"/>
        <w:rPr>
          <w:rFonts w:ascii="Arial" w:cs="Arial" w:eastAsia="Arial" w:hAnsi="Arial"/>
          <w:sz w:val="13"/>
          <w:szCs w:val="13"/>
          <w:color w:val="auto"/>
        </w:rPr>
      </w:pPr>
    </w:p>
    <w:p>
      <w:pPr>
        <w:ind w:left="880" w:hanging="319"/>
        <w:spacing w:after="0"/>
        <w:tabs>
          <w:tab w:leader="none" w:pos="8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pursuant to Item 307 of Regulation S-K, our periodic reports must disclose our conclusions about the effectiveness of our disclosure controls and procedures;</w:t>
      </w:r>
    </w:p>
    <w:p>
      <w:pPr>
        <w:spacing w:after="0" w:line="147" w:lineRule="exact"/>
        <w:rPr>
          <w:rFonts w:ascii="Arial" w:cs="Arial" w:eastAsia="Arial" w:hAnsi="Arial"/>
          <w:sz w:val="13"/>
          <w:szCs w:val="13"/>
          <w:color w:val="auto"/>
        </w:rPr>
      </w:pPr>
    </w:p>
    <w:p>
      <w:pPr>
        <w:ind w:left="880" w:hanging="319"/>
        <w:spacing w:after="0"/>
        <w:tabs>
          <w:tab w:leader="none" w:pos="8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pursuant to Rule 13a-15 of the Exchange Act, our management must prepare an annual report regarding its assessment of our internal controls over financial reporting; and</w:t>
      </w:r>
    </w:p>
    <w:p>
      <w:pPr>
        <w:spacing w:after="0" w:line="147" w:lineRule="exact"/>
        <w:rPr>
          <w:rFonts w:ascii="Arial" w:cs="Arial" w:eastAsia="Arial" w:hAnsi="Arial"/>
          <w:sz w:val="13"/>
          <w:szCs w:val="13"/>
          <w:color w:val="auto"/>
        </w:rPr>
      </w:pPr>
    </w:p>
    <w:p>
      <w:pPr>
        <w:ind w:left="880" w:right="60" w:hanging="319"/>
        <w:spacing w:after="0" w:line="256" w:lineRule="auto"/>
        <w:tabs>
          <w:tab w:leader="none" w:pos="8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2" w:lineRule="exact"/>
        <w:rPr>
          <w:sz w:val="20"/>
          <w:szCs w:val="20"/>
          <w:color w:val="auto"/>
        </w:rPr>
      </w:pPr>
    </w:p>
    <w:p>
      <w:pPr>
        <w:ind w:right="460" w:firstLine="562"/>
        <w:spacing w:after="0" w:line="317" w:lineRule="auto"/>
        <w:rPr>
          <w:sz w:val="20"/>
          <w:szCs w:val="20"/>
          <w:color w:val="auto"/>
        </w:rPr>
      </w:pPr>
      <w:r>
        <w:rPr>
          <w:rFonts w:ascii="Arial" w:cs="Arial" w:eastAsia="Arial" w:hAnsi="Arial"/>
          <w:sz w:val="12"/>
          <w:szCs w:val="12"/>
          <w:color w:val="auto"/>
        </w:rPr>
        <w:t>The Sarbanes-Oxley Act requires us to review our current policies and procedures to determine whether we comply with the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Election to be Taxed as a RIC</w:t>
      </w:r>
    </w:p>
    <w:p>
      <w:pPr>
        <w:spacing w:after="0" w:line="80" w:lineRule="exact"/>
        <w:rPr>
          <w:sz w:val="20"/>
          <w:szCs w:val="20"/>
          <w:color w:val="auto"/>
        </w:rPr>
      </w:pPr>
    </w:p>
    <w:p>
      <w:pPr>
        <w:ind w:right="80" w:firstLine="562"/>
        <w:spacing w:after="0" w:line="244"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(as described below). We also must annually distribute dividends of at least 90% of the sum of our net ordinary income and realized net short-term capital gains in excess of net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and net ordinary gains for preceding years that were not distributed during such years, or the Excise Tax Avoidance Requirement.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80"/>
        <w:spacing w:after="0" w:line="274" w:lineRule="auto"/>
        <w:rPr>
          <w:sz w:val="20"/>
          <w:szCs w:val="20"/>
          <w:color w:val="auto"/>
        </w:rPr>
      </w:pPr>
      <w:r>
        <w:rPr>
          <w:rFonts w:ascii="Arial" w:cs="Arial" w:eastAsia="Arial" w:hAnsi="Arial"/>
          <w:sz w:val="13"/>
          <w:szCs w:val="13"/>
          <w:color w:val="auto"/>
        </w:rPr>
        <w:t>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ordinary income to provide us with additional liquidity.</w:t>
      </w:r>
    </w:p>
    <w:p>
      <w:pPr>
        <w:spacing w:after="0" w:line="9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order to qualify as a RIC for federal income tax purposes, we must:</w:t>
      </w:r>
    </w:p>
    <w:p>
      <w:pPr>
        <w:spacing w:after="0" w:line="148"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maintain an election to be treated as a BDC under the 1940 Act at all times during each taxable year;</w:t>
      </w:r>
    </w:p>
    <w:p>
      <w:pPr>
        <w:spacing w:after="0" w:line="147" w:lineRule="exact"/>
        <w:rPr>
          <w:rFonts w:ascii="Arial" w:cs="Arial" w:eastAsia="Arial" w:hAnsi="Arial"/>
          <w:sz w:val="13"/>
          <w:szCs w:val="13"/>
          <w:color w:val="auto"/>
        </w:rPr>
      </w:pPr>
    </w:p>
    <w:p>
      <w:pPr>
        <w:ind w:left="540" w:right="20" w:hanging="424"/>
        <w:spacing w:after="0" w:line="317" w:lineRule="auto"/>
        <w:tabs>
          <w:tab w:leader="none" w:pos="5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derive in each 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0" w:lineRule="exact"/>
        <w:rPr>
          <w:rFonts w:ascii="Arial" w:cs="Arial" w:eastAsia="Arial" w:hAnsi="Arial"/>
          <w:sz w:val="12"/>
          <w:szCs w:val="12"/>
          <w:color w:val="auto"/>
        </w:rPr>
      </w:pPr>
    </w:p>
    <w:p>
      <w:pPr>
        <w:ind w:left="540" w:hanging="424"/>
        <w:spacing w:after="0"/>
        <w:tabs>
          <w:tab w:leader="none" w:pos="5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diversify our holdings, or the Diversification Tests, so that at the end of each quarter of the taxable year:</w:t>
      </w:r>
    </w:p>
    <w:p>
      <w:pPr>
        <w:spacing w:after="0" w:line="147" w:lineRule="exact"/>
        <w:rPr>
          <w:rFonts w:ascii="Arial" w:cs="Arial" w:eastAsia="Arial" w:hAnsi="Arial"/>
          <w:sz w:val="13"/>
          <w:szCs w:val="13"/>
          <w:color w:val="auto"/>
        </w:rPr>
      </w:pPr>
    </w:p>
    <w:p>
      <w:pPr>
        <w:ind w:left="1000" w:right="120" w:hanging="439"/>
        <w:spacing w:after="0" w:line="274" w:lineRule="auto"/>
        <w:tabs>
          <w:tab w:leader="none" w:pos="1000" w:val="left"/>
        </w:tabs>
        <w:numPr>
          <w:ilvl w:val="1"/>
          <w:numId w:val="25"/>
        </w:numPr>
        <w:rPr>
          <w:rFonts w:ascii="Arial" w:cs="Arial" w:eastAsia="Arial" w:hAnsi="Arial"/>
          <w:sz w:val="13"/>
          <w:szCs w:val="13"/>
          <w:color w:val="auto"/>
        </w:rPr>
      </w:pPr>
      <w:r>
        <w:rPr>
          <w:rFonts w:ascii="Arial" w:cs="Arial" w:eastAsia="Arial" w:hAnsi="Arial"/>
          <w:sz w:val="13"/>
          <w:szCs w:val="13"/>
          <w:color w:val="auto"/>
        </w:rPr>
        <w:t>at least 50% of the value of our assets consists of cash, cash equivalents, U.S. Government securities, securities of other RICs, and other securities if such other securities of any one issuer neither represents more than 5% of the value of our assets or more than 10% of the outstanding voting securities of the issuer; and</w:t>
      </w:r>
    </w:p>
    <w:p>
      <w:pPr>
        <w:spacing w:after="0" w:line="104" w:lineRule="exact"/>
        <w:rPr>
          <w:rFonts w:ascii="Arial" w:cs="Arial" w:eastAsia="Arial" w:hAnsi="Arial"/>
          <w:sz w:val="13"/>
          <w:szCs w:val="13"/>
          <w:color w:val="auto"/>
        </w:rPr>
      </w:pPr>
    </w:p>
    <w:p>
      <w:pPr>
        <w:ind w:left="1000" w:right="200" w:hanging="439"/>
        <w:spacing w:after="0" w:line="317" w:lineRule="auto"/>
        <w:tabs>
          <w:tab w:leader="none" w:pos="1000" w:val="left"/>
        </w:tabs>
        <w:numPr>
          <w:ilvl w:val="1"/>
          <w:numId w:val="25"/>
        </w:numPr>
        <w:rPr>
          <w:rFonts w:ascii="Arial" w:cs="Arial" w:eastAsia="Arial" w:hAnsi="Arial"/>
          <w:sz w:val="12"/>
          <w:szCs w:val="12"/>
          <w:color w:val="auto"/>
        </w:rPr>
      </w:pPr>
      <w:r>
        <w:rPr>
          <w:rFonts w:ascii="Arial" w:cs="Arial" w:eastAsia="Arial" w:hAnsi="Arial"/>
          <w:sz w:val="12"/>
          <w:szCs w:val="12"/>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Taxation as a RIC</w:t>
      </w:r>
    </w:p>
    <w:p>
      <w:pPr>
        <w:spacing w:after="0" w:line="80" w:lineRule="exact"/>
        <w:rPr>
          <w:sz w:val="20"/>
          <w:szCs w:val="20"/>
          <w:color w:val="auto"/>
        </w:rPr>
      </w:pPr>
    </w:p>
    <w:p>
      <w:pPr>
        <w:ind w:right="100" w:firstLine="562"/>
        <w:spacing w:after="0" w:line="256" w:lineRule="auto"/>
        <w:rPr>
          <w:sz w:val="20"/>
          <w:szCs w:val="20"/>
          <w:color w:val="auto"/>
        </w:rPr>
      </w:pPr>
      <w:r>
        <w:rPr>
          <w:rFonts w:ascii="Arial" w:cs="Arial" w:eastAsia="Arial" w:hAnsi="Arial"/>
          <w:sz w:val="13"/>
          <w:szCs w:val="13"/>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02" w:lineRule="exact"/>
        <w:rPr>
          <w:sz w:val="20"/>
          <w:szCs w:val="20"/>
          <w:color w:val="auto"/>
        </w:rPr>
      </w:pPr>
    </w:p>
    <w:p>
      <w:pPr>
        <w:ind w:right="20" w:firstLine="562"/>
        <w:spacing w:after="0" w:line="278" w:lineRule="auto"/>
        <w:rPr>
          <w:sz w:val="20"/>
          <w:szCs w:val="20"/>
          <w:color w:val="auto"/>
        </w:rPr>
      </w:pPr>
      <w:r>
        <w:rPr>
          <w:rFonts w:ascii="Arial" w:cs="Arial" w:eastAsia="Arial" w:hAnsi="Arial"/>
          <w:sz w:val="12"/>
          <w:szCs w:val="12"/>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year a portion of the OID that accrues over the life of the obligation, regardless of whether cash representing such income is received by us in the same taxable year. Because any OID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90"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91" w:lineRule="exact"/>
        <w:rPr>
          <w:sz w:val="20"/>
          <w:szCs w:val="20"/>
          <w:color w:val="auto"/>
        </w:rPr>
      </w:pPr>
    </w:p>
    <w:p>
      <w:pPr>
        <w:ind w:right="20" w:firstLine="562"/>
        <w:spacing w:after="0" w:line="278" w:lineRule="auto"/>
        <w:rPr>
          <w:sz w:val="20"/>
          <w:szCs w:val="20"/>
          <w:color w:val="auto"/>
        </w:rPr>
      </w:pPr>
      <w:r>
        <w:rPr>
          <w:rFonts w:ascii="Arial" w:cs="Arial" w:eastAsia="Arial" w:hAnsi="Arial"/>
          <w:sz w:val="12"/>
          <w:szCs w:val="12"/>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90" w:lineRule="exact"/>
        <w:rPr>
          <w:sz w:val="20"/>
          <w:szCs w:val="20"/>
          <w:color w:val="auto"/>
        </w:rPr>
      </w:pPr>
    </w:p>
    <w:p>
      <w:pPr>
        <w:ind w:right="180" w:firstLine="562"/>
        <w:spacing w:after="0" w:line="256" w:lineRule="auto"/>
        <w:rPr>
          <w:sz w:val="20"/>
          <w:szCs w:val="20"/>
          <w:color w:val="auto"/>
        </w:rPr>
      </w:pPr>
      <w:r>
        <w:rPr>
          <w:rFonts w:ascii="Arial" w:cs="Arial" w:eastAsia="Arial" w:hAnsi="Arial"/>
          <w:sz w:val="13"/>
          <w:szCs w:val="13"/>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Failure to Qualify as a RIC</w:t>
      </w:r>
    </w:p>
    <w:p>
      <w:pPr>
        <w:spacing w:after="0" w:line="80"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eligible for the 15% maximum rate to the extent of our current and accumulated earnings and profits through tax years ending 2012, unless extended by the U.S. Congress.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Recent Tax Developments</w:t>
      </w:r>
    </w:p>
    <w:p>
      <w:pPr>
        <w:spacing w:after="0" w:line="80" w:lineRule="exact"/>
        <w:rPr>
          <w:sz w:val="20"/>
          <w:szCs w:val="20"/>
          <w:color w:val="auto"/>
        </w:rPr>
      </w:pPr>
    </w:p>
    <w:p>
      <w:pPr>
        <w:ind w:right="40" w:firstLine="562"/>
        <w:spacing w:after="0" w:line="256" w:lineRule="auto"/>
        <w:rPr>
          <w:sz w:val="20"/>
          <w:szCs w:val="20"/>
          <w:color w:val="auto"/>
        </w:rPr>
      </w:pPr>
      <w:r>
        <w:rPr>
          <w:rFonts w:ascii="Arial" w:cs="Arial" w:eastAsia="Arial" w:hAnsi="Arial"/>
          <w:sz w:val="13"/>
          <w:szCs w:val="13"/>
          <w:color w:val="auto"/>
        </w:rPr>
        <w:t>Recently enacted legislation may require certain non-corporate U.S. holders to pay a 3.8% Medicare tax on, among other things, interest on and capital gains from the sale, exchange, redemption or retirement of our common stock. This legislation would apply for taxable years beginning after December 31, 2012. U.S. holders should consult their own tax advisors regarding the effect, if any, of this legislation.</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SBA Regulations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SBIC LP is licensed under the SBA as a SBIC under the 1958 Act. SBIC LP received its license in July 2010.</w:t>
      </w:r>
    </w:p>
    <w:p>
      <w:pPr>
        <w:spacing w:after="0" w:line="134"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SBICs are designed to stimulate the flow of capital to businesses that meet specified eligibility requirements discussed below. Under SBA regulations, SBIC LP is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SBIC LP is subject to periodic audits and examinations of its financial statements that are prepared on a basis of accounting other than GAAP. For example, SBIC LP does not use fair value accounting on its assets or liabilities. If SBIC LP subsidiary fails to comply with applicable SBA regulations, the SBA could, depending on the severity of the violation, limit or prohibit its use of debentures, declare outstanding debentures immediately due and payable, and/or limit SBIC LP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SBIC LP is our wholly owned subsidiary.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Eligible Small and Smaller Businesses</w:t>
      </w:r>
    </w:p>
    <w:p>
      <w:pPr>
        <w:spacing w:after="0" w:line="80" w:lineRule="exact"/>
        <w:rPr>
          <w:sz w:val="20"/>
          <w:szCs w:val="20"/>
          <w:color w:val="auto"/>
        </w:rPr>
      </w:pPr>
    </w:p>
    <w:p>
      <w:pPr>
        <w:ind w:right="20" w:firstLine="562"/>
        <w:spacing w:after="0" w:line="273" w:lineRule="auto"/>
        <w:rPr>
          <w:sz w:val="20"/>
          <w:szCs w:val="20"/>
          <w:color w:val="auto"/>
        </w:rPr>
      </w:pPr>
      <w:r>
        <w:rPr>
          <w:rFonts w:ascii="Arial" w:cs="Arial" w:eastAsia="Arial" w:hAnsi="Arial"/>
          <w:sz w:val="12"/>
          <w:szCs w:val="12"/>
          <w:color w:val="auto"/>
        </w:rPr>
        <w:t>Under present SBA regulations, eligible small business include businesses that (together with their affiliates) have tangible net worth not exceeding $18.0 million and have average annual net income of $6.0 million for the two most recent fiscal years. In addition, SBIC LP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SBIC LP has invested in a company, it may continue to make follow-on investments in the company, regardless of the size of the business, up and until the time a business offers its securities in a public market.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Financing Limitations, Terms and Changes in Control</w:t>
      </w:r>
    </w:p>
    <w:p>
      <w:pPr>
        <w:spacing w:after="0" w:line="80"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The SBA prohibits a SBIC from financing small businesses in certain industries such as relending, gambling, oil and gas exploration and other passive businesses. Additional SBA prohibitions include investing outside the United States, investing more than 20% of regulatory capital in one company and lending money to any officer, director or employee or to invest in any affiliate thereof. The SBA places certain limits on the financing terms of investments by SBIC LP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06"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The SBA also prohibits, without prior written approval, a “change of control” of SBIC LP or transfers that would result in any person or group owning 10% or more of a class of capital stock (or its equivalent in the case of a partnership) of a licensed Small Business Investment Company. A “change of control” is any event which would result in the transfer of power, direct or indirect, to direct management and policies of an SBIC, whether through ownership, contractual arrangements or otherwise.</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Idle Funds Limitation</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SBA limits SBIC LP from investing idle funds to the following types of securities:</w:t>
      </w:r>
    </w:p>
    <w:p>
      <w:pPr>
        <w:spacing w:after="0" w:line="148"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direct obligations of, or obligations guaranteed as to principal and interest by, the United States government, which mature within 15 months from the date of the investment;</w:t>
      </w:r>
    </w:p>
    <w:p>
      <w:pPr>
        <w:spacing w:after="0" w:line="147" w:lineRule="exact"/>
        <w:rPr>
          <w:rFonts w:ascii="Arial" w:cs="Arial" w:eastAsia="Arial" w:hAnsi="Arial"/>
          <w:sz w:val="13"/>
          <w:szCs w:val="13"/>
          <w:color w:val="auto"/>
        </w:rPr>
      </w:pPr>
    </w:p>
    <w:p>
      <w:pPr>
        <w:ind w:left="540" w:right="140" w:hanging="424"/>
        <w:spacing w:after="0" w:line="274" w:lineRule="auto"/>
        <w:tabs>
          <w:tab w:leader="none" w:pos="5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104" w:lineRule="exact"/>
        <w:rPr>
          <w:rFonts w:ascii="Arial" w:cs="Arial" w:eastAsia="Arial" w:hAnsi="Arial"/>
          <w:sz w:val="13"/>
          <w:szCs w:val="13"/>
          <w:color w:val="auto"/>
        </w:rPr>
      </w:pPr>
    </w:p>
    <w:p>
      <w:pPr>
        <w:ind w:left="540" w:hanging="424"/>
        <w:spacing w:after="0"/>
        <w:tabs>
          <w:tab w:leader="none" w:pos="5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certificates of deposit with a maturity of one year or less, issued by a federally insured institution; or</w:t>
      </w:r>
    </w:p>
    <w:p>
      <w:pPr>
        <w:spacing w:after="0" w:line="147" w:lineRule="exact"/>
        <w:rPr>
          <w:rFonts w:ascii="Arial" w:cs="Arial" w:eastAsia="Arial" w:hAnsi="Arial"/>
          <w:sz w:val="13"/>
          <w:szCs w:val="13"/>
          <w:color w:val="auto"/>
        </w:rPr>
      </w:pPr>
    </w:p>
    <w:p>
      <w:pPr>
        <w:ind w:left="540" w:hanging="424"/>
        <w:spacing w:after="0"/>
        <w:tabs>
          <w:tab w:leader="none" w:pos="5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 deposit account in a federally insured institution that is subject to withdrawal restriction of one year or less;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3"/>
          <w:szCs w:val="13"/>
          <w:i w:val="1"/>
          <w:iCs w:val="1"/>
          <w:color w:val="auto"/>
        </w:rPr>
        <w:t>SBA Leverage or Debentures</w:t>
      </w:r>
    </w:p>
    <w:p>
      <w:pPr>
        <w:spacing w:after="0" w:line="80" w:lineRule="exact"/>
        <w:rPr>
          <w:sz w:val="20"/>
          <w:szCs w:val="20"/>
          <w:color w:val="auto"/>
        </w:rPr>
      </w:pPr>
    </w:p>
    <w:p>
      <w:pPr>
        <w:jc w:val="both"/>
        <w:ind w:right="100" w:firstLine="562"/>
        <w:spacing w:after="0" w:line="256" w:lineRule="auto"/>
        <w:rPr>
          <w:sz w:val="20"/>
          <w:szCs w:val="20"/>
          <w:color w:val="auto"/>
        </w:rPr>
      </w:pPr>
      <w:r>
        <w:rPr>
          <w:rFonts w:ascii="Arial" w:cs="Arial" w:eastAsia="Arial" w:hAnsi="Arial"/>
          <w:sz w:val="13"/>
          <w:szCs w:val="13"/>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22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136"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net asset value and the trading price of our common stock, or any securities we may issue, could decline, and you may lose all or part of your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RELATING TO OUR BUSINESS AND STRUCTURE</w:t>
      </w:r>
    </w:p>
    <w:p>
      <w:pPr>
        <w:spacing w:after="0" w:line="55" w:lineRule="exact"/>
        <w:rPr>
          <w:sz w:val="20"/>
          <w:szCs w:val="20"/>
          <w:color w:val="auto"/>
        </w:rPr>
      </w:pPr>
    </w:p>
    <w:p>
      <w:pPr>
        <w:ind w:right="80" w:firstLine="224"/>
        <w:spacing w:after="0" w:line="274" w:lineRule="auto"/>
        <w:rPr>
          <w:sz w:val="20"/>
          <w:szCs w:val="20"/>
          <w:color w:val="auto"/>
        </w:rPr>
      </w:pPr>
      <w:r>
        <w:rPr>
          <w:rFonts w:ascii="Arial" w:cs="Arial" w:eastAsia="Arial" w:hAnsi="Arial"/>
          <w:sz w:val="13"/>
          <w:szCs w:val="13"/>
          <w:b w:val="1"/>
          <w:bCs w:val="1"/>
          <w:i w:val="1"/>
          <w:iCs w:val="1"/>
          <w:color w:val="auto"/>
        </w:rPr>
        <w:t>Global capital markets could enter a period of severe disruption and instability. These market conditions have historically and could again have a materially adverse affect on debt and equity capital markets in the United States, which could have a materially negative impact on our business, financial condition and results of operations.</w:t>
      </w:r>
    </w:p>
    <w:p>
      <w:pPr>
        <w:spacing w:after="0" w:line="10" w:lineRule="exact"/>
        <w:rPr>
          <w:sz w:val="20"/>
          <w:szCs w:val="20"/>
          <w:color w:val="auto"/>
        </w:rPr>
      </w:pPr>
    </w:p>
    <w:p>
      <w:pPr>
        <w:ind w:right="260" w:firstLine="562"/>
        <w:spacing w:after="0" w:line="245" w:lineRule="auto"/>
        <w:rPr>
          <w:sz w:val="20"/>
          <w:szCs w:val="20"/>
          <w:color w:val="auto"/>
        </w:rPr>
      </w:pPr>
      <w:r>
        <w:rPr>
          <w:rFonts w:ascii="Arial" w:cs="Arial" w:eastAsia="Arial" w:hAnsi="Arial"/>
          <w:sz w:val="13"/>
          <w:szCs w:val="13"/>
          <w:color w:val="auto"/>
        </w:rPr>
        <w:t>The U.S.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again or materially worsen in the future. We may in the future have difficulty accessing debt and equity capital, and a severe disruption in the global financial markets or deterioration in credit and financing conditions could have a material adverse effect on our business, financial condition and results of operations.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Volatility or a prolonged disruption in the credit markets could materially damage our business.</w:t>
      </w:r>
    </w:p>
    <w:p>
      <w:pPr>
        <w:spacing w:after="0" w:line="80"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We are required to record our assets at fair value, as determined in good faith by our board of directors in accordance with our valuation policy. As a result, volatility in the capital markets may have a material adverse effect on our valuations and our net asset value, even if we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net asset value without first obtaining approval for such issuance from our stockholders and our independent directors. Additionally, our ability to incur indebtedness is limited by our asset coverage ratio or test, as defined under the 1940 Act, exclusive of the SBA debentures pursuant to our SEC exemptive relief. Declining portfolio values negatively impact our ability to borrow additional funds under our Credit Facility because our net asset value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12"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The significant disruption in the capital markets experienced in the past had, and may in the future have, a negative effect on the valuations of our investments and on the potential for liquidity events involving our investments. The debt capital that may be available to us may be at a higher cost or on less favorable terms and conditions than those currently in effect. If our financing costs increase and we have no increase in interest income, then our net investment income will decrease. A prolonged inability to raise capital may require us to reduce the volume of loans we originate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Market developments may adversely affect our business and results of operations by reducing availability under our Credit Facility and SBA debentures.</w:t>
      </w:r>
    </w:p>
    <w:p>
      <w:pPr>
        <w:spacing w:after="0" w:line="80" w:lineRule="exact"/>
        <w:rPr>
          <w:sz w:val="20"/>
          <w:szCs w:val="20"/>
          <w:color w:val="auto"/>
        </w:rPr>
      </w:pPr>
    </w:p>
    <w:p>
      <w:pPr>
        <w:ind w:right="180" w:firstLine="562"/>
        <w:spacing w:after="0" w:line="250" w:lineRule="auto"/>
        <w:rPr>
          <w:sz w:val="20"/>
          <w:szCs w:val="20"/>
          <w:color w:val="auto"/>
        </w:rPr>
      </w:pPr>
      <w:r>
        <w:rPr>
          <w:rFonts w:ascii="Arial" w:cs="Arial" w:eastAsia="Arial" w:hAnsi="Arial"/>
          <w:sz w:val="13"/>
          <w:szCs w:val="13"/>
          <w:color w:val="auto"/>
        </w:rPr>
        <w:t>In addition to the applicable asset coverage ratio that restricts our ability to borrow under our Credit Facility, the Credit Facility contains various covenants which, if not complied with, could accelerate repayment under the Credit Facility, thereby having a material adverse effect on our liquidity, financial condition and results of operations. Our borrowings under our Credit Facility are collateralized by the assets in our investment portfolio, excluding those portfolio investments held by SBIC LP. The agreements governing the Credit Facility require us to comply with certain financial and operational covenants. These covenants include:</w:t>
      </w:r>
    </w:p>
    <w:p>
      <w:pPr>
        <w:spacing w:after="0" w:line="52"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requirement to retain our status as a RIC;</w:t>
      </w:r>
    </w:p>
    <w:p>
      <w:pPr>
        <w:spacing w:after="0" w:line="80" w:lineRule="exact"/>
        <w:rPr>
          <w:rFonts w:ascii="Arial" w:cs="Arial" w:eastAsia="Arial" w:hAnsi="Arial"/>
          <w:sz w:val="13"/>
          <w:szCs w:val="13"/>
          <w:color w:val="auto"/>
        </w:rPr>
      </w:pPr>
    </w:p>
    <w:p>
      <w:pPr>
        <w:ind w:left="540" w:hanging="424"/>
        <w:spacing w:after="0"/>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requirement to maintain a minimum amount of shareholders’ equity; and</w:t>
      </w:r>
    </w:p>
    <w:p>
      <w:pPr>
        <w:spacing w:after="0" w:line="80" w:lineRule="exact"/>
        <w:rPr>
          <w:rFonts w:ascii="Arial" w:cs="Arial" w:eastAsia="Arial" w:hAnsi="Arial"/>
          <w:sz w:val="13"/>
          <w:szCs w:val="13"/>
          <w:color w:val="auto"/>
        </w:rPr>
      </w:pPr>
    </w:p>
    <w:p>
      <w:pPr>
        <w:ind w:left="540" w:hanging="424"/>
        <w:spacing w:after="0"/>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 requirement that our outstanding borrowings under the Credit Facility not exceed a certain percentage of the values of our portfolio companies.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In addition to the Credit Facility, SBIC LP has issued SBA debentures that require it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debentures. Our borrowings under the SBA debentures are secured by the assets of SBIC LP.</w:t>
      </w:r>
    </w:p>
    <w:p>
      <w:pPr>
        <w:spacing w:after="0" w:line="102" w:lineRule="exact"/>
        <w:rPr>
          <w:sz w:val="20"/>
          <w:szCs w:val="20"/>
          <w:color w:val="auto"/>
        </w:rPr>
      </w:pPr>
    </w:p>
    <w:p>
      <w:pPr>
        <w:ind w:firstLine="562"/>
        <w:spacing w:after="0" w:line="288" w:lineRule="auto"/>
        <w:rPr>
          <w:sz w:val="20"/>
          <w:szCs w:val="20"/>
          <w:color w:val="auto"/>
        </w:rPr>
      </w:pPr>
      <w:r>
        <w:rPr>
          <w:rFonts w:ascii="Arial" w:cs="Arial" w:eastAsia="Arial" w:hAnsi="Arial"/>
          <w:sz w:val="12"/>
          <w:szCs w:val="12"/>
          <w:color w:val="auto"/>
        </w:rPr>
        <w:t>Our continued compliance with these covenants depends on many factors, some of which are beyond our control. A material decrease in our net asset value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 and SBA debentures.</w:t>
      </w:r>
    </w:p>
    <w:p>
      <w:pPr>
        <w:spacing w:after="0" w:line="138" w:lineRule="exact"/>
        <w:rPr>
          <w:sz w:val="20"/>
          <w:szCs w:val="20"/>
          <w:color w:val="auto"/>
        </w:rPr>
      </w:pPr>
    </w:p>
    <w:p>
      <w:pPr>
        <w:ind w:right="640" w:firstLine="224"/>
        <w:spacing w:after="0" w:line="274" w:lineRule="auto"/>
        <w:rPr>
          <w:sz w:val="20"/>
          <w:szCs w:val="20"/>
          <w:color w:val="auto"/>
        </w:rPr>
      </w:pPr>
      <w:r>
        <w:rPr>
          <w:rFonts w:ascii="Arial" w:cs="Arial" w:eastAsia="Arial" w:hAnsi="Arial"/>
          <w:sz w:val="13"/>
          <w:szCs w:val="13"/>
          <w:b w:val="1"/>
          <w:bCs w:val="1"/>
          <w:i w:val="1"/>
          <w:iCs w:val="1"/>
          <w:color w:val="auto"/>
        </w:rPr>
        <w:t>We may in the future determine to fund a portion of our investments with debt securities, which would magnify the potential for loss and the risks of investing in us in the same way as our borrowings.</w:t>
      </w:r>
    </w:p>
    <w:p>
      <w:pPr>
        <w:spacing w:after="0" w:line="37" w:lineRule="exact"/>
        <w:rPr>
          <w:sz w:val="20"/>
          <w:szCs w:val="20"/>
          <w:color w:val="auto"/>
        </w:rPr>
      </w:pPr>
    </w:p>
    <w:p>
      <w:pPr>
        <w:ind w:right="80" w:firstLine="562"/>
        <w:spacing w:after="0" w:line="247" w:lineRule="auto"/>
        <w:rPr>
          <w:sz w:val="20"/>
          <w:szCs w:val="20"/>
          <w:color w:val="auto"/>
        </w:rPr>
      </w:pPr>
      <w:r>
        <w:rPr>
          <w:rFonts w:ascii="Arial" w:cs="Arial" w:eastAsia="Arial" w:hAnsi="Arial"/>
          <w:sz w:val="13"/>
          <w:szCs w:val="13"/>
          <w:color w:val="auto"/>
        </w:rPr>
        <w:t>As a result of an issuance of debt securities, including SBA debentures,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62" w:lineRule="exact"/>
        <w:rPr>
          <w:sz w:val="20"/>
          <w:szCs w:val="20"/>
          <w:color w:val="auto"/>
        </w:rPr>
      </w:pPr>
    </w:p>
    <w:p>
      <w:pPr>
        <w:ind w:right="600" w:firstLine="224"/>
        <w:spacing w:after="0" w:line="274" w:lineRule="auto"/>
        <w:rPr>
          <w:sz w:val="20"/>
          <w:szCs w:val="20"/>
          <w:color w:val="auto"/>
        </w:rPr>
      </w:pPr>
      <w:r>
        <w:rPr>
          <w:rFonts w:ascii="Arial" w:cs="Arial" w:eastAsia="Arial" w:hAnsi="Arial"/>
          <w:sz w:val="13"/>
          <w:szCs w:val="13"/>
          <w:b w:val="1"/>
          <w:bCs w:val="1"/>
          <w:i w:val="1"/>
          <w:iCs w:val="1"/>
          <w:color w:val="auto"/>
        </w:rPr>
        <w:t>We may in the future determine to fund a portion of our investments with preferred stock, which would magnify the potential for loss and the risks of investing in us in the same way as our borrowings.</w:t>
      </w:r>
    </w:p>
    <w:p>
      <w:pPr>
        <w:spacing w:after="0" w:line="37"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in the future issue securities for which there is no public market and for which we expect no public market to develop.</w:t>
      </w:r>
    </w:p>
    <w:p>
      <w:pPr>
        <w:spacing w:after="0" w:line="80"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credit ratings may not reflect all risks of an investment in debt securities.</w:t>
      </w:r>
    </w:p>
    <w:p>
      <w:pPr>
        <w:spacing w:after="0" w:line="80" w:lineRule="exact"/>
        <w:rPr>
          <w:sz w:val="20"/>
          <w:szCs w:val="20"/>
          <w:color w:val="auto"/>
        </w:rPr>
      </w:pPr>
    </w:p>
    <w:p>
      <w:pPr>
        <w:jc w:val="both"/>
        <w:ind w:right="20" w:firstLine="562"/>
        <w:spacing w:after="0" w:line="256" w:lineRule="auto"/>
        <w:rPr>
          <w:sz w:val="20"/>
          <w:szCs w:val="20"/>
          <w:color w:val="auto"/>
        </w:rPr>
      </w:pPr>
      <w:r>
        <w:rPr>
          <w:rFonts w:ascii="Arial" w:cs="Arial" w:eastAsia="Arial" w:hAnsi="Arial"/>
          <w:sz w:val="13"/>
          <w:szCs w:val="13"/>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Any unrealized losses we experience on our investment portfolio may be an indication of future realized losses, which could reduce our income available for distribution.</w:t>
      </w:r>
    </w:p>
    <w:p>
      <w:pPr>
        <w:spacing w:after="0" w:line="80"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will be recorded as unrealized depreciation or loss. Unrealized losses of any given portfolio company could be an indication of such company’s inability in the future to meet its repayment obligations to us.</w:t>
      </w:r>
    </w:p>
    <w:p>
      <w:pPr>
        <w:spacing w:after="0" w:line="106" w:lineRule="exact"/>
        <w:rPr>
          <w:sz w:val="20"/>
          <w:szCs w:val="20"/>
          <w:color w:val="auto"/>
        </w:rPr>
      </w:pPr>
    </w:p>
    <w:p>
      <w:pPr>
        <w:ind w:right="240" w:firstLine="562"/>
        <w:spacing w:after="0" w:line="274" w:lineRule="auto"/>
        <w:rPr>
          <w:sz w:val="20"/>
          <w:szCs w:val="20"/>
          <w:color w:val="auto"/>
        </w:rPr>
      </w:pPr>
      <w:r>
        <w:rPr>
          <w:rFonts w:ascii="Arial" w:cs="Arial" w:eastAsia="Arial" w:hAnsi="Arial"/>
          <w:sz w:val="13"/>
          <w:szCs w:val="13"/>
          <w:color w:val="auto"/>
        </w:rPr>
        <w:t>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Following periods of volatility in the market price of a company’s securities, securities class action litigation has often been brought against that company.</w:t>
      </w:r>
    </w:p>
    <w:p>
      <w:pPr>
        <w:spacing w:after="0" w:line="80" w:lineRule="exact"/>
        <w:rPr>
          <w:sz w:val="20"/>
          <w:szCs w:val="20"/>
          <w:color w:val="auto"/>
        </w:rPr>
      </w:pPr>
    </w:p>
    <w:p>
      <w:pPr>
        <w:ind w:right="400" w:firstLine="562"/>
        <w:spacing w:after="0" w:line="274" w:lineRule="auto"/>
        <w:rPr>
          <w:sz w:val="20"/>
          <w:szCs w:val="20"/>
          <w:color w:val="auto"/>
        </w:rPr>
      </w:pPr>
      <w:r>
        <w:rPr>
          <w:rFonts w:ascii="Arial" w:cs="Arial" w:eastAsia="Arial" w:hAnsi="Arial"/>
          <w:sz w:val="13"/>
          <w:szCs w:val="13"/>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borrowers may default on their payments, which may have a materially negative effect on our financial performance.</w:t>
      </w:r>
    </w:p>
    <w:p>
      <w:pPr>
        <w:spacing w:after="0" w:line="80" w:lineRule="exact"/>
        <w:rPr>
          <w:sz w:val="20"/>
          <w:szCs w:val="20"/>
          <w:color w:val="auto"/>
        </w:rPr>
      </w:pPr>
    </w:p>
    <w:p>
      <w:pPr>
        <w:ind w:right="520" w:firstLine="562"/>
        <w:spacing w:after="0" w:line="274" w:lineRule="auto"/>
        <w:rPr>
          <w:sz w:val="20"/>
          <w:szCs w:val="20"/>
          <w:color w:val="auto"/>
        </w:rPr>
      </w:pPr>
      <w:r>
        <w:rPr>
          <w:rFonts w:ascii="Arial" w:cs="Arial" w:eastAsia="Arial" w:hAnsi="Arial"/>
          <w:sz w:val="13"/>
          <w:szCs w:val="13"/>
          <w:color w:val="auto"/>
        </w:rPr>
        <w:t>Our primary business exposes us to credit risk, and the quality of our portfolio has a significant impact on our earnings. Credit risk is a component part of our fair valuation of our portfolio companies. Negative credit events will lead to a decrease in the fair value of our portfolio companies.</w:t>
      </w:r>
    </w:p>
    <w:p>
      <w:pPr>
        <w:spacing w:after="0" w:line="91" w:lineRule="exact"/>
        <w:rPr>
          <w:sz w:val="20"/>
          <w:szCs w:val="20"/>
          <w:color w:val="auto"/>
        </w:rPr>
      </w:pPr>
    </w:p>
    <w:p>
      <w:pPr>
        <w:ind w:right="240" w:firstLine="562"/>
        <w:spacing w:after="0" w:line="256" w:lineRule="auto"/>
        <w:rPr>
          <w:sz w:val="20"/>
          <w:szCs w:val="20"/>
          <w:color w:val="auto"/>
        </w:rPr>
      </w:pPr>
      <w:r>
        <w:rPr>
          <w:rFonts w:ascii="Arial" w:cs="Arial" w:eastAsia="Arial" w:hAnsi="Arial"/>
          <w:sz w:val="13"/>
          <w:szCs w:val="13"/>
          <w:color w:val="auto"/>
        </w:rPr>
        <w:t>In addition, current market conditions have affected consumer confidence levels which may harm the business of our portfolio companies and result in adverse changes in payment patterns. Increased delinquencies and default rates would negatively impact our results of operations. Deterioration in the quality of our credit portfolio could have a material adverse effect on our capital, financial condition and results of operations.</w:t>
      </w:r>
    </w:p>
    <w:p>
      <w:pPr>
        <w:spacing w:after="0" w:line="102"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We make long-term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166" w:lineRule="exact"/>
        <w:rPr>
          <w:sz w:val="20"/>
          <w:szCs w:val="20"/>
          <w:color w:val="auto"/>
        </w:rPr>
      </w:pPr>
    </w:p>
    <w:p>
      <w:pPr>
        <w:ind w:right="60" w:firstLine="224"/>
        <w:spacing w:after="0" w:line="274" w:lineRule="auto"/>
        <w:rPr>
          <w:sz w:val="20"/>
          <w:szCs w:val="20"/>
          <w:color w:val="auto"/>
        </w:rPr>
      </w:pPr>
      <w:r>
        <w:rPr>
          <w:rFonts w:ascii="Arial" w:cs="Arial" w:eastAsia="Arial" w:hAnsi="Arial"/>
          <w:sz w:val="13"/>
          <w:szCs w:val="13"/>
          <w:b w:val="1"/>
          <w:bCs w:val="1"/>
          <w:i w:val="1"/>
          <w:i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spacing w:after="0" w:line="37" w:lineRule="exact"/>
        <w:rPr>
          <w:sz w:val="20"/>
          <w:szCs w:val="20"/>
          <w:color w:val="auto"/>
        </w:rPr>
      </w:pPr>
    </w:p>
    <w:p>
      <w:pPr>
        <w:ind w:right="40" w:firstLine="562"/>
        <w:spacing w:after="0" w:line="245" w:lineRule="auto"/>
        <w:rPr>
          <w:sz w:val="20"/>
          <w:szCs w:val="20"/>
          <w:color w:val="auto"/>
        </w:rPr>
      </w:pPr>
      <w:r>
        <w:rPr>
          <w:rFonts w:ascii="Arial" w:cs="Arial" w:eastAsia="Arial" w:hAnsi="Arial"/>
          <w:sz w:val="13"/>
          <w:szCs w:val="13"/>
          <w:color w:val="auto"/>
        </w:rPr>
        <w:t>We depend on the diligence, skill and network of business contacts of the senior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financial condition and results of operation depend on our ability to manage future growth effectively.</w:t>
      </w:r>
    </w:p>
    <w:p>
      <w:pPr>
        <w:spacing w:after="0" w:line="80" w:lineRule="exact"/>
        <w:rPr>
          <w:sz w:val="20"/>
          <w:szCs w:val="20"/>
          <w:color w:val="auto"/>
        </w:rPr>
      </w:pPr>
    </w:p>
    <w:p>
      <w:pPr>
        <w:ind w:right="140" w:firstLine="562"/>
        <w:spacing w:after="0" w:line="268" w:lineRule="auto"/>
        <w:rPr>
          <w:sz w:val="20"/>
          <w:szCs w:val="20"/>
          <w:color w:val="auto"/>
        </w:rPr>
      </w:pPr>
      <w:r>
        <w:rPr>
          <w:rFonts w:ascii="Arial" w:cs="Arial" w:eastAsia="Arial" w:hAnsi="Arial"/>
          <w:sz w:val="12"/>
          <w:szCs w:val="12"/>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managerial assistance to portfolio companies and other investment vehicles, including other BDCs,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operate in a highly competitive market for investment opportunities.</w:t>
      </w:r>
    </w:p>
    <w:p>
      <w:pPr>
        <w:spacing w:after="0" w:line="80"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BDCs.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08" w:lineRule="exact"/>
        <w:rPr>
          <w:sz w:val="20"/>
          <w:szCs w:val="20"/>
          <w:color w:val="auto"/>
        </w:rPr>
      </w:pPr>
    </w:p>
    <w:p>
      <w:pPr>
        <w:ind w:right="120" w:firstLine="562"/>
        <w:spacing w:after="0" w:line="250" w:lineRule="auto"/>
        <w:rPr>
          <w:sz w:val="20"/>
          <w:szCs w:val="20"/>
          <w:color w:val="auto"/>
        </w:rPr>
      </w:pPr>
      <w:r>
        <w:rPr>
          <w:rFonts w:ascii="Arial" w:cs="Arial" w:eastAsia="Arial" w:hAnsi="Arial"/>
          <w:sz w:val="13"/>
          <w:szCs w:val="13"/>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Any failure on our part to maintain our status as a business development company would reduce our operating flexibility.</w:t>
      </w:r>
    </w:p>
    <w:p>
      <w:pPr>
        <w:spacing w:after="0" w:line="80" w:lineRule="exact"/>
        <w:rPr>
          <w:sz w:val="20"/>
          <w:szCs w:val="20"/>
          <w:color w:val="auto"/>
        </w:rPr>
      </w:pPr>
    </w:p>
    <w:p>
      <w:pPr>
        <w:ind w:right="20" w:firstLine="562"/>
        <w:spacing w:after="0" w:line="274" w:lineRule="auto"/>
        <w:rPr>
          <w:sz w:val="20"/>
          <w:szCs w:val="20"/>
          <w:color w:val="auto"/>
        </w:rPr>
      </w:pPr>
      <w:r>
        <w:rPr>
          <w:rFonts w:ascii="Arial" w:cs="Arial" w:eastAsia="Arial" w:hAnsi="Arial"/>
          <w:sz w:val="13"/>
          <w:szCs w:val="13"/>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Loss of RIC tax treatment would substantially reduce net assets and income available for debt service and dividends.</w:t>
      </w:r>
    </w:p>
    <w:p>
      <w:pPr>
        <w:spacing w:after="0" w:line="80"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We have operated and continue to operate so as to qualify as a RIC under Subchapter M of the Code.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corporate-level income tax on the income or gains we do not distribute. If we do not distribute an amount at least equal to the sum of 98% of our net ordinary income (during the calendar year) plus 98.2% of our net capital gain income (during each 12 month period ending on October 31), we generally will be required to pay an excise tax on amounts carried over and distributed to shareholders in the next year equal to 4% of the undistributed amount.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have difficulty paying our required distributions if we recognize income before or without receiving cash representing such income.</w:t>
      </w:r>
    </w:p>
    <w:p>
      <w:pPr>
        <w:spacing w:after="0" w:line="80" w:lineRule="exact"/>
        <w:rPr>
          <w:sz w:val="20"/>
          <w:szCs w:val="20"/>
          <w:color w:val="auto"/>
        </w:rPr>
      </w:pPr>
    </w:p>
    <w:p>
      <w:pPr>
        <w:ind w:right="80" w:firstLine="562"/>
        <w:spacing w:after="0" w:line="256" w:lineRule="auto"/>
        <w:rPr>
          <w:sz w:val="20"/>
          <w:szCs w:val="20"/>
          <w:color w:val="auto"/>
        </w:rPr>
      </w:pPr>
      <w:r>
        <w:rPr>
          <w:rFonts w:ascii="Arial" w:cs="Arial" w:eastAsia="Arial" w:hAnsi="Arial"/>
          <w:sz w:val="13"/>
          <w:szCs w:val="13"/>
          <w:color w:val="auto"/>
        </w:rPr>
        <w:t>For federal income tax purposes, we will include in income certain amounts that we have not yet received in cash, such as OID or contractual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w:t>
      </w:r>
    </w:p>
    <w:p>
      <w:pPr>
        <w:spacing w:after="0" w:line="102" w:lineRule="exact"/>
        <w:rPr>
          <w:sz w:val="20"/>
          <w:szCs w:val="20"/>
          <w:color w:val="auto"/>
        </w:rPr>
      </w:pPr>
    </w:p>
    <w:p>
      <w:pPr>
        <w:ind w:firstLine="562"/>
        <w:spacing w:after="0" w:line="317" w:lineRule="auto"/>
        <w:rPr>
          <w:sz w:val="20"/>
          <w:szCs w:val="20"/>
          <w:color w:val="auto"/>
        </w:rPr>
      </w:pPr>
      <w:r>
        <w:rPr>
          <w:rFonts w:ascii="Arial" w:cs="Arial" w:eastAsia="Arial" w:hAnsi="Arial"/>
          <w:sz w:val="12"/>
          <w:szCs w:val="12"/>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67"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effect on our business, financial condition and results of operations. If we are not able to obtain cash from other sources, we may fail to qualify for RIC tax benefits and thus be subject to corporate level income tax.</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80" w:firstLine="224"/>
        <w:spacing w:after="0" w:line="274" w:lineRule="auto"/>
        <w:rPr>
          <w:sz w:val="20"/>
          <w:szCs w:val="20"/>
          <w:color w:val="auto"/>
        </w:rPr>
      </w:pPr>
      <w:r>
        <w:rPr>
          <w:rFonts w:ascii="Arial" w:cs="Arial" w:eastAsia="Arial" w:hAnsi="Arial"/>
          <w:sz w:val="13"/>
          <w:szCs w:val="13"/>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37" w:lineRule="exact"/>
        <w:rPr>
          <w:sz w:val="20"/>
          <w:szCs w:val="20"/>
          <w:color w:val="auto"/>
        </w:rPr>
      </w:pPr>
    </w:p>
    <w:p>
      <w:pPr>
        <w:ind w:right="220" w:firstLine="562"/>
        <w:spacing w:after="0" w:line="245" w:lineRule="auto"/>
        <w:rPr>
          <w:sz w:val="20"/>
          <w:szCs w:val="20"/>
          <w:color w:val="auto"/>
        </w:rPr>
      </w:pPr>
      <w:r>
        <w:rPr>
          <w:rFonts w:ascii="Arial" w:cs="Arial" w:eastAsia="Arial" w:hAnsi="Arial"/>
          <w:sz w:val="13"/>
          <w:szCs w:val="13"/>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BDC, we generally are required to meet the asset coverage ratio of total assets to total senior securities, which includes all of our borrowings, exclusive of the SBA debentures pursuant to SEC exemptive relief, and any preferred stock we may issue in the future. This requirement limits the amount we may borrow. If the value of our assets decline,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0" w:lineRule="exact"/>
        <w:rPr>
          <w:sz w:val="20"/>
          <w:szCs w:val="20"/>
          <w:color w:val="auto"/>
        </w:rPr>
      </w:pPr>
    </w:p>
    <w:p>
      <w:pPr>
        <w:ind w:right="140" w:firstLine="562"/>
        <w:spacing w:after="0" w:line="288" w:lineRule="auto"/>
        <w:rPr>
          <w:sz w:val="20"/>
          <w:szCs w:val="20"/>
          <w:color w:val="auto"/>
        </w:rPr>
      </w:pPr>
      <w:r>
        <w:rPr>
          <w:rFonts w:ascii="Arial" w:cs="Arial" w:eastAsia="Arial" w:hAnsi="Arial"/>
          <w:sz w:val="12"/>
          <w:szCs w:val="12"/>
          <w:color w:val="auto"/>
        </w:rPr>
        <w:t>We will be partially dependent on SBIC LP for cash distributions to enable us to meet the RIC distribution requirements. SBIC LP may be limited by the SBA regulations governing SBICs from making certain distributions to us that may be necessary to maintain our status as a RIC. We may have to request a waiver of the SBA’s restrictions for SBIC LP to make certain distributions to maintain our RIC status. We cannot assure you that the SBA will grant such waiver and if SBIC LP is unable to obtain a waiver, compliance with the SBA regulations may result in an entity-level tax on us.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Regulations governing our operation as a business development company will affect our ability to, and the way in which we, raise additional capital.</w:t>
      </w:r>
    </w:p>
    <w:p>
      <w:pPr>
        <w:spacing w:after="0" w:line="80" w:lineRule="exact"/>
        <w:rPr>
          <w:sz w:val="20"/>
          <w:szCs w:val="20"/>
          <w:color w:val="auto"/>
        </w:rPr>
      </w:pPr>
    </w:p>
    <w:p>
      <w:pPr>
        <w:ind w:firstLine="562"/>
        <w:spacing w:after="0" w:line="268" w:lineRule="auto"/>
        <w:rPr>
          <w:sz w:val="20"/>
          <w:szCs w:val="20"/>
          <w:color w:val="auto"/>
        </w:rPr>
      </w:pPr>
      <w:r>
        <w:rPr>
          <w:rFonts w:ascii="Arial" w:cs="Arial" w:eastAsia="Arial" w:hAnsi="Arial"/>
          <w:sz w:val="12"/>
          <w:szCs w:val="12"/>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or through SBIC LP’s SBA debentures. However, we may not be able to raise additional capital in the future on favorable terms or at all. We may issue debt securities or preferred securities, which we refer to collectively as “senior securities,” and we may borrow money from banks, through SBA debentures or other financial institutions, up to the maximum amount permitted by the 1940 Act. The 1940 Act permits us to issue senior securities or incur indebtedness only in amounts permissible under the asset coverage ratio, as defined in the 1940 Act, exclusive of the SBA debentures pursuant to our SEC exemptive relief. Our ability to pay dividends or issue additional senior securities would be restricted if our asset coverage ratio were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109" w:lineRule="exact"/>
        <w:rPr>
          <w:sz w:val="20"/>
          <w:szCs w:val="20"/>
          <w:color w:val="auto"/>
        </w:rPr>
      </w:pPr>
    </w:p>
    <w:p>
      <w:pPr>
        <w:ind w:left="880" w:right="240" w:hanging="656"/>
        <w:spacing w:after="0" w:line="247" w:lineRule="auto"/>
        <w:tabs>
          <w:tab w:leader="none" w:pos="880" w:val="left"/>
        </w:tabs>
        <w:numPr>
          <w:ilvl w:val="0"/>
          <w:numId w:val="28"/>
        </w:numPr>
        <w:rPr>
          <w:rFonts w:ascii="Arial" w:cs="Arial" w:eastAsia="Arial" w:hAnsi="Arial"/>
          <w:sz w:val="13"/>
          <w:szCs w:val="13"/>
          <w:color w:val="auto"/>
        </w:rPr>
      </w:pPr>
      <w:r>
        <w:rPr>
          <w:rFonts w:ascii="Arial" w:cs="Arial" w:eastAsia="Arial" w:hAnsi="Arial"/>
          <w:sz w:val="13"/>
          <w:szCs w:val="13"/>
          <w:b w:val="1"/>
          <w:bCs w:val="1"/>
          <w:i w:val="1"/>
          <w:iCs w:val="1"/>
          <w:color w:val="auto"/>
        </w:rPr>
        <w:t>Senior Securities</w:t>
      </w:r>
      <w:r>
        <w:rPr>
          <w:rFonts w:ascii="Arial" w:cs="Arial" w:eastAsia="Arial" w:hAnsi="Arial"/>
          <w:sz w:val="13"/>
          <w:szCs w:val="13"/>
          <w:i w:val="1"/>
          <w:i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a result of issuing senior securities, we are exposed to typical risks associated with leverage, including an increased risk of loss. If we issue preferred securities, they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21" w:lineRule="exact"/>
        <w:rPr>
          <w:rFonts w:ascii="Arial" w:cs="Arial" w:eastAsia="Arial" w:hAnsi="Arial"/>
          <w:sz w:val="13"/>
          <w:szCs w:val="13"/>
          <w:color w:val="auto"/>
        </w:rPr>
      </w:pPr>
    </w:p>
    <w:p>
      <w:pPr>
        <w:ind w:left="880" w:right="20" w:hanging="656"/>
        <w:spacing w:after="0" w:line="242" w:lineRule="auto"/>
        <w:tabs>
          <w:tab w:leader="none" w:pos="880" w:val="left"/>
        </w:tabs>
        <w:numPr>
          <w:ilvl w:val="0"/>
          <w:numId w:val="2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Additional Common Stock. </w:t>
      </w:r>
      <w:r>
        <w:rPr>
          <w:rFonts w:ascii="Arial" w:cs="Arial" w:eastAsia="Arial" w:hAnsi="Arial"/>
          <w:sz w:val="13"/>
          <w:szCs w:val="13"/>
          <w:color w:val="auto"/>
        </w:rPr>
        <w:t>Our board of directors may decide to issue common stock to finance our operations rather than issuing debt or other senior securities. As a BDC, we are generally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not able to issue our common stock at a price below net asset value without first obtaining certain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may experience voting dilution.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880" w:hanging="656"/>
        <w:spacing w:after="0" w:line="263" w:lineRule="auto"/>
        <w:tabs>
          <w:tab w:leader="none" w:pos="880" w:val="left"/>
        </w:tabs>
        <w:numPr>
          <w:ilvl w:val="0"/>
          <w:numId w:val="2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Securitization. </w:t>
      </w:r>
      <w:r>
        <w:rPr>
          <w:rFonts w:ascii="Arial" w:cs="Arial" w:eastAsia="Arial" w:hAnsi="Arial"/>
          <w:sz w:val="12"/>
          <w:szCs w:val="12"/>
          <w:color w:val="auto"/>
        </w:rPr>
        <w:t>In addition to issuing securities to raise capital as described above, we anticipate that in the future, as market conditions permit, we may securitize our loans to generate cash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13" w:lineRule="exact"/>
        <w:rPr>
          <w:rFonts w:ascii="Arial" w:cs="Arial" w:eastAsia="Arial" w:hAnsi="Arial"/>
          <w:sz w:val="12"/>
          <w:szCs w:val="12"/>
          <w:color w:val="auto"/>
        </w:rPr>
      </w:pPr>
    </w:p>
    <w:p>
      <w:pPr>
        <w:jc w:val="both"/>
        <w:ind w:left="880" w:right="60" w:hanging="656"/>
        <w:spacing w:after="0" w:line="288" w:lineRule="auto"/>
        <w:tabs>
          <w:tab w:leader="none" w:pos="880" w:val="left"/>
        </w:tabs>
        <w:numPr>
          <w:ilvl w:val="0"/>
          <w:numId w:val="2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SBA Debentures. </w:t>
      </w:r>
      <w:r>
        <w:rPr>
          <w:rFonts w:ascii="Arial" w:cs="Arial" w:eastAsia="Arial" w:hAnsi="Arial"/>
          <w:sz w:val="12"/>
          <w:szCs w:val="12"/>
          <w:color w:val="auto"/>
        </w:rPr>
        <w:t>In addition to issuing securities and using securitizations to raise capital as described above, we have issued and may in the future issue, as permitted under SBA regulations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through our wholly owned subsidiary SBIC LP and any future SBIC subsidiary, SBA debentures to generate cash for funding new investments. To issue SBA debentures, we may request commitments for debt capital from the SBA. SBIC LP would be exposed to any losses on its portfolio of loans, however, such debentures are non-recourse to us.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SBIC LP may be unable to make distributions to us that will enable us to meet or maintain RIC status.</w:t>
      </w:r>
    </w:p>
    <w:p>
      <w:pPr>
        <w:spacing w:after="0" w:line="80" w:lineRule="exact"/>
        <w:rPr>
          <w:sz w:val="20"/>
          <w:szCs w:val="20"/>
          <w:color w:val="auto"/>
        </w:rPr>
      </w:pPr>
    </w:p>
    <w:p>
      <w:pPr>
        <w:ind w:right="80" w:firstLine="562"/>
        <w:spacing w:after="0" w:line="247" w:lineRule="auto"/>
        <w:rPr>
          <w:sz w:val="20"/>
          <w:szCs w:val="20"/>
          <w:color w:val="auto"/>
        </w:rPr>
      </w:pPr>
      <w:r>
        <w:rPr>
          <w:rFonts w:ascii="Arial" w:cs="Arial" w:eastAsia="Arial" w:hAnsi="Arial"/>
          <w:sz w:val="13"/>
          <w:szCs w:val="13"/>
          <w:color w:val="auto"/>
        </w:rPr>
        <w:t>In order for us to continue to qualify for RIC tax treatment and to minimize corporate-level taxes, we will be required to distribute substantially all of our consolidated net ordinary income and net capital gain income, including income from SBIC LP. We will be partially dependent on SBIC LP for cash distributions to enable us to meet the RIC distribution requirements. SBIC LP may be limited by SBA regulations governing SBICs from making certain distributions to us that may be necessary to maintain our status as a RIC. We may have to request a waiver of the SBA’s restrictions for SBIC LP to make certain distributions to maintain our RIC status. We cannot assure you that the SBA will grant such waiver and if SBIC LP is unable to obtain a waiver, compliance with the SBA regulations may result in an entity-level tax on us.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SBIC LP is licensed by the SBA and is subject to SBA regulations.</w:t>
      </w:r>
    </w:p>
    <w:p>
      <w:pPr>
        <w:spacing w:after="0" w:line="80" w:lineRule="exact"/>
        <w:rPr>
          <w:sz w:val="20"/>
          <w:szCs w:val="20"/>
          <w:color w:val="auto"/>
        </w:rPr>
      </w:pPr>
    </w:p>
    <w:p>
      <w:pPr>
        <w:jc w:val="both"/>
        <w:ind w:right="100" w:firstLine="562"/>
        <w:spacing w:after="0" w:line="256" w:lineRule="auto"/>
        <w:rPr>
          <w:sz w:val="20"/>
          <w:szCs w:val="20"/>
          <w:color w:val="auto"/>
        </w:rPr>
      </w:pPr>
      <w:r>
        <w:rPr>
          <w:rFonts w:ascii="Arial" w:cs="Arial" w:eastAsia="Arial" w:hAnsi="Arial"/>
          <w:sz w:val="13"/>
          <w:szCs w:val="13"/>
          <w:color w:val="auto"/>
        </w:rPr>
        <w:t>In July 2010, our wholly owned subsidiary, SBIC LP, received a license to operate as an SBIC under the 1958 Act and is regulated by the SBA. The SBA places certain limitations on the financing terms of investments by SBICs in portfolio companies and regulates the types of financings and prohibits investing in certain industries. Compliance with SBIC requirements may cause SBIC LP to invest at less competitive rates in order to qualify investments under the SBA regulations.</w:t>
      </w:r>
    </w:p>
    <w:p>
      <w:pPr>
        <w:spacing w:after="0" w:line="102" w:lineRule="exact"/>
        <w:rPr>
          <w:sz w:val="20"/>
          <w:szCs w:val="20"/>
          <w:color w:val="auto"/>
        </w:rPr>
      </w:pPr>
    </w:p>
    <w:p>
      <w:pPr>
        <w:ind w:right="140" w:firstLine="562"/>
        <w:spacing w:after="0" w:line="250" w:lineRule="auto"/>
        <w:rPr>
          <w:sz w:val="20"/>
          <w:szCs w:val="20"/>
          <w:color w:val="auto"/>
        </w:rPr>
      </w:pPr>
      <w:r>
        <w:rPr>
          <w:rFonts w:ascii="Arial" w:cs="Arial" w:eastAsia="Arial" w:hAnsi="Arial"/>
          <w:sz w:val="13"/>
          <w:szCs w:val="13"/>
          <w:color w:val="auto"/>
        </w:rPr>
        <w:t>Further, SBA regulations require that a licensed SBIC be periodically examined and audited by the SBA to determine its compliance with the relevant regulations. If SBIC LP fails to comply with applicable regulations, the SBA could, depending on the severity of the violation, limit or prohibit its use of debentures, declare outstanding debentures immediately due and payable, and/or limit it from making new investments. In addition, the SBA could revoke or suspend SBIC LP’s license for willful or repeated violation of, or willful or repeated failure to observe, any provision of the 1958 Act or any rule or regulation promulgated thereunder. These actions by the SBA would, in turn, negatively affect us because SBIC LP is our wholly owned subsidiary.</w:t>
      </w:r>
    </w:p>
    <w:p>
      <w:pPr>
        <w:spacing w:after="0" w:line="106" w:lineRule="exact"/>
        <w:rPr>
          <w:sz w:val="20"/>
          <w:szCs w:val="20"/>
          <w:color w:val="auto"/>
        </w:rPr>
      </w:pPr>
    </w:p>
    <w:p>
      <w:pPr>
        <w:jc w:val="both"/>
        <w:ind w:right="120" w:firstLine="562"/>
        <w:spacing w:after="0" w:line="256" w:lineRule="auto"/>
        <w:rPr>
          <w:sz w:val="20"/>
          <w:szCs w:val="20"/>
          <w:color w:val="auto"/>
        </w:rPr>
      </w:pPr>
      <w:r>
        <w:rPr>
          <w:rFonts w:ascii="Arial" w:cs="Arial" w:eastAsia="Arial" w:hAnsi="Arial"/>
          <w:sz w:val="13"/>
          <w:szCs w:val="13"/>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currently use borrowed funds to make investments and are exposed to the typical risks associated with leverage.</w:t>
      </w:r>
    </w:p>
    <w:p>
      <w:pPr>
        <w:spacing w:after="0" w:line="80" w:lineRule="exact"/>
        <w:rPr>
          <w:sz w:val="20"/>
          <w:szCs w:val="20"/>
          <w:color w:val="auto"/>
        </w:rPr>
      </w:pPr>
    </w:p>
    <w:p>
      <w:pPr>
        <w:ind w:right="100" w:firstLine="562"/>
        <w:spacing w:after="0" w:line="288" w:lineRule="auto"/>
        <w:rPr>
          <w:sz w:val="20"/>
          <w:szCs w:val="20"/>
          <w:color w:val="auto"/>
        </w:rPr>
      </w:pPr>
      <w:r>
        <w:rPr>
          <w:rFonts w:ascii="Arial" w:cs="Arial" w:eastAsia="Arial" w:hAnsi="Arial"/>
          <w:sz w:val="12"/>
          <w:szCs w:val="12"/>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met, exclusive of the SBA debentures pursuant to SEC exemptive relief, and any amounts that we use to service our indebtedness are not available for distribution to our common stockholders.</w:t>
      </w:r>
    </w:p>
    <w:p>
      <w:pPr>
        <w:spacing w:after="0" w:line="84" w:lineRule="exact"/>
        <w:rPr>
          <w:sz w:val="20"/>
          <w:szCs w:val="20"/>
          <w:color w:val="auto"/>
        </w:rPr>
      </w:pPr>
    </w:p>
    <w:p>
      <w:pPr>
        <w:jc w:val="both"/>
        <w:ind w:right="180" w:firstLine="562"/>
        <w:spacing w:after="0" w:line="256" w:lineRule="auto"/>
        <w:rPr>
          <w:sz w:val="20"/>
          <w:szCs w:val="20"/>
          <w:color w:val="auto"/>
        </w:rPr>
      </w:pPr>
      <w:r>
        <w:rPr>
          <w:rFonts w:ascii="Arial" w:cs="Arial" w:eastAsia="Arial" w:hAnsi="Arial"/>
          <w:sz w:val="13"/>
          <w:szCs w:val="13"/>
          <w:color w:val="auto"/>
        </w:rPr>
        <w:t>Our current debt is governed by the terms of our Credit Facility or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02" w:lineRule="exact"/>
        <w:rPr>
          <w:sz w:val="20"/>
          <w:szCs w:val="20"/>
          <w:color w:val="auto"/>
        </w:rPr>
      </w:pPr>
    </w:p>
    <w:p>
      <w:pPr>
        <w:ind w:right="180" w:firstLine="562"/>
        <w:spacing w:after="0" w:line="288" w:lineRule="auto"/>
        <w:rPr>
          <w:sz w:val="20"/>
          <w:szCs w:val="20"/>
          <w:color w:val="auto"/>
        </w:rPr>
      </w:pPr>
      <w:r>
        <w:rPr>
          <w:rFonts w:ascii="Arial" w:cs="Arial" w:eastAsia="Arial" w:hAnsi="Arial"/>
          <w:sz w:val="12"/>
          <w:szCs w:val="12"/>
          <w:color w:val="auto"/>
        </w:rPr>
        <w:t>Additionally, our subsidiary, SBIC LP, has received borrowed funds from the SBA through its debenture program. In connection with the filing of its SBA license application, PennantPark Investment received exemptive relief, in June 2011, from the SEC to permit us to exclude the debt of SBIC LP from our consolidated asset coverage ratio. Our ratio of total assets on a consolidated basis to outstanding indebtedness may be less than 200%, which while providing increased investment flexibility, would also increase our exposure to risks associated with leverage.</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If we incur additional debt, it could increase the risk of investing in our shares.</w:t>
      </w:r>
    </w:p>
    <w:p>
      <w:pPr>
        <w:spacing w:after="0" w:line="80" w:lineRule="exact"/>
        <w:rPr>
          <w:sz w:val="20"/>
          <w:szCs w:val="20"/>
          <w:color w:val="auto"/>
        </w:rPr>
      </w:pPr>
    </w:p>
    <w:p>
      <w:pPr>
        <w:ind w:firstLine="562"/>
        <w:spacing w:after="0" w:line="265" w:lineRule="auto"/>
        <w:rPr>
          <w:sz w:val="20"/>
          <w:szCs w:val="20"/>
          <w:color w:val="auto"/>
        </w:rPr>
      </w:pPr>
      <w:r>
        <w:rPr>
          <w:rFonts w:ascii="Arial" w:cs="Arial" w:eastAsia="Arial" w:hAnsi="Arial"/>
          <w:sz w:val="12"/>
          <w:szCs w:val="12"/>
          <w:color w:val="auto"/>
        </w:rPr>
        <w:t>We have indebtedness outstanding pursuant to our Credit Facility and SBA debentures and expect in the future to borrow additional amounts under our Credit Facility and, subject to market availability, to increase the size of our Credit Facility. Lenders have fixed dollar claims on our assets that have priority over the claims of our common stockholders or preferred stockholders, if any, and we have granted a security interest in our assets, excluding those of SBIC LP, in connection with our Credit Facility borrowings. In the case of a liquidation event, those lenders would receive proceeds before our stockholders. Additionally, the SBA, as a lender and an administrative agent, has a superior claim over the assets of SBIC LP in relation to our lender. Any future debt issuance will increase our leverage and may be subordinate to our Credit Facility and SBA debentures. In addition, borrowings or debt issuance and SBA debentures, also known as leverage, magnify the potential for gain or loss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00"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As of September 30, 2012, we had outstanding borrowings of $145.0 million under our Credit Facility and $150.0 million outstanding under the SBA debentures. Our consolidated debt outstanding was $295.0 million and had a weighted average annual interest rate at the time of 3.60% exclusive of the fee on undrawn commitment of 0.50% and 3.43% upfront fees on the SBA debentures. Accordingly, to cover the annual interest on our borrowings outstanding at September 30, 2012, at the then current rate, we would have to receive an annual yield of at least 1.10%. This example is for illustrative purposes only, and actual interest rates on our Credit Facility borrowings are likely to fluctuate. The costs associated with our borrowings, including any increase in the management fee or incentive fee payable to our Investment Adviser, will be borne by our common stockholders.</w:t>
      </w:r>
    </w:p>
    <w:p>
      <w:pPr>
        <w:spacing w:after="0" w:line="108" w:lineRule="exact"/>
        <w:rPr>
          <w:sz w:val="20"/>
          <w:szCs w:val="20"/>
          <w:color w:val="auto"/>
        </w:rPr>
      </w:pPr>
    </w:p>
    <w:p>
      <w:pPr>
        <w:ind w:firstLine="562"/>
        <w:spacing w:after="0" w:line="278" w:lineRule="auto"/>
        <w:rPr>
          <w:sz w:val="20"/>
          <w:szCs w:val="20"/>
          <w:color w:val="auto"/>
        </w:rPr>
      </w:pPr>
      <w:r>
        <w:rPr>
          <w:rFonts w:ascii="Arial" w:cs="Arial" w:eastAsia="Arial" w:hAnsi="Arial"/>
          <w:sz w:val="12"/>
          <w:szCs w:val="12"/>
          <w:color w:val="auto"/>
        </w:rPr>
        <w:t>The following table is designed to illustrate the effect on return to a holder of our common stock of the leverage created by our use of borrowing at September 30, 2012 of 29% of total assets (including such borrowed funds), at a weighted average rate at the time of 3.60%, and assuming hypothetical annual returns on our portfolio of minus 10 to plus 10 percent. The table also assumes that we will maintain a constant level and weighted average rate of leverage. The amount of leverage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60" w:type="dxa"/>
            <w:vAlign w:val="bottom"/>
            <w:shd w:val="clear" w:color="auto" w:fill="CCEEFF"/>
          </w:tcPr>
          <w:p>
            <w:pPr>
              <w:spacing w:after="0"/>
              <w:rPr>
                <w:sz w:val="20"/>
                <w:szCs w:val="20"/>
                <w:color w:val="auto"/>
              </w:rPr>
            </w:pPr>
            <w:r>
              <w:rPr>
                <w:rFonts w:ascii="Arial" w:cs="Arial" w:eastAsia="Arial" w:hAnsi="Arial"/>
                <w:sz w:val="13"/>
                <w:szCs w:val="13"/>
                <w:color w:val="auto"/>
              </w:rPr>
              <w:t>Assumed return on portfolio (net of expenses)</w:t>
            </w:r>
            <w:r>
              <w:rPr>
                <w:rFonts w:ascii="Arial" w:cs="Arial" w:eastAsia="Arial" w:hAnsi="Arial"/>
                <w:sz w:val="22"/>
                <w:szCs w:val="22"/>
                <w:color w:val="auto"/>
                <w:vertAlign w:val="superscript"/>
              </w:rPr>
              <w:t>(1)</w:t>
            </w:r>
          </w:p>
        </w:tc>
        <w:tc>
          <w:tcPr>
            <w:tcW w:w="30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(10.0)%</w:t>
            </w:r>
          </w:p>
        </w:tc>
        <w:tc>
          <w:tcPr>
            <w:tcW w:w="90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(5.0)%</w:t>
            </w:r>
          </w:p>
        </w:tc>
        <w:tc>
          <w:tcPr>
            <w:tcW w:w="920" w:type="dxa"/>
            <w:vAlign w:val="bottom"/>
            <w:shd w:val="clear" w:color="auto" w:fill="CCEEFF"/>
          </w:tcPr>
          <w:p>
            <w:pPr>
              <w:jc w:val="right"/>
              <w:ind w:right="35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5.0%</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331"/>
        </w:trPr>
        <w:tc>
          <w:tcPr>
            <w:tcW w:w="4960" w:type="dxa"/>
            <w:vAlign w:val="bottom"/>
          </w:tcPr>
          <w:p>
            <w:pPr>
              <w:spacing w:after="0"/>
              <w:rPr>
                <w:sz w:val="20"/>
                <w:szCs w:val="20"/>
                <w:color w:val="auto"/>
              </w:rPr>
            </w:pPr>
            <w:r>
              <w:rPr>
                <w:rFonts w:ascii="Arial" w:cs="Arial" w:eastAsia="Arial" w:hAnsi="Arial"/>
                <w:sz w:val="13"/>
                <w:szCs w:val="13"/>
                <w:color w:val="auto"/>
              </w:rPr>
              <w:t>Corresponding return to common stockholders</w:t>
            </w:r>
            <w:r>
              <w:rPr>
                <w:rFonts w:ascii="Arial" w:cs="Arial" w:eastAsia="Arial" w:hAnsi="Arial"/>
                <w:sz w:val="22"/>
                <w:szCs w:val="22"/>
                <w:color w:val="auto"/>
                <w:vertAlign w:val="superscript"/>
              </w:rPr>
              <w:t>(2)</w:t>
            </w:r>
          </w:p>
        </w:tc>
        <w:tc>
          <w:tcPr>
            <w:tcW w:w="3000" w:type="dxa"/>
            <w:vAlign w:val="bottom"/>
          </w:tcPr>
          <w:p>
            <w:pPr>
              <w:jc w:val="right"/>
              <w:ind w:right="193"/>
              <w:spacing w:after="0"/>
              <w:rPr>
                <w:sz w:val="20"/>
                <w:szCs w:val="20"/>
                <w:color w:val="auto"/>
              </w:rPr>
            </w:pPr>
            <w:r>
              <w:rPr>
                <w:rFonts w:ascii="Arial" w:cs="Arial" w:eastAsia="Arial" w:hAnsi="Arial"/>
                <w:sz w:val="13"/>
                <w:szCs w:val="13"/>
                <w:color w:val="auto"/>
              </w:rPr>
              <w:t>(16.8)%</w:t>
            </w:r>
          </w:p>
        </w:tc>
        <w:tc>
          <w:tcPr>
            <w:tcW w:w="900" w:type="dxa"/>
            <w:vAlign w:val="bottom"/>
          </w:tcPr>
          <w:p>
            <w:pPr>
              <w:jc w:val="right"/>
              <w:ind w:right="193"/>
              <w:spacing w:after="0"/>
              <w:rPr>
                <w:sz w:val="20"/>
                <w:szCs w:val="20"/>
                <w:color w:val="auto"/>
              </w:rPr>
            </w:pPr>
            <w:r>
              <w:rPr>
                <w:rFonts w:ascii="Arial" w:cs="Arial" w:eastAsia="Arial" w:hAnsi="Arial"/>
                <w:sz w:val="13"/>
                <w:szCs w:val="13"/>
                <w:color w:val="auto"/>
              </w:rPr>
              <w:t>(9.2)%</w:t>
            </w:r>
          </w:p>
        </w:tc>
        <w:tc>
          <w:tcPr>
            <w:tcW w:w="920" w:type="dxa"/>
            <w:vAlign w:val="bottom"/>
          </w:tcPr>
          <w:p>
            <w:pPr>
              <w:jc w:val="right"/>
              <w:ind w:right="213"/>
              <w:spacing w:after="0"/>
              <w:rPr>
                <w:sz w:val="20"/>
                <w:szCs w:val="20"/>
                <w:color w:val="auto"/>
              </w:rPr>
            </w:pPr>
            <w:r>
              <w:rPr>
                <w:rFonts w:ascii="Arial" w:cs="Arial" w:eastAsia="Arial" w:hAnsi="Arial"/>
                <w:sz w:val="13"/>
                <w:szCs w:val="13"/>
                <w:color w:val="auto"/>
              </w:rPr>
              <w:t>(1.6)%</w:t>
            </w:r>
          </w:p>
        </w:tc>
        <w:tc>
          <w:tcPr>
            <w:tcW w:w="820" w:type="dxa"/>
            <w:vAlign w:val="bottom"/>
          </w:tcPr>
          <w:p>
            <w:pPr>
              <w:jc w:val="right"/>
              <w:ind w:right="213"/>
              <w:spacing w:after="0"/>
              <w:rPr>
                <w:sz w:val="20"/>
                <w:szCs w:val="20"/>
                <w:color w:val="auto"/>
              </w:rPr>
            </w:pPr>
            <w:r>
              <w:rPr>
                <w:rFonts w:ascii="Arial" w:cs="Arial" w:eastAsia="Arial" w:hAnsi="Arial"/>
                <w:sz w:val="13"/>
                <w:szCs w:val="13"/>
                <w:color w:val="auto"/>
              </w:rPr>
              <w:t>6.0%</w:t>
            </w:r>
          </w:p>
        </w:tc>
        <w:tc>
          <w:tcPr>
            <w:tcW w:w="640" w:type="dxa"/>
            <w:vAlign w:val="bottom"/>
          </w:tcPr>
          <w:p>
            <w:pPr>
              <w:jc w:val="right"/>
              <w:spacing w:after="0"/>
              <w:rPr>
                <w:sz w:val="20"/>
                <w:szCs w:val="20"/>
                <w:color w:val="auto"/>
              </w:rPr>
            </w:pPr>
            <w:r>
              <w:rPr>
                <w:rFonts w:ascii="Arial" w:cs="Arial" w:eastAsia="Arial" w:hAnsi="Arial"/>
                <w:sz w:val="13"/>
                <w:szCs w:val="13"/>
                <w:color w:val="auto"/>
              </w:rPr>
              <w:t>13.6%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783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assumed portfolio return is required by regulation of the SEC and is not a prediction of, and does not represent, our projected or actual performance.</w:t>
      </w:r>
    </w:p>
    <w:p>
      <w:pPr>
        <w:spacing w:after="0" w:line="147" w:lineRule="exact"/>
        <w:rPr>
          <w:rFonts w:ascii="Arial" w:cs="Arial" w:eastAsia="Arial" w:hAnsi="Arial"/>
          <w:sz w:val="13"/>
          <w:szCs w:val="13"/>
          <w:color w:val="auto"/>
        </w:rPr>
      </w:pPr>
    </w:p>
    <w:p>
      <w:pPr>
        <w:ind w:left="460" w:right="300" w:hanging="452"/>
        <w:spacing w:after="0" w:line="256" w:lineRule="auto"/>
        <w:tabs>
          <w:tab w:leader="none" w:pos="4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92" w:lineRule="exact"/>
        <w:rPr>
          <w:sz w:val="20"/>
          <w:szCs w:val="20"/>
          <w:color w:val="auto"/>
        </w:rPr>
      </w:pPr>
    </w:p>
    <w:p>
      <w:pPr>
        <w:ind w:right="40" w:firstLine="562"/>
        <w:spacing w:after="0" w:line="268" w:lineRule="auto"/>
        <w:rPr>
          <w:sz w:val="20"/>
          <w:szCs w:val="20"/>
          <w:color w:val="auto"/>
        </w:rPr>
      </w:pPr>
      <w:r>
        <w:rPr>
          <w:rFonts w:ascii="Arial" w:cs="Arial" w:eastAsia="Arial" w:hAnsi="Arial"/>
          <w:sz w:val="12"/>
          <w:szCs w:val="12"/>
          <w:color w:val="auto"/>
        </w:rPr>
        <w:t>Our Credit Facility expires in February 2016. We utilize a revolving five-year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are exposed to risks associated with changes in interest rates that may affect our cost of capital and net investment income.</w:t>
      </w:r>
    </w:p>
    <w:p>
      <w:pPr>
        <w:spacing w:after="0" w:line="80" w:lineRule="exact"/>
        <w:rPr>
          <w:sz w:val="20"/>
          <w:szCs w:val="20"/>
          <w:color w:val="auto"/>
        </w:rPr>
      </w:pPr>
    </w:p>
    <w:p>
      <w:pPr>
        <w:ind w:right="40" w:firstLine="562"/>
        <w:spacing w:after="0" w:line="243" w:lineRule="auto"/>
        <w:rPr>
          <w:sz w:val="20"/>
          <w:szCs w:val="20"/>
          <w:color w:val="auto"/>
        </w:rPr>
      </w:pPr>
      <w:r>
        <w:rPr>
          <w:rFonts w:ascii="Arial" w:cs="Arial" w:eastAsia="Arial" w:hAnsi="Arial"/>
          <w:sz w:val="13"/>
          <w:szCs w:val="13"/>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2007, when we executed our original Credit Facility, through September 2012, the applicable LIBOR rate has decreased from 5.3% to 0.2%.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“Quantitative and Qualitative Disclosures about Market Risk” for more information.</w:t>
      </w:r>
    </w:p>
    <w:p>
      <w:pPr>
        <w:spacing w:after="0" w:line="112" w:lineRule="exact"/>
        <w:rPr>
          <w:sz w:val="20"/>
          <w:szCs w:val="20"/>
          <w:color w:val="auto"/>
        </w:rPr>
      </w:pPr>
    </w:p>
    <w:p>
      <w:pPr>
        <w:ind w:right="100" w:firstLine="562"/>
        <w:spacing w:after="0" w:line="317" w:lineRule="auto"/>
        <w:rPr>
          <w:sz w:val="20"/>
          <w:szCs w:val="20"/>
          <w:color w:val="auto"/>
        </w:rPr>
      </w:pPr>
      <w:r>
        <w:rPr>
          <w:rFonts w:ascii="Arial" w:cs="Arial" w:eastAsia="Arial" w:hAnsi="Arial"/>
          <w:sz w:val="12"/>
          <w:szCs w:val="12"/>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67"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If we issue preferred stock, debt securities, convertible debt securities or units, the net asset value and market value of our common stock may become more volatile.</w:t>
      </w:r>
    </w:p>
    <w:p>
      <w:pPr>
        <w:spacing w:after="0" w:line="80"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We cannot assure you that the issuance of preferred stock and/or debt securities would result in a higher yield or return to the holders of our common stock. The issuance of preferred stock, debt securities, convertible debt or units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11"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There is also a risk that, in the event of a sharp decline in the value of our net assets, we would be in danger of failing to maintain required asset coverage ratios which may be required by the preferred stock, debt securities, convertible debt or units or of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affairs.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Holders of any preferred stock that we may issue will have the right to elect members of the board of directors and have class voting rights on certain matters.</w:t>
      </w:r>
    </w:p>
    <w:p>
      <w:pPr>
        <w:spacing w:after="0" w:line="80" w:lineRule="exact"/>
        <w:rPr>
          <w:sz w:val="20"/>
          <w:szCs w:val="20"/>
          <w:color w:val="auto"/>
        </w:rPr>
      </w:pPr>
    </w:p>
    <w:p>
      <w:pPr>
        <w:ind w:right="120" w:firstLine="562"/>
        <w:spacing w:after="0" w:line="247" w:lineRule="auto"/>
        <w:rPr>
          <w:sz w:val="20"/>
          <w:szCs w:val="20"/>
          <w:color w:val="auto"/>
        </w:rPr>
      </w:pPr>
      <w:r>
        <w:rPr>
          <w:rFonts w:ascii="Arial" w:cs="Arial" w:eastAsia="Arial" w:hAnsi="Arial"/>
          <w:sz w:val="13"/>
          <w:szCs w:val="13"/>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There are significant potential conflicts of interest which could impact our investment returns.</w:t>
      </w:r>
    </w:p>
    <w:p>
      <w:pPr>
        <w:spacing w:after="0" w:line="80" w:lineRule="exact"/>
        <w:rPr>
          <w:sz w:val="20"/>
          <w:szCs w:val="20"/>
          <w:color w:val="auto"/>
        </w:rPr>
      </w:pPr>
    </w:p>
    <w:p>
      <w:pPr>
        <w:ind w:firstLine="562"/>
        <w:spacing w:after="0" w:line="241" w:lineRule="auto"/>
        <w:rPr>
          <w:sz w:val="20"/>
          <w:szCs w:val="20"/>
          <w:color w:val="auto"/>
        </w:rPr>
      </w:pPr>
      <w:r>
        <w:rPr>
          <w:rFonts w:ascii="Arial" w:cs="Arial" w:eastAsia="Arial" w:hAnsi="Arial"/>
          <w:sz w:val="13"/>
          <w:szCs w:val="13"/>
          <w:color w:val="auto"/>
        </w:rPr>
        <w:t>The professionals of our Investment Adviser and Administrator may serve as officers, directors or principals of entities that operate in the same or a related line of business as we do or of investment funds managed by affiliates of PennantPark Investment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 and affiliated funds. In addition, we note that any affiliated investment vehicle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will be forced to choose which investment fund should make the investment. We may co-invest on a concurrent basis with our controlled affiliate, and any other affiliates that the Investment Adviser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16" w:lineRule="exact"/>
        <w:rPr>
          <w:sz w:val="20"/>
          <w:szCs w:val="20"/>
          <w:color w:val="auto"/>
        </w:rPr>
      </w:pPr>
    </w:p>
    <w:p>
      <w:pPr>
        <w:ind w:firstLine="562"/>
        <w:spacing w:after="0" w:line="288" w:lineRule="auto"/>
        <w:rPr>
          <w:sz w:val="20"/>
          <w:szCs w:val="20"/>
          <w:color w:val="auto"/>
        </w:rPr>
      </w:pPr>
      <w:r>
        <w:rPr>
          <w:rFonts w:ascii="Arial" w:cs="Arial" w:eastAsia="Arial" w:hAnsi="Arial"/>
          <w:sz w:val="12"/>
          <w:szCs w:val="12"/>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84" w:lineRule="exact"/>
        <w:rPr>
          <w:sz w:val="20"/>
          <w:szCs w:val="20"/>
          <w:color w:val="auto"/>
        </w:rPr>
      </w:pPr>
    </w:p>
    <w:p>
      <w:pPr>
        <w:jc w:val="both"/>
        <w:ind w:firstLine="562"/>
        <w:spacing w:after="0" w:line="268" w:lineRule="auto"/>
        <w:rPr>
          <w:sz w:val="20"/>
          <w:szCs w:val="20"/>
          <w:color w:val="auto"/>
        </w:rPr>
      </w:pPr>
      <w:r>
        <w:rPr>
          <w:rFonts w:ascii="Arial" w:cs="Arial" w:eastAsia="Arial" w:hAnsi="Arial"/>
          <w:sz w:val="12"/>
          <w:szCs w:val="12"/>
          <w:color w:val="auto"/>
        </w:rPr>
        <w:t>We have entered into the License Agreement with PennantPark Investment Advisers, pursuant to which our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w:t>
      </w:r>
    </w:p>
    <w:p>
      <w:pPr>
        <w:spacing w:after="0" w:line="1" w:lineRule="exact"/>
        <w:rPr>
          <w:sz w:val="20"/>
          <w:szCs w:val="20"/>
          <w:color w:val="auto"/>
        </w:rPr>
      </w:pPr>
    </w:p>
    <w:p>
      <w:pPr>
        <w:ind w:right="240" w:firstLine="8"/>
        <w:spacing w:after="0" w:line="255" w:lineRule="auto"/>
        <w:tabs>
          <w:tab w:leader="none" w:pos="236" w:val="left"/>
        </w:tabs>
        <w:numPr>
          <w:ilvl w:val="0"/>
          <w:numId w:val="31"/>
        </w:numPr>
        <w:rPr>
          <w:rFonts w:ascii="Arial" w:cs="Arial" w:eastAsia="Arial" w:hAnsi="Arial"/>
          <w:sz w:val="13"/>
          <w:szCs w:val="13"/>
          <w:color w:val="auto"/>
        </w:rPr>
      </w:pPr>
      <w:r>
        <w:rPr>
          <w:rFonts w:ascii="Arial" w:cs="Arial" w:eastAsia="Arial" w:hAnsi="Arial"/>
          <w:sz w:val="13"/>
          <w:szCs w:val="13"/>
          <w:color w:val="auto"/>
        </w:rPr>
        <w:t>by either party upon 60 days’ written notice or (iv) by the Investment Adviser at any time in the event we assign or attempt to assign or sublicense the License Agreement or any of our rights or duties thereunder without the prior written consent of the Investment Adviser.</w:t>
      </w:r>
    </w:p>
    <w:p>
      <w:pPr>
        <w:spacing w:after="0" w:line="102" w:lineRule="exact"/>
        <w:rPr>
          <w:sz w:val="20"/>
          <w:szCs w:val="20"/>
          <w:color w:val="auto"/>
        </w:rPr>
      </w:pPr>
    </w:p>
    <w:p>
      <w:pPr>
        <w:ind w:right="20" w:firstLine="562"/>
        <w:spacing w:after="0" w:line="288" w:lineRule="auto"/>
        <w:rPr>
          <w:sz w:val="20"/>
          <w:szCs w:val="20"/>
          <w:color w:val="auto"/>
        </w:rPr>
      </w:pPr>
      <w:r>
        <w:rPr>
          <w:rFonts w:ascii="Arial" w:cs="Arial" w:eastAsia="Arial" w:hAnsi="Arial"/>
          <w:sz w:val="12"/>
          <w:szCs w:val="12"/>
          <w:color w:val="auto"/>
        </w:rPr>
        <w:t>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 trading market or market value of any publicly issued debt or convertible debt securities may be volatile.</w:t>
      </w:r>
    </w:p>
    <w:p>
      <w:pPr>
        <w:spacing w:after="0" w:line="80" w:lineRule="exact"/>
        <w:rPr>
          <w:sz w:val="20"/>
          <w:szCs w:val="20"/>
          <w:color w:val="auto"/>
        </w:rPr>
      </w:pPr>
    </w:p>
    <w:p>
      <w:pPr>
        <w:ind w:right="160" w:firstLine="562"/>
        <w:spacing w:after="0" w:line="256" w:lineRule="auto"/>
        <w:rPr>
          <w:sz w:val="20"/>
          <w:szCs w:val="20"/>
          <w:color w:val="auto"/>
        </w:rPr>
      </w:pPr>
      <w:r>
        <w:rPr>
          <w:rFonts w:ascii="Arial" w:cs="Arial" w:eastAsia="Arial" w:hAnsi="Arial"/>
          <w:sz w:val="13"/>
          <w:szCs w:val="13"/>
          <w:color w:val="auto"/>
        </w:rPr>
        <w:t>If we publicly issue debt or convertible debt securities, they may or may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 including:</w:t>
      </w:r>
    </w:p>
    <w:p>
      <w:pPr>
        <w:spacing w:after="0" w:line="116" w:lineRule="exact"/>
        <w:rPr>
          <w:sz w:val="20"/>
          <w:szCs w:val="20"/>
          <w:color w:val="auto"/>
        </w:rPr>
      </w:pPr>
    </w:p>
    <w:p>
      <w:pPr>
        <w:ind w:left="880" w:hanging="764"/>
        <w:spacing w:after="0"/>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time remaining to the maturity of these debt securities;</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outstanding principal amount of debt securities with terms identical to these debt securities;</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supply of debt securities trading in the secondary market, if any;</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redemption, repayment or convertible features, if any, of these debt securities;</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level, direction and volatility of market interest rates generally; and</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market rates of interest higher or lower than rates borne by the debt securities.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There also may be a limited number of buyers for our debt securities. This too may have a material adverse effect the market value of the debt securities or the trading market for the debt securities.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Our debt securities may include convertible features that cause them to more closely bear risks associated with an investment in our common stock.</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Terms relating to redemption may have a material adverse effect on the return on any debt securities.</w:t>
      </w:r>
    </w:p>
    <w:p>
      <w:pPr>
        <w:spacing w:after="0" w:line="80"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If we issue subscription rights or warrants for our common stock, your interest in us may be diluted as a result of such rights or warrants offering.</w:t>
      </w:r>
    </w:p>
    <w:p>
      <w:pPr>
        <w:spacing w:after="0" w:line="80" w:lineRule="exact"/>
        <w:rPr>
          <w:sz w:val="20"/>
          <w:szCs w:val="20"/>
          <w:color w:val="auto"/>
        </w:rPr>
      </w:pPr>
    </w:p>
    <w:p>
      <w:pPr>
        <w:ind w:right="100" w:firstLine="562"/>
        <w:spacing w:after="0" w:line="256" w:lineRule="auto"/>
        <w:rPr>
          <w:sz w:val="20"/>
          <w:szCs w:val="20"/>
          <w:color w:val="auto"/>
        </w:rPr>
      </w:pPr>
      <w:r>
        <w:rPr>
          <w:rFonts w:ascii="Arial" w:cs="Arial" w:eastAsia="Arial" w:hAnsi="Arial"/>
          <w:sz w:val="13"/>
          <w:szCs w:val="13"/>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02" w:lineRule="exact"/>
        <w:rPr>
          <w:sz w:val="20"/>
          <w:szCs w:val="20"/>
          <w:color w:val="auto"/>
        </w:rPr>
      </w:pPr>
    </w:p>
    <w:p>
      <w:pPr>
        <w:ind w:right="180" w:firstLine="562"/>
        <w:spacing w:after="0" w:line="288" w:lineRule="auto"/>
        <w:rPr>
          <w:sz w:val="20"/>
          <w:szCs w:val="20"/>
          <w:color w:val="auto"/>
        </w:rPr>
      </w:pPr>
      <w:r>
        <w:rPr>
          <w:rFonts w:ascii="Arial" w:cs="Arial" w:eastAsia="Arial" w:hAnsi="Arial"/>
          <w:sz w:val="12"/>
          <w:szCs w:val="12"/>
          <w:color w:val="auto"/>
        </w:rPr>
        <w:t>In addition, if the subscription price or warrant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rights offering or what proportion of our common stock will be purchased as a result of any such offering.</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experience fluctuations in our quarterly results.</w:t>
      </w:r>
    </w:p>
    <w:p>
      <w:pPr>
        <w:spacing w:after="0" w:line="80"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Changes in laws or regulations governing our operations may adversely affect our business.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We and our portfolio companies are subject to regulation by laws at the local, state and federal levels. These laws and regulations, as well as their interpretation, may be changed from time to time.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Accordingly, any change in these laws or regulations could have a material adverse effect on our business. See “Regulation” for more information.</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board of directors may change our investment objectives, operating policies and strategies without prior notice or stockholder approval.</w:t>
      </w:r>
    </w:p>
    <w:p>
      <w:pPr>
        <w:spacing w:after="0" w:line="80" w:lineRule="exact"/>
        <w:rPr>
          <w:sz w:val="20"/>
          <w:szCs w:val="20"/>
          <w:color w:val="auto"/>
        </w:rPr>
      </w:pPr>
    </w:p>
    <w:p>
      <w:pPr>
        <w:ind w:right="60" w:firstLine="562"/>
        <w:spacing w:after="0" w:line="288" w:lineRule="auto"/>
        <w:rPr>
          <w:sz w:val="20"/>
          <w:szCs w:val="20"/>
          <w:color w:val="auto"/>
        </w:rPr>
      </w:pPr>
      <w:r>
        <w:rPr>
          <w:rFonts w:ascii="Arial" w:cs="Arial" w:eastAsia="Arial" w:hAnsi="Arial"/>
          <w:sz w:val="12"/>
          <w:szCs w:val="12"/>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RISKS RELATING TO THE ILLIQUID NATURE OF OUR PORTFOLIO ASSETS</w:t>
      </w:r>
    </w:p>
    <w:p>
      <w:pPr>
        <w:spacing w:after="0" w:line="82" w:lineRule="exact"/>
        <w:rPr>
          <w:sz w:val="20"/>
          <w:szCs w:val="20"/>
          <w:color w:val="auto"/>
        </w:rPr>
      </w:pPr>
    </w:p>
    <w:p>
      <w:pPr>
        <w:ind w:firstLine="224"/>
        <w:spacing w:after="0" w:line="274" w:lineRule="auto"/>
        <w:rPr>
          <w:sz w:val="20"/>
          <w:szCs w:val="20"/>
          <w:color w:val="auto"/>
        </w:rPr>
      </w:pPr>
      <w:r>
        <w:rPr>
          <w:rFonts w:ascii="Arial" w:cs="Arial" w:eastAsia="Arial" w:hAnsi="Arial"/>
          <w:sz w:val="13"/>
          <w:szCs w:val="13"/>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37" w:lineRule="exact"/>
        <w:rPr>
          <w:sz w:val="20"/>
          <w:szCs w:val="20"/>
          <w:color w:val="auto"/>
        </w:rPr>
      </w:pPr>
    </w:p>
    <w:p>
      <w:pPr>
        <w:ind w:right="60" w:firstLine="562"/>
        <w:spacing w:after="0" w:line="245" w:lineRule="auto"/>
        <w:rPr>
          <w:sz w:val="20"/>
          <w:szCs w:val="20"/>
          <w:color w:val="auto"/>
        </w:rPr>
      </w:pPr>
      <w:r>
        <w:rPr>
          <w:rFonts w:ascii="Arial" w:cs="Arial" w:eastAsia="Arial" w:hAnsi="Arial"/>
          <w:sz w:val="13"/>
          <w:szCs w:val="13"/>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our Credit Facility will be classified as Level 3 under Accounting Standards Codification, or ASC, 820, Fair Value Measurements.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220"/>
          </w:cols>
          <w:pgMar w:left="32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08" w:lineRule="exact"/>
        <w:rPr>
          <w:sz w:val="20"/>
          <w:szCs w:val="20"/>
          <w:color w:val="auto"/>
        </w:rPr>
      </w:pPr>
    </w:p>
    <w:p>
      <w:pPr>
        <w:ind w:right="160" w:firstLine="562"/>
        <w:spacing w:after="0" w:line="274" w:lineRule="auto"/>
        <w:rPr>
          <w:sz w:val="20"/>
          <w:szCs w:val="20"/>
          <w:color w:val="auto"/>
        </w:rPr>
      </w:pPr>
      <w:r>
        <w:rPr>
          <w:rFonts w:ascii="Arial" w:cs="Arial" w:eastAsia="Arial" w:hAnsi="Arial"/>
          <w:sz w:val="13"/>
          <w:szCs w:val="13"/>
          <w:color w:val="auto"/>
        </w:rPr>
        <w:t>We adjust quarterly the valuation of our portfolio to reflect our board of directors’ determination of the fair value of each investment in our portfolio. Any changes in fair value are recorded in the Consolidated Statement of Operations as net change in unrealized appreciation or depreciation.</w:t>
      </w:r>
    </w:p>
    <w:p>
      <w:pPr>
        <w:spacing w:after="0" w:line="91" w:lineRule="exact"/>
        <w:rPr>
          <w:sz w:val="20"/>
          <w:szCs w:val="20"/>
          <w:color w:val="auto"/>
        </w:rPr>
      </w:pPr>
    </w:p>
    <w:p>
      <w:pPr>
        <w:ind w:right="100" w:firstLine="562"/>
        <w:spacing w:after="0" w:line="244" w:lineRule="auto"/>
        <w:rPr>
          <w:sz w:val="20"/>
          <w:szCs w:val="20"/>
          <w:color w:val="auto"/>
        </w:rPr>
      </w:pPr>
      <w:r>
        <w:rPr>
          <w:rFonts w:ascii="Arial" w:cs="Arial" w:eastAsia="Arial" w:hAnsi="Arial"/>
          <w:sz w:val="13"/>
          <w:szCs w:val="13"/>
          <w:color w:val="auto"/>
        </w:rPr>
        <w:t>At September 30, 2012, all of our portfolio assets are recorded at fair value as approved in good faith by our board of directors. As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 lack of liquidity in our investments may adversely affect our business.</w:t>
      </w:r>
    </w:p>
    <w:p>
      <w:pPr>
        <w:spacing w:after="0" w:line="80" w:lineRule="exact"/>
        <w:rPr>
          <w:sz w:val="20"/>
          <w:szCs w:val="20"/>
          <w:color w:val="auto"/>
        </w:rPr>
      </w:pPr>
    </w:p>
    <w:p>
      <w:pPr>
        <w:jc w:val="both"/>
        <w:ind w:right="100" w:firstLine="562"/>
        <w:spacing w:after="0" w:line="256" w:lineRule="auto"/>
        <w:rPr>
          <w:sz w:val="20"/>
          <w:szCs w:val="20"/>
          <w:color w:val="auto"/>
        </w:rPr>
      </w:pPr>
      <w:r>
        <w:rPr>
          <w:rFonts w:ascii="Arial" w:cs="Arial" w:eastAsia="Arial" w:hAnsi="Arial"/>
          <w:sz w:val="13"/>
          <w:szCs w:val="13"/>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02" w:lineRule="exact"/>
        <w:rPr>
          <w:sz w:val="20"/>
          <w:szCs w:val="20"/>
          <w:color w:val="auto"/>
        </w:rPr>
      </w:pPr>
    </w:p>
    <w:p>
      <w:pPr>
        <w:ind w:right="60" w:firstLine="562"/>
        <w:spacing w:after="0" w:line="250" w:lineRule="auto"/>
        <w:rPr>
          <w:sz w:val="20"/>
          <w:szCs w:val="20"/>
          <w:color w:val="auto"/>
        </w:rPr>
      </w:pPr>
      <w:r>
        <w:rPr>
          <w:rFonts w:ascii="Arial" w:cs="Arial" w:eastAsia="Arial" w:hAnsi="Arial"/>
          <w:sz w:val="13"/>
          <w:szCs w:val="13"/>
          <w:color w:val="auto"/>
        </w:rPr>
        <w:t>The illiquidity of our investments may make it difficult or impossible for us to sell such investments if the need arises, particularly in light of recent market developments in which investor appetite for illiquid securities was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06" w:lineRule="exact"/>
        <w:rPr>
          <w:sz w:val="20"/>
          <w:szCs w:val="20"/>
          <w:color w:val="auto"/>
        </w:rPr>
      </w:pPr>
    </w:p>
    <w:p>
      <w:pPr>
        <w:ind w:right="380" w:firstLine="562"/>
        <w:spacing w:after="0" w:line="288" w:lineRule="auto"/>
        <w:rPr>
          <w:sz w:val="20"/>
          <w:szCs w:val="20"/>
          <w:color w:val="auto"/>
        </w:rPr>
      </w:pPr>
      <w:r>
        <w:rPr>
          <w:rFonts w:ascii="Arial" w:cs="Arial" w:eastAsia="Arial" w:hAnsi="Arial"/>
          <w:sz w:val="12"/>
          <w:szCs w:val="12"/>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 general disruption in the credit markets could materially damage our business.</w:t>
      </w:r>
    </w:p>
    <w:p>
      <w:pPr>
        <w:spacing w:after="0" w:line="80" w:lineRule="exact"/>
        <w:rPr>
          <w:sz w:val="20"/>
          <w:szCs w:val="20"/>
          <w:color w:val="auto"/>
        </w:rPr>
      </w:pPr>
    </w:p>
    <w:p>
      <w:pPr>
        <w:ind w:right="200" w:firstLine="562"/>
        <w:spacing w:after="0" w:line="288" w:lineRule="auto"/>
        <w:rPr>
          <w:sz w:val="20"/>
          <w:szCs w:val="20"/>
          <w:color w:val="auto"/>
        </w:rPr>
      </w:pPr>
      <w:r>
        <w:rPr>
          <w:rFonts w:ascii="Arial" w:cs="Arial" w:eastAsia="Arial" w:hAnsi="Arial"/>
          <w:sz w:val="12"/>
          <w:szCs w:val="12"/>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84" w:lineRule="exact"/>
        <w:rPr>
          <w:sz w:val="20"/>
          <w:szCs w:val="20"/>
          <w:color w:val="auto"/>
        </w:rPr>
      </w:pPr>
    </w:p>
    <w:p>
      <w:pPr>
        <w:ind w:right="180" w:firstLine="562"/>
        <w:spacing w:after="0" w:line="250" w:lineRule="auto"/>
        <w:rPr>
          <w:sz w:val="20"/>
          <w:szCs w:val="20"/>
          <w:color w:val="auto"/>
        </w:rPr>
      </w:pPr>
      <w:r>
        <w:rPr>
          <w:rFonts w:ascii="Arial" w:cs="Arial" w:eastAsia="Arial" w:hAnsi="Arial"/>
          <w:sz w:val="13"/>
          <w:szCs w:val="13"/>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rely in part on our over-the-counter securities, which faced liquidity constraints under recent market conditions, to provide us with additional liquidity.</w:t>
      </w:r>
    </w:p>
    <w:p>
      <w:pPr>
        <w:spacing w:after="0" w:line="80" w:lineRule="exact"/>
        <w:rPr>
          <w:sz w:val="20"/>
          <w:szCs w:val="20"/>
          <w:color w:val="auto"/>
        </w:rPr>
      </w:pPr>
    </w:p>
    <w:p>
      <w:pPr>
        <w:ind w:right="220" w:firstLine="562"/>
        <w:spacing w:after="0" w:line="274" w:lineRule="auto"/>
        <w:rPr>
          <w:sz w:val="20"/>
          <w:szCs w:val="20"/>
          <w:color w:val="auto"/>
        </w:rPr>
      </w:pPr>
      <w:r>
        <w:rPr>
          <w:rFonts w:ascii="Arial" w:cs="Arial" w:eastAsia="Arial" w:hAnsi="Arial"/>
          <w:sz w:val="13"/>
          <w:szCs w:val="13"/>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INVESTMENTS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investments in prospective portfolio companies may be risky, and you could lose all or part of your investment.</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intend to invest primarily in senior secured loans, mezzanine debt and selected equity investments issued by U.S. middle-market companies.</w:t>
      </w:r>
    </w:p>
    <w:p>
      <w:pPr>
        <w:spacing w:after="0" w:line="148" w:lineRule="exact"/>
        <w:rPr>
          <w:sz w:val="20"/>
          <w:szCs w:val="20"/>
          <w:color w:val="auto"/>
        </w:rPr>
      </w:pPr>
    </w:p>
    <w:p>
      <w:pPr>
        <w:ind w:left="540" w:hanging="316"/>
        <w:spacing w:after="0" w:line="244" w:lineRule="auto"/>
        <w:tabs>
          <w:tab w:leader="none" w:pos="540" w:val="left"/>
        </w:tabs>
        <w:numPr>
          <w:ilvl w:val="0"/>
          <w:numId w:val="33"/>
        </w:numPr>
        <w:rPr>
          <w:rFonts w:ascii="Arial" w:cs="Arial" w:eastAsia="Arial" w:hAnsi="Arial"/>
          <w:sz w:val="13"/>
          <w:szCs w:val="13"/>
          <w:color w:val="auto"/>
        </w:rPr>
      </w:pPr>
      <w:r>
        <w:rPr>
          <w:rFonts w:ascii="Arial" w:cs="Arial" w:eastAsia="Arial" w:hAnsi="Arial"/>
          <w:sz w:val="13"/>
          <w:szCs w:val="13"/>
          <w:i w:val="1"/>
          <w:iCs w:val="1"/>
          <w:color w:val="auto"/>
        </w:rPr>
        <w:t xml:space="preserve">Senior Secured Loans: </w:t>
      </w:r>
      <w:r>
        <w:rPr>
          <w:rFonts w:ascii="Arial" w:cs="Arial" w:eastAsia="Arial" w:hAnsi="Arial"/>
          <w:sz w:val="13"/>
          <w:szCs w:val="13"/>
          <w:color w:val="auto"/>
        </w:rPr>
        <w:t>When we extend senior secured loans, which we define to include first lien debt, we will generally take a security interest in the available assets of these portfolio companies,</w:t>
      </w:r>
      <w:r>
        <w:rPr>
          <w:rFonts w:ascii="Arial" w:cs="Arial" w:eastAsia="Arial" w:hAnsi="Arial"/>
          <w:sz w:val="13"/>
          <w:szCs w:val="13"/>
          <w:i w:val="1"/>
          <w:iCs w:val="1"/>
          <w:color w:val="auto"/>
        </w:rPr>
        <w:t xml:space="preserve"> </w:t>
      </w:r>
      <w:r>
        <w:rPr>
          <w:rFonts w:ascii="Arial" w:cs="Arial" w:eastAsia="Arial" w:hAnsi="Arial"/>
          <w:sz w:val="13"/>
          <w:szCs w:val="13"/>
          <w:color w:val="auto"/>
        </w:rPr>
        <w:t>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24" w:lineRule="exact"/>
        <w:rPr>
          <w:rFonts w:ascii="Arial" w:cs="Arial" w:eastAsia="Arial" w:hAnsi="Arial"/>
          <w:sz w:val="13"/>
          <w:szCs w:val="13"/>
          <w:color w:val="auto"/>
        </w:rPr>
      </w:pPr>
    </w:p>
    <w:p>
      <w:pPr>
        <w:ind w:left="540" w:right="20" w:hanging="316"/>
        <w:spacing w:after="0" w:line="273" w:lineRule="auto"/>
        <w:tabs>
          <w:tab w:leader="none" w:pos="540" w:val="left"/>
        </w:tabs>
        <w:numPr>
          <w:ilvl w:val="0"/>
          <w:numId w:val="33"/>
        </w:numPr>
        <w:rPr>
          <w:rFonts w:ascii="Arial" w:cs="Arial" w:eastAsia="Arial" w:hAnsi="Arial"/>
          <w:sz w:val="12"/>
          <w:szCs w:val="12"/>
          <w:color w:val="auto"/>
        </w:rPr>
      </w:pPr>
      <w:r>
        <w:rPr>
          <w:rFonts w:ascii="Arial" w:cs="Arial" w:eastAsia="Arial" w:hAnsi="Arial"/>
          <w:sz w:val="12"/>
          <w:szCs w:val="12"/>
          <w:i w:val="1"/>
          <w:iCs w:val="1"/>
          <w:color w:val="auto"/>
        </w:rPr>
        <w:t xml:space="preserve">Mezzanine Debt: </w:t>
      </w:r>
      <w:r>
        <w:rPr>
          <w:rFonts w:ascii="Arial" w:cs="Arial" w:eastAsia="Arial" w:hAnsi="Arial"/>
          <w:sz w:val="12"/>
          <w:szCs w:val="12"/>
          <w:color w:val="auto"/>
        </w:rPr>
        <w:t>Our mezzanine debt investments, which we define to include second lien secured and subordinated debt, will generally be subordinated to senior secured loans and will generally</w:t>
      </w:r>
      <w:r>
        <w:rPr>
          <w:rFonts w:ascii="Arial" w:cs="Arial" w:eastAsia="Arial" w:hAnsi="Arial"/>
          <w:sz w:val="12"/>
          <w:szCs w:val="12"/>
          <w:i w:val="1"/>
          <w:iCs w:val="1"/>
          <w:color w:val="auto"/>
        </w:rPr>
        <w:t xml:space="preserve"> </w:t>
      </w:r>
      <w:r>
        <w:rPr>
          <w:rFonts w:ascii="Arial" w:cs="Arial" w:eastAsia="Arial" w:hAnsi="Arial"/>
          <w:sz w:val="12"/>
          <w:szCs w:val="12"/>
          <w:color w:val="auto"/>
        </w:rPr>
        <w:t>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106" w:lineRule="exact"/>
        <w:rPr>
          <w:rFonts w:ascii="Arial" w:cs="Arial" w:eastAsia="Arial" w:hAnsi="Arial"/>
          <w:sz w:val="12"/>
          <w:szCs w:val="12"/>
          <w:color w:val="auto"/>
        </w:rPr>
      </w:pPr>
    </w:p>
    <w:p>
      <w:pPr>
        <w:ind w:left="540" w:right="20" w:hanging="316"/>
        <w:spacing w:after="0" w:line="250" w:lineRule="auto"/>
        <w:tabs>
          <w:tab w:leader="none" w:pos="540" w:val="left"/>
        </w:tabs>
        <w:numPr>
          <w:ilvl w:val="0"/>
          <w:numId w:val="33"/>
        </w:numPr>
        <w:rPr>
          <w:rFonts w:ascii="Arial" w:cs="Arial" w:eastAsia="Arial" w:hAnsi="Arial"/>
          <w:sz w:val="13"/>
          <w:szCs w:val="13"/>
          <w:color w:val="auto"/>
        </w:rPr>
      </w:pPr>
      <w:r>
        <w:rPr>
          <w:rFonts w:ascii="Arial" w:cs="Arial" w:eastAsia="Arial" w:hAnsi="Arial"/>
          <w:sz w:val="13"/>
          <w:szCs w:val="13"/>
          <w:i w:val="1"/>
          <w:iCs w:val="1"/>
          <w:color w:val="auto"/>
        </w:rPr>
        <w:t>Equity Investments</w:t>
      </w:r>
      <w:r>
        <w:rPr>
          <w:rFonts w:ascii="Arial" w:cs="Arial" w:eastAsia="Arial" w:hAnsi="Arial"/>
          <w:sz w:val="13"/>
          <w:szCs w:val="13"/>
          <w:color w:val="auto"/>
        </w:rPr>
        <w:t>: We have made and expect to continue to make select equity investments. In addition, when we invest in senior secured loans or mezzanine debt, we may acquire warrants to</w:t>
      </w:r>
      <w:r>
        <w:rPr>
          <w:rFonts w:ascii="Arial" w:cs="Arial" w:eastAsia="Arial" w:hAnsi="Arial"/>
          <w:sz w:val="13"/>
          <w:szCs w:val="13"/>
          <w:i w:val="1"/>
          <w:iCs w:val="1"/>
          <w:color w:val="auto"/>
        </w:rPr>
        <w:t xml:space="preserve"> </w:t>
      </w:r>
      <w:r>
        <w:rPr>
          <w:rFonts w:ascii="Arial" w:cs="Arial" w:eastAsia="Arial" w:hAnsi="Arial"/>
          <w:sz w:val="13"/>
          <w:szCs w:val="13"/>
          <w:color w:val="auto"/>
        </w:rPr>
        <w:t>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addition, investing in middle-market companies involves a number of significant risks, including:</w:t>
      </w:r>
    </w:p>
    <w:p>
      <w:pPr>
        <w:spacing w:after="0" w:line="148" w:lineRule="exact"/>
        <w:rPr>
          <w:sz w:val="20"/>
          <w:szCs w:val="20"/>
          <w:color w:val="auto"/>
        </w:rPr>
      </w:pPr>
    </w:p>
    <w:p>
      <w:pPr>
        <w:ind w:left="880" w:hanging="764"/>
        <w:spacing w:after="0" w:line="274" w:lineRule="auto"/>
        <w:tabs>
          <w:tab w:leader="none" w:pos="8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04" w:lineRule="exact"/>
        <w:rPr>
          <w:rFonts w:ascii="Arial" w:cs="Arial" w:eastAsia="Arial" w:hAnsi="Arial"/>
          <w:sz w:val="13"/>
          <w:szCs w:val="13"/>
          <w:color w:val="auto"/>
        </w:rPr>
      </w:pPr>
    </w:p>
    <w:p>
      <w:pPr>
        <w:ind w:left="880" w:right="40" w:hanging="764"/>
        <w:spacing w:after="0" w:line="274" w:lineRule="auto"/>
        <w:tabs>
          <w:tab w:leader="none" w:pos="8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104" w:lineRule="exact"/>
        <w:rPr>
          <w:rFonts w:ascii="Arial" w:cs="Arial" w:eastAsia="Arial" w:hAnsi="Arial"/>
          <w:sz w:val="13"/>
          <w:szCs w:val="13"/>
          <w:color w:val="auto"/>
        </w:rPr>
      </w:pPr>
    </w:p>
    <w:p>
      <w:pPr>
        <w:ind w:left="880" w:right="220" w:hanging="764"/>
        <w:spacing w:after="0" w:line="274" w:lineRule="auto"/>
        <w:tabs>
          <w:tab w:leader="none" w:pos="8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04" w:lineRule="exact"/>
        <w:rPr>
          <w:rFonts w:ascii="Arial" w:cs="Arial" w:eastAsia="Arial" w:hAnsi="Arial"/>
          <w:sz w:val="13"/>
          <w:szCs w:val="13"/>
          <w:color w:val="auto"/>
        </w:rPr>
      </w:pPr>
    </w:p>
    <w:p>
      <w:pPr>
        <w:ind w:left="880" w:right="100" w:hanging="764"/>
        <w:spacing w:after="0" w:line="288" w:lineRule="auto"/>
        <w:tabs>
          <w:tab w:leader="none" w:pos="88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97" w:lineRule="exact"/>
        <w:rPr>
          <w:rFonts w:ascii="Arial" w:cs="Arial" w:eastAsia="Arial" w:hAnsi="Arial"/>
          <w:sz w:val="12"/>
          <w:szCs w:val="12"/>
          <w:color w:val="auto"/>
        </w:rPr>
      </w:pPr>
    </w:p>
    <w:p>
      <w:pPr>
        <w:ind w:left="880" w:hanging="764"/>
        <w:spacing w:after="0"/>
        <w:tabs>
          <w:tab w:leader="none" w:pos="8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they may have difficulty accessing the capital markets to meet future capital needs, which may limit their ability to grow or to repay their outstanding indebtedness upon maturity.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20" w:firstLine="224"/>
        <w:spacing w:after="0" w:line="274" w:lineRule="auto"/>
        <w:rPr>
          <w:sz w:val="20"/>
          <w:szCs w:val="20"/>
          <w:color w:val="auto"/>
        </w:rPr>
      </w:pPr>
      <w:r>
        <w:rPr>
          <w:rFonts w:ascii="Arial" w:cs="Arial" w:eastAsia="Arial" w:hAnsi="Arial"/>
          <w:sz w:val="13"/>
          <w:szCs w:val="13"/>
          <w:b w:val="1"/>
          <w:bCs w:val="1"/>
          <w:i w:val="1"/>
          <w:iCs w:val="1"/>
          <w:color w:val="auto"/>
        </w:rPr>
        <w:t>Under the 1940 Act 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37"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06" w:lineRule="exact"/>
        <w:rPr>
          <w:sz w:val="20"/>
          <w:szCs w:val="20"/>
          <w:color w:val="auto"/>
        </w:rPr>
      </w:pPr>
    </w:p>
    <w:p>
      <w:pPr>
        <w:ind w:right="60" w:firstLine="562"/>
        <w:spacing w:after="0" w:line="245" w:lineRule="auto"/>
        <w:rPr>
          <w:sz w:val="20"/>
          <w:szCs w:val="20"/>
          <w:color w:val="auto"/>
        </w:rPr>
      </w:pPr>
      <w:r>
        <w:rPr>
          <w:rFonts w:ascii="Arial" w:cs="Arial" w:eastAsia="Arial" w:hAnsi="Arial"/>
          <w:sz w:val="13"/>
          <w:szCs w:val="13"/>
          <w:color w:val="auto"/>
        </w:rPr>
        <w:t>We believe that most of our senior secured loans and mezzanine debt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64" w:lineRule="exact"/>
        <w:rPr>
          <w:sz w:val="20"/>
          <w:szCs w:val="20"/>
          <w:color w:val="auto"/>
        </w:rPr>
      </w:pPr>
    </w:p>
    <w:p>
      <w:pPr>
        <w:ind w:right="380" w:firstLine="224"/>
        <w:spacing w:after="0" w:line="274" w:lineRule="auto"/>
        <w:rPr>
          <w:sz w:val="20"/>
          <w:szCs w:val="20"/>
          <w:color w:val="auto"/>
        </w:rPr>
      </w:pPr>
      <w:r>
        <w:rPr>
          <w:rFonts w:ascii="Arial" w:cs="Arial" w:eastAsia="Arial" w:hAnsi="Arial"/>
          <w:sz w:val="13"/>
          <w:szCs w:val="13"/>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37"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Economic recessions or downturns could impair our portfolio companies and harm our operating results.</w:t>
      </w:r>
    </w:p>
    <w:p>
      <w:pPr>
        <w:spacing w:after="0" w:line="80" w:lineRule="exact"/>
        <w:rPr>
          <w:sz w:val="20"/>
          <w:szCs w:val="20"/>
          <w:color w:val="auto"/>
        </w:rPr>
      </w:pPr>
    </w:p>
    <w:p>
      <w:pPr>
        <w:ind w:right="140" w:firstLine="562"/>
        <w:spacing w:after="0" w:line="247" w:lineRule="auto"/>
        <w:rPr>
          <w:sz w:val="20"/>
          <w:szCs w:val="20"/>
          <w:color w:val="auto"/>
        </w:rPr>
      </w:pPr>
      <w:r>
        <w:rPr>
          <w:rFonts w:ascii="Arial" w:cs="Arial" w:eastAsia="Arial" w:hAnsi="Arial"/>
          <w:sz w:val="13"/>
          <w:szCs w:val="13"/>
          <w:color w:val="auto"/>
        </w:rPr>
        <w:t>Many of our portfolio companies are susceptible to economic slowdowns or recessions and may be unable to repay loans from us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08" w:lineRule="exact"/>
        <w:rPr>
          <w:sz w:val="20"/>
          <w:szCs w:val="20"/>
          <w:color w:val="auto"/>
        </w:rPr>
      </w:pPr>
    </w:p>
    <w:p>
      <w:pPr>
        <w:ind w:right="100" w:firstLine="562"/>
        <w:spacing w:after="0" w:line="247" w:lineRule="auto"/>
        <w:rPr>
          <w:sz w:val="20"/>
          <w:szCs w:val="20"/>
          <w:color w:val="auto"/>
        </w:rPr>
      </w:pPr>
      <w:r>
        <w:rPr>
          <w:rFonts w:ascii="Arial" w:cs="Arial" w:eastAsia="Arial" w:hAnsi="Arial"/>
          <w:sz w:val="13"/>
          <w:szCs w:val="13"/>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If we fail to make follow-on investments in our portfolio companies, this could impair the value of our portfolio.</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Following an initial investment in a portfolio company, we may make additional investments in that portfolio company as “follow-on” investments, in order to:</w:t>
      </w:r>
    </w:p>
    <w:p>
      <w:pPr>
        <w:spacing w:after="0" w:line="148" w:lineRule="exact"/>
        <w:rPr>
          <w:sz w:val="20"/>
          <w:szCs w:val="20"/>
          <w:color w:val="auto"/>
        </w:rPr>
      </w:pPr>
    </w:p>
    <w:p>
      <w:pPr>
        <w:ind w:left="880" w:hanging="764"/>
        <w:spacing w:after="0"/>
        <w:tabs>
          <w:tab w:leader="none" w:pos="8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increase or maintain in whole or in part our equity ownership percentage;</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exercise warrants, options or convertible securities that were acquired in the original or subsequent financing; or</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attempt to preserve or enhance the value of our investment.</w:t>
      </w:r>
    </w:p>
    <w:p>
      <w:pPr>
        <w:spacing w:after="0" w:line="134" w:lineRule="exact"/>
        <w:rPr>
          <w:sz w:val="20"/>
          <w:szCs w:val="20"/>
          <w:color w:val="auto"/>
        </w:rPr>
      </w:pPr>
    </w:p>
    <w:p>
      <w:pPr>
        <w:ind w:firstLine="562"/>
        <w:spacing w:after="0" w:line="278" w:lineRule="auto"/>
        <w:rPr>
          <w:sz w:val="20"/>
          <w:szCs w:val="20"/>
          <w:color w:val="auto"/>
        </w:rPr>
      </w:pPr>
      <w:r>
        <w:rPr>
          <w:rFonts w:ascii="Arial" w:cs="Arial" w:eastAsia="Arial" w:hAnsi="Arial"/>
          <w:sz w:val="12"/>
          <w:szCs w:val="12"/>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580" w:firstLine="224"/>
        <w:spacing w:after="0" w:line="274" w:lineRule="auto"/>
        <w:rPr>
          <w:sz w:val="20"/>
          <w:szCs w:val="20"/>
          <w:color w:val="auto"/>
        </w:rPr>
      </w:pPr>
      <w:r>
        <w:rPr>
          <w:rFonts w:ascii="Arial" w:cs="Arial" w:eastAsia="Arial" w:hAnsi="Arial"/>
          <w:sz w:val="13"/>
          <w:szCs w:val="13"/>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37" w:lineRule="exact"/>
        <w:rPr>
          <w:sz w:val="20"/>
          <w:szCs w:val="20"/>
          <w:color w:val="auto"/>
        </w:rPr>
      </w:pPr>
    </w:p>
    <w:p>
      <w:pPr>
        <w:jc w:val="both"/>
        <w:ind w:right="80" w:firstLine="562"/>
        <w:spacing w:after="0" w:line="250" w:lineRule="auto"/>
        <w:rPr>
          <w:sz w:val="20"/>
          <w:szCs w:val="20"/>
          <w:color w:val="auto"/>
        </w:rPr>
      </w:pPr>
      <w:r>
        <w:rPr>
          <w:rFonts w:ascii="Arial" w:cs="Arial" w:eastAsia="Arial" w:hAnsi="Arial"/>
          <w:sz w:val="13"/>
          <w:szCs w:val="13"/>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60" w:lineRule="exact"/>
        <w:rPr>
          <w:sz w:val="20"/>
          <w:szCs w:val="20"/>
          <w:color w:val="auto"/>
        </w:rPr>
      </w:pPr>
    </w:p>
    <w:p>
      <w:pPr>
        <w:ind w:right="180" w:firstLine="224"/>
        <w:spacing w:after="0" w:line="317"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13" w:lineRule="exact"/>
        <w:rPr>
          <w:sz w:val="20"/>
          <w:szCs w:val="20"/>
          <w:color w:val="auto"/>
        </w:rPr>
      </w:pPr>
    </w:p>
    <w:p>
      <w:pPr>
        <w:ind w:right="100" w:firstLine="562"/>
        <w:spacing w:after="0" w:line="278" w:lineRule="auto"/>
        <w:rPr>
          <w:sz w:val="20"/>
          <w:szCs w:val="20"/>
          <w:color w:val="auto"/>
        </w:rPr>
      </w:pPr>
      <w:r>
        <w:rPr>
          <w:rFonts w:ascii="Arial" w:cs="Arial" w:eastAsia="Arial" w:hAnsi="Arial"/>
          <w:sz w:val="12"/>
          <w:szCs w:val="12"/>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effect on our investment returns as compared to companies investing primarily in the securities of public companies.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portfolio companies may incur debt that ranks equally with, or senior to, our investments in such companies.</w:t>
      </w:r>
    </w:p>
    <w:p>
      <w:pPr>
        <w:spacing w:after="0" w:line="80"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We invest primarily in senior secured loans, mezzanine debt and equity investments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incentive fee may induce the Investment Adviser to make speculative investments.</w:t>
      </w:r>
    </w:p>
    <w:p>
      <w:pPr>
        <w:spacing w:after="0" w:line="80"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11" w:lineRule="exact"/>
        <w:rPr>
          <w:sz w:val="20"/>
          <w:szCs w:val="20"/>
          <w:color w:val="auto"/>
        </w:rPr>
      </w:pPr>
    </w:p>
    <w:p>
      <w:pPr>
        <w:ind w:right="160" w:firstLine="562"/>
        <w:spacing w:after="0" w:line="256" w:lineRule="auto"/>
        <w:rPr>
          <w:sz w:val="20"/>
          <w:szCs w:val="20"/>
          <w:color w:val="auto"/>
        </w:rPr>
      </w:pPr>
      <w:r>
        <w:rPr>
          <w:rFonts w:ascii="Arial" w:cs="Arial" w:eastAsia="Arial" w:hAnsi="Arial"/>
          <w:sz w:val="13"/>
          <w:szCs w:val="13"/>
          <w:color w:val="auto"/>
        </w:rPr>
        <w:t>The part of our incentive fee payable to PennantPark Investment Advisers that relates to net investment income is computed and paid on income that has been accrued but that may not have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We may make investments that cause our shareholders to bear investment advisory fees and other expenses on such investments in addition to our management fees and expenses.</w:t>
      </w:r>
    </w:p>
    <w:p>
      <w:pPr>
        <w:spacing w:after="0" w:line="92" w:lineRule="exact"/>
        <w:rPr>
          <w:sz w:val="20"/>
          <w:szCs w:val="20"/>
          <w:color w:val="auto"/>
        </w:rPr>
      </w:pPr>
    </w:p>
    <w:p>
      <w:pPr>
        <w:ind w:right="20" w:firstLine="562"/>
        <w:spacing w:after="0" w:line="273" w:lineRule="auto"/>
        <w:rPr>
          <w:sz w:val="20"/>
          <w:szCs w:val="20"/>
          <w:color w:val="auto"/>
        </w:rPr>
      </w:pPr>
      <w:r>
        <w:rPr>
          <w:rFonts w:ascii="Arial" w:cs="Arial" w:eastAsia="Arial" w:hAnsi="Arial"/>
          <w:sz w:val="12"/>
          <w:szCs w:val="12"/>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1220"/>
          </w:cols>
          <w:pgMar w:left="32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be obligated to pay our Investment Adviser incentive compensation even if we incur a loss.</w:t>
      </w:r>
    </w:p>
    <w:p>
      <w:pPr>
        <w:spacing w:after="0" w:line="80" w:lineRule="exact"/>
        <w:rPr>
          <w:sz w:val="20"/>
          <w:szCs w:val="20"/>
          <w:color w:val="auto"/>
        </w:rPr>
      </w:pPr>
    </w:p>
    <w:p>
      <w:pPr>
        <w:ind w:right="60" w:firstLine="562"/>
        <w:spacing w:after="0" w:line="250" w:lineRule="auto"/>
        <w:rPr>
          <w:sz w:val="20"/>
          <w:szCs w:val="20"/>
          <w:color w:val="auto"/>
        </w:rPr>
      </w:pPr>
      <w:r>
        <w:rPr>
          <w:rFonts w:ascii="Arial" w:cs="Arial" w:eastAsia="Arial" w:hAnsi="Arial"/>
          <w:sz w:val="13"/>
          <w:szCs w:val="13"/>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Statement of Operations for that quarter. Thus, we may be required to pay our Investment Adviser incentive compensation for a fiscal quarter even if there is a decline in the value of our portfolio or we incur a net loss for that quarter.</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 effect of global climate change may impact the operations of our portfolio companies.</w:t>
      </w:r>
    </w:p>
    <w:p>
      <w:pPr>
        <w:spacing w:after="0" w:line="80" w:lineRule="exact"/>
        <w:rPr>
          <w:sz w:val="20"/>
          <w:szCs w:val="20"/>
          <w:color w:val="auto"/>
        </w:rPr>
      </w:pPr>
    </w:p>
    <w:p>
      <w:pPr>
        <w:ind w:right="20" w:firstLine="562"/>
        <w:spacing w:after="0" w:line="273"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investments in foreign debt securities may involve significant risks in addition to the risks inherent in U.S. investments.</w:t>
      </w:r>
    </w:p>
    <w:p>
      <w:pPr>
        <w:spacing w:after="0" w:line="80"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Our investment strategy contemplates potential investments in securities of companies located outside of the United States.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06"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expose ourselves to risks if we engage in hedging transactions.</w:t>
      </w:r>
    </w:p>
    <w:p>
      <w:pPr>
        <w:spacing w:after="0" w:line="80" w:lineRule="exact"/>
        <w:rPr>
          <w:sz w:val="20"/>
          <w:szCs w:val="20"/>
          <w:color w:val="auto"/>
        </w:rPr>
      </w:pPr>
    </w:p>
    <w:p>
      <w:pPr>
        <w:ind w:right="80" w:firstLine="562"/>
        <w:spacing w:after="0" w:line="270" w:lineRule="auto"/>
        <w:rPr>
          <w:sz w:val="20"/>
          <w:szCs w:val="20"/>
          <w:color w:val="auto"/>
        </w:rPr>
      </w:pPr>
      <w:r>
        <w:rPr>
          <w:rFonts w:ascii="Arial" w:cs="Arial" w:eastAsia="Arial" w:hAnsi="Arial"/>
          <w:sz w:val="12"/>
          <w:szCs w:val="12"/>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95" w:lineRule="exact"/>
        <w:rPr>
          <w:sz w:val="20"/>
          <w:szCs w:val="20"/>
          <w:color w:val="auto"/>
        </w:rPr>
      </w:pPr>
    </w:p>
    <w:p>
      <w:pPr>
        <w:ind w:right="60" w:firstLine="562"/>
        <w:spacing w:after="0" w:line="273" w:lineRule="auto"/>
        <w:rPr>
          <w:sz w:val="20"/>
          <w:szCs w:val="20"/>
          <w:color w:val="auto"/>
        </w:rPr>
      </w:pPr>
      <w:r>
        <w:rPr>
          <w:rFonts w:ascii="Arial" w:cs="Arial" w:eastAsia="Arial" w:hAnsi="Arial"/>
          <w:sz w:val="12"/>
          <w:szCs w:val="12"/>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RELATING TO AN INVESTMENT IN OUR COMMON STOCK</w:t>
      </w:r>
    </w:p>
    <w:p>
      <w:pPr>
        <w:spacing w:after="0" w:line="82" w:lineRule="exact"/>
        <w:rPr>
          <w:sz w:val="20"/>
          <w:szCs w:val="20"/>
          <w:color w:val="auto"/>
        </w:rPr>
      </w:pPr>
    </w:p>
    <w:p>
      <w:pPr>
        <w:ind w:right="460" w:firstLine="224"/>
        <w:spacing w:after="0" w:line="256" w:lineRule="auto"/>
        <w:rPr>
          <w:sz w:val="20"/>
          <w:szCs w:val="20"/>
          <w:color w:val="auto"/>
        </w:rPr>
      </w:pPr>
      <w:r>
        <w:rPr>
          <w:rFonts w:ascii="Arial" w:cs="Arial" w:eastAsia="Arial" w:hAnsi="Arial"/>
          <w:sz w:val="13"/>
          <w:szCs w:val="13"/>
          <w:b w:val="1"/>
          <w:bCs w:val="1"/>
          <w:i w:val="1"/>
          <w:iCs w:val="1"/>
          <w:color w:val="auto"/>
        </w:rPr>
        <w:t>We may again obtain the approval of our stockholders to issue shares of our common stock at prices below the then current net asset value per share of our common stock. If we receive such approval from stockholders, in the future we may again issue shares of our common stock at a price below the then current net asset value per share of common stock. Any such issuance could materially dilute your interest in our common stock and reduce our net asset value per share.</w:t>
      </w:r>
    </w:p>
    <w:p>
      <w:pPr>
        <w:spacing w:after="0" w:line="48" w:lineRule="exact"/>
        <w:rPr>
          <w:sz w:val="20"/>
          <w:szCs w:val="20"/>
          <w:color w:val="auto"/>
        </w:rPr>
      </w:pPr>
    </w:p>
    <w:p>
      <w:pPr>
        <w:jc w:val="both"/>
        <w:ind w:right="380" w:firstLine="562"/>
        <w:spacing w:after="0" w:line="317" w:lineRule="auto"/>
        <w:rPr>
          <w:sz w:val="20"/>
          <w:szCs w:val="20"/>
          <w:color w:val="auto"/>
        </w:rPr>
      </w:pPr>
      <w:r>
        <w:rPr>
          <w:rFonts w:ascii="Arial" w:cs="Arial" w:eastAsia="Arial" w:hAnsi="Arial"/>
          <w:sz w:val="12"/>
          <w:szCs w:val="12"/>
          <w:color w:val="auto"/>
        </w:rPr>
        <w:t>We may again obtain the approval of our stockholders to issue shares of our common stock at prices below the then current net asset value per share of our common stock. Such approval has allowed, and may again allow, us to access the capital markets in a way that we typically are unable to do as a result of restrictions that, absent stockholder approval, apply to BDCs under the 1940 Act.</w:t>
      </w:r>
    </w:p>
    <w:p>
      <w:pPr>
        <w:spacing w:after="0" w:line="67" w:lineRule="exact"/>
        <w:rPr>
          <w:sz w:val="20"/>
          <w:szCs w:val="20"/>
          <w:color w:val="auto"/>
        </w:rPr>
      </w:pPr>
    </w:p>
    <w:p>
      <w:pPr>
        <w:ind w:right="100" w:firstLine="562"/>
        <w:spacing w:after="0" w:line="245" w:lineRule="auto"/>
        <w:rPr>
          <w:sz w:val="20"/>
          <w:szCs w:val="20"/>
          <w:color w:val="auto"/>
        </w:rPr>
      </w:pPr>
      <w:r>
        <w:rPr>
          <w:rFonts w:ascii="Arial" w:cs="Arial" w:eastAsia="Arial" w:hAnsi="Arial"/>
          <w:sz w:val="13"/>
          <w:szCs w:val="13"/>
          <w:color w:val="auto"/>
        </w:rPr>
        <w:t>Any sale or other issuance of shares of our common stock at a price below net asset value per share has resulted and will continue to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There is a risk that our stockholders may not receive distributions or that our distributions may not grow over time.</w:t>
      </w:r>
    </w:p>
    <w:p>
      <w:pPr>
        <w:spacing w:after="0" w:line="80"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Investing in our shares may involve an above average degree of risk.</w:t>
      </w:r>
    </w:p>
    <w:p>
      <w:pPr>
        <w:spacing w:after="0" w:line="80"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allocate the net proceeds from an offering in ways with which you may not agree.</w:t>
      </w:r>
    </w:p>
    <w:p>
      <w:pPr>
        <w:spacing w:after="0" w:line="80" w:lineRule="exact"/>
        <w:rPr>
          <w:sz w:val="20"/>
          <w:szCs w:val="20"/>
          <w:color w:val="auto"/>
        </w:rPr>
      </w:pPr>
    </w:p>
    <w:p>
      <w:pPr>
        <w:ind w:right="180" w:firstLine="562"/>
        <w:spacing w:after="0" w:line="274" w:lineRule="auto"/>
        <w:rPr>
          <w:sz w:val="20"/>
          <w:szCs w:val="20"/>
          <w:color w:val="auto"/>
        </w:rPr>
      </w:pPr>
      <w:r>
        <w:rPr>
          <w:rFonts w:ascii="Arial" w:cs="Arial" w:eastAsia="Arial" w:hAnsi="Arial"/>
          <w:sz w:val="13"/>
          <w:szCs w:val="13"/>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Our shares may trade at discounts from net asset value or at premiums that are unsustainable over the long term.</w:t>
      </w:r>
    </w:p>
    <w:p>
      <w:pPr>
        <w:spacing w:after="0" w:line="80" w:lineRule="exact"/>
        <w:rPr>
          <w:sz w:val="20"/>
          <w:szCs w:val="20"/>
          <w:color w:val="auto"/>
        </w:rPr>
      </w:pPr>
    </w:p>
    <w:p>
      <w:pPr>
        <w:jc w:val="both"/>
        <w:ind w:right="140" w:firstLine="562"/>
        <w:spacing w:after="0" w:line="250" w:lineRule="auto"/>
        <w:rPr>
          <w:sz w:val="20"/>
          <w:szCs w:val="20"/>
          <w:color w:val="auto"/>
        </w:rPr>
      </w:pPr>
      <w:r>
        <w:rPr>
          <w:rFonts w:ascii="Arial" w:cs="Arial" w:eastAsia="Arial" w:hAnsi="Arial"/>
          <w:sz w:val="13"/>
          <w:szCs w:val="13"/>
          <w:color w:val="auto"/>
        </w:rPr>
        <w:t>Shares of BDCs may trade at a market price that is less than the net asset value that is attributable to those shares. Our shares have traded above and below our net asset value, or NAV. Our shares closed on the NASDAQ Global Select Market at $10.61 and $8.92 as of September 30, 2012 and 2011, respectively. Our NAV was $10.22 and $10.13 as of September 30, 2012 and 2011,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 market price of our common stock may fluctuate significantly.</w:t>
      </w:r>
    </w:p>
    <w:p>
      <w:pPr>
        <w:spacing w:after="0" w:line="80" w:lineRule="exact"/>
        <w:rPr>
          <w:sz w:val="20"/>
          <w:szCs w:val="20"/>
          <w:color w:val="auto"/>
        </w:rPr>
      </w:pPr>
    </w:p>
    <w:p>
      <w:pPr>
        <w:ind w:right="340" w:firstLine="562"/>
        <w:spacing w:after="0" w:line="274" w:lineRule="auto"/>
        <w:rPr>
          <w:sz w:val="20"/>
          <w:szCs w:val="20"/>
          <w:color w:val="auto"/>
        </w:rPr>
      </w:pPr>
      <w:r>
        <w:rPr>
          <w:rFonts w:ascii="Arial" w:cs="Arial" w:eastAsia="Arial" w:hAnsi="Arial"/>
          <w:sz w:val="13"/>
          <w:szCs w:val="13"/>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04" w:lineRule="exact"/>
        <w:rPr>
          <w:sz w:val="20"/>
          <w:szCs w:val="20"/>
          <w:color w:val="auto"/>
        </w:rPr>
      </w:pPr>
    </w:p>
    <w:p>
      <w:pPr>
        <w:ind w:left="880" w:right="240" w:hanging="764"/>
        <w:spacing w:after="0" w:line="274" w:lineRule="auto"/>
        <w:tabs>
          <w:tab w:leader="none" w:pos="8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significant volatility in the market price and trading volume of securities of BDCs or other companies in our sector, which are not necessarily related to the operating performance of these companies;</w:t>
      </w:r>
    </w:p>
    <w:p>
      <w:pPr>
        <w:spacing w:after="0" w:line="104" w:lineRule="exact"/>
        <w:rPr>
          <w:rFonts w:ascii="Arial" w:cs="Arial" w:eastAsia="Arial" w:hAnsi="Arial"/>
          <w:sz w:val="13"/>
          <w:szCs w:val="13"/>
          <w:color w:val="auto"/>
        </w:rPr>
      </w:pPr>
    </w:p>
    <w:p>
      <w:pPr>
        <w:ind w:left="880" w:hanging="764"/>
        <w:spacing w:after="0"/>
        <w:tabs>
          <w:tab w:leader="none" w:pos="8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changes in regulatory policies or tax guidelines, particularly with respect to RICs, BDCs or SBICs;</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any loss of our BDC or RIC status or any loss of SBIC LP’s SBIC status;</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changes in earnings or variations in operating results;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34</w:t>
      </w:r>
    </w:p>
    <w:p>
      <w:pPr>
        <w:sectPr>
          <w:pgSz w:w="11900" w:h="16838" w:orient="portrait"/>
          <w:cols w:equalWidth="0" w:num="1">
            <w:col w:w="11220"/>
          </w:cols>
          <w:pgMar w:left="32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880" w:hanging="764"/>
        <w:spacing w:after="0"/>
        <w:tabs>
          <w:tab w:leader="none" w:pos="8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changes in the value of our portfolio of investments;</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any shortfall in revenue or net income or any increase in losses from levels expected by investors or securities analysts;</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inability of our Investment Adviser to employ additional experienced investment professionals or the departure of any of the Investment Adviser’s key personnel;</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operating performance of companies comparable to us;</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general economic trends and other external factors;</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conversion features of subscription rights, warrants or convertible debt; and</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loss of a major funding source.</w:t>
      </w:r>
    </w:p>
    <w:p>
      <w:pPr>
        <w:spacing w:after="0" w:line="134" w:lineRule="exact"/>
        <w:rPr>
          <w:sz w:val="20"/>
          <w:szCs w:val="20"/>
          <w:color w:val="auto"/>
        </w:rPr>
      </w:pPr>
    </w:p>
    <w:p>
      <w:pPr>
        <w:ind w:right="100" w:firstLine="562"/>
        <w:spacing w:after="0" w:line="274" w:lineRule="auto"/>
        <w:rPr>
          <w:sz w:val="20"/>
          <w:szCs w:val="20"/>
          <w:color w:val="auto"/>
        </w:rPr>
      </w:pPr>
      <w:r>
        <w:rPr>
          <w:rFonts w:ascii="Arial" w:cs="Arial" w:eastAsia="Arial" w:hAnsi="Arial"/>
          <w:sz w:val="13"/>
          <w:szCs w:val="13"/>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may be unable to invest the net proceeds raised from offerings on acceptable terms, which would harm our financial condition and operating results.</w:t>
      </w:r>
    </w:p>
    <w:p>
      <w:pPr>
        <w:spacing w:after="0" w:line="80" w:lineRule="exact"/>
        <w:rPr>
          <w:sz w:val="20"/>
          <w:szCs w:val="20"/>
          <w:color w:val="auto"/>
        </w:rPr>
      </w:pPr>
    </w:p>
    <w:p>
      <w:pPr>
        <w:ind w:right="300" w:firstLine="562"/>
        <w:spacing w:after="0" w:line="256" w:lineRule="auto"/>
        <w:rPr>
          <w:sz w:val="20"/>
          <w:szCs w:val="20"/>
          <w:color w:val="auto"/>
        </w:rPr>
      </w:pPr>
      <w:r>
        <w:rPr>
          <w:rFonts w:ascii="Arial" w:cs="Arial" w:eastAsia="Arial" w:hAnsi="Arial"/>
          <w:sz w:val="13"/>
          <w:szCs w:val="13"/>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SBA also limits an SBIC from investing idle funds in the following types of securities:</w:t>
      </w:r>
    </w:p>
    <w:p>
      <w:pPr>
        <w:spacing w:after="0" w:line="148" w:lineRule="exact"/>
        <w:rPr>
          <w:sz w:val="20"/>
          <w:szCs w:val="20"/>
          <w:color w:val="auto"/>
        </w:rPr>
      </w:pPr>
    </w:p>
    <w:p>
      <w:pPr>
        <w:ind w:left="880" w:hanging="764"/>
        <w:spacing w:after="0"/>
        <w:tabs>
          <w:tab w:leader="none" w:pos="8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direct obligations of, or obligations guaranteed as to principal and interest by, the U.S. government, which mature within 15 months from the date of the investment;</w:t>
      </w:r>
    </w:p>
    <w:p>
      <w:pPr>
        <w:spacing w:after="0" w:line="147" w:lineRule="exact"/>
        <w:rPr>
          <w:rFonts w:ascii="Arial" w:cs="Arial" w:eastAsia="Arial" w:hAnsi="Arial"/>
          <w:sz w:val="13"/>
          <w:szCs w:val="13"/>
          <w:color w:val="auto"/>
        </w:rPr>
      </w:pPr>
    </w:p>
    <w:p>
      <w:pPr>
        <w:ind w:left="880" w:right="380" w:hanging="764"/>
        <w:spacing w:after="0" w:line="274" w:lineRule="auto"/>
        <w:tabs>
          <w:tab w:leader="none" w:pos="8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104" w:lineRule="exact"/>
        <w:rPr>
          <w:rFonts w:ascii="Arial" w:cs="Arial" w:eastAsia="Arial" w:hAnsi="Arial"/>
          <w:sz w:val="13"/>
          <w:szCs w:val="13"/>
          <w:color w:val="auto"/>
        </w:rPr>
      </w:pPr>
    </w:p>
    <w:p>
      <w:pPr>
        <w:ind w:left="880" w:hanging="764"/>
        <w:spacing w:after="0"/>
        <w:tabs>
          <w:tab w:leader="none" w:pos="8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certificates of deposit with a maturity of one year or less, issued by a federally insured institution; or</w:t>
      </w:r>
    </w:p>
    <w:p>
      <w:pPr>
        <w:spacing w:after="0" w:line="147" w:lineRule="exact"/>
        <w:rPr>
          <w:rFonts w:ascii="Arial" w:cs="Arial" w:eastAsia="Arial" w:hAnsi="Arial"/>
          <w:sz w:val="13"/>
          <w:szCs w:val="13"/>
          <w:color w:val="auto"/>
        </w:rPr>
      </w:pPr>
    </w:p>
    <w:p>
      <w:pPr>
        <w:ind w:left="880" w:hanging="764"/>
        <w:spacing w:after="0"/>
        <w:tabs>
          <w:tab w:leader="none" w:pos="8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 deposit account in a federally insured institution that is subject to a withdrawal restriction of one year or less.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Sales of substantial amounts of our securities may have an adverse effect on the market price of our securities.</w:t>
      </w:r>
    </w:p>
    <w:p>
      <w:pPr>
        <w:spacing w:after="0" w:line="80"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You may have current tax liabilities on distributions you reinvest in our common stock.</w:t>
      </w:r>
    </w:p>
    <w:p>
      <w:pPr>
        <w:spacing w:after="0" w:line="80" w:lineRule="exact"/>
        <w:rPr>
          <w:sz w:val="20"/>
          <w:szCs w:val="20"/>
          <w:color w:val="auto"/>
        </w:rPr>
      </w:pPr>
    </w:p>
    <w:p>
      <w:pPr>
        <w:ind w:right="20" w:firstLine="562"/>
        <w:spacing w:after="0" w:line="273" w:lineRule="auto"/>
        <w:rPr>
          <w:sz w:val="20"/>
          <w:szCs w:val="20"/>
          <w:color w:val="auto"/>
        </w:rPr>
      </w:pPr>
      <w:r>
        <w:rPr>
          <w:rFonts w:ascii="Arial" w:cs="Arial" w:eastAsia="Arial" w:hAnsi="Arial"/>
          <w:sz w:val="12"/>
          <w:szCs w:val="12"/>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Resources—Dividends and Distributions” for more information.</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There is a risk that our common stockholders may receive our stock as dividends in which case they may be required to pay taxes in excess of the cash they receive.</w:t>
      </w:r>
    </w:p>
    <w:p>
      <w:pPr>
        <w:spacing w:after="0" w:line="80"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The total dividend declared would be taxable income to a shareholder even though he or she may only receive a relatively small portion of the dividend in cash to pay any taxes due on the dividend. We have not elected to distribute stock as a dividend but reserve the right to do so.</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35</w:t>
      </w:r>
    </w:p>
    <w:p>
      <w:pPr>
        <w:sectPr>
          <w:pgSz w:w="11900" w:h="16838" w:orient="portrait"/>
          <w:cols w:equalWidth="0" w:num="1">
            <w:col w:w="11180"/>
          </w:cols>
          <w:pgMar w:left="320" w:top="459" w:right="3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We incur significant costs as a result of being a publicly traded company.</w:t>
      </w:r>
    </w:p>
    <w:p>
      <w:pPr>
        <w:spacing w:after="0" w:line="80" w:lineRule="exact"/>
        <w:rPr>
          <w:sz w:val="20"/>
          <w:szCs w:val="20"/>
          <w:color w:val="auto"/>
        </w:rPr>
      </w:pPr>
    </w:p>
    <w:p>
      <w:pPr>
        <w:ind w:right="220" w:firstLine="562"/>
        <w:spacing w:after="0" w:line="256" w:lineRule="auto"/>
        <w:rPr>
          <w:sz w:val="20"/>
          <w:szCs w:val="20"/>
          <w:color w:val="auto"/>
        </w:rPr>
      </w:pPr>
      <w:r>
        <w:rPr>
          <w:rFonts w:ascii="Arial" w:cs="Arial" w:eastAsia="Arial" w:hAnsi="Arial"/>
          <w:sz w:val="13"/>
          <w:szCs w:val="13"/>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 Oxley Act, and other rules implemented by the SEC and the listing standards of NASDAQ.</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Provisions of the Maryland General Corporation Law and of our charter and bylaws could deter takeover attempts and have an adverse impact on the price of our common stock.</w:t>
      </w:r>
    </w:p>
    <w:p>
      <w:pPr>
        <w:spacing w:after="0" w:line="80" w:lineRule="exact"/>
        <w:rPr>
          <w:sz w:val="20"/>
          <w:szCs w:val="20"/>
          <w:color w:val="auto"/>
        </w:rPr>
      </w:pPr>
    </w:p>
    <w:p>
      <w:pPr>
        <w:ind w:right="180" w:firstLine="562"/>
        <w:spacing w:after="0" w:line="247" w:lineRule="auto"/>
        <w:rPr>
          <w:sz w:val="20"/>
          <w:szCs w:val="20"/>
          <w:color w:val="auto"/>
        </w:rPr>
      </w:pPr>
      <w:r>
        <w:rPr>
          <w:rFonts w:ascii="Arial" w:cs="Arial" w:eastAsia="Arial" w:hAnsi="Arial"/>
          <w:sz w:val="13"/>
          <w:szCs w:val="13"/>
          <w:color w:val="auto"/>
        </w:rPr>
        <w:t>The Maryland General Corporation Law, our charter and our bylaws contain provisions that may discourage, delay or make more difficult a change in control of PennantPark Investment Corporation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08"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08" w:lineRule="exact"/>
        <w:rPr>
          <w:sz w:val="20"/>
          <w:szCs w:val="20"/>
          <w:color w:val="auto"/>
        </w:rPr>
      </w:pPr>
    </w:p>
    <w:p>
      <w:pPr>
        <w:jc w:val="center"/>
        <w:ind w:left="780" w:right="100"/>
        <w:spacing w:after="0" w:line="513" w:lineRule="auto"/>
        <w:rPr>
          <w:sz w:val="20"/>
          <w:szCs w:val="20"/>
          <w:color w:val="auto"/>
        </w:rPr>
      </w:pPr>
      <w:r>
        <w:rPr>
          <w:rFonts w:ascii="Arial" w:cs="Arial" w:eastAsia="Arial" w:hAnsi="Arial"/>
          <w:sz w:val="13"/>
          <w:szCs w:val="13"/>
          <w:color w:val="auto"/>
        </w:rPr>
        <w:t>These anti-takeover provisions may inhibit a change of control in circumstances that could give our stockholders the opportunity to realize a premium over the market price for our common stock. 36</w:t>
      </w:r>
    </w:p>
    <w:p>
      <w:pPr>
        <w:sectPr>
          <w:pgSz w:w="11900" w:h="16838" w:orient="portrait"/>
          <w:cols w:equalWidth="0" w:num="1">
            <w:col w:w="11220"/>
          </w:cols>
          <w:pgMar w:left="32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None</w:t>
      </w:r>
    </w:p>
    <w:p>
      <w:pPr>
        <w:spacing w:after="0" w:line="213"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82" w:lineRule="exact"/>
        <w:rPr>
          <w:sz w:val="20"/>
          <w:szCs w:val="20"/>
          <w:color w:val="auto"/>
        </w:rPr>
      </w:pPr>
    </w:p>
    <w:p>
      <w:pPr>
        <w:ind w:right="140" w:firstLine="562"/>
        <w:spacing w:after="0" w:line="274" w:lineRule="auto"/>
        <w:rPr>
          <w:sz w:val="20"/>
          <w:szCs w:val="20"/>
          <w:color w:val="auto"/>
        </w:rPr>
      </w:pPr>
      <w:r>
        <w:rPr>
          <w:rFonts w:ascii="Arial" w:cs="Arial" w:eastAsia="Arial" w:hAnsi="Arial"/>
          <w:sz w:val="13"/>
          <w:szCs w:val="13"/>
          <w:color w:val="auto"/>
        </w:rPr>
        <w:t>As of September 30, 2012, we did not own any real estate or other physical properties materially important to our operation. We believe that the office facilities of the Investment Adviser are suitable and adequate for our business as it is contemplated to be conducted.</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color w:val="auto"/>
        </w:rPr>
        <w:t>Legal Proceedings</w:t>
      </w:r>
    </w:p>
    <w:p>
      <w:pPr>
        <w:spacing w:after="0" w:line="82" w:lineRule="exact"/>
        <w:rPr>
          <w:sz w:val="20"/>
          <w:szCs w:val="20"/>
          <w:color w:val="auto"/>
        </w:rPr>
      </w:pPr>
    </w:p>
    <w:p>
      <w:pPr>
        <w:jc w:val="both"/>
        <w:ind w:firstLine="562"/>
        <w:spacing w:after="0" w:line="250" w:lineRule="auto"/>
        <w:rPr>
          <w:sz w:val="20"/>
          <w:szCs w:val="20"/>
          <w:color w:val="auto"/>
        </w:rPr>
      </w:pPr>
      <w:r>
        <w:rPr>
          <w:rFonts w:ascii="Arial" w:cs="Arial" w:eastAsia="Arial" w:hAnsi="Arial"/>
          <w:sz w:val="13"/>
          <w:szCs w:val="13"/>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of results of operations.</w:t>
      </w:r>
    </w:p>
    <w:p>
      <w:pPr>
        <w:spacing w:after="0" w:line="185"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color w:val="auto"/>
        </w:rPr>
        <w:t>Mine Safety Disclosures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Not applicable.</w:t>
      </w:r>
    </w:p>
    <w:p>
      <w:pPr>
        <w:spacing w:after="0" w:line="148"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37</w:t>
      </w:r>
    </w:p>
    <w:p>
      <w:pPr>
        <w:sectPr>
          <w:pgSz w:w="11900" w:h="16838" w:orient="portrait"/>
          <w:cols w:equalWidth="0" w:num="1">
            <w:col w:w="10960"/>
          </w:cols>
          <w:pgMar w:left="320" w:top="459" w:right="6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II</w:t>
      </w:r>
    </w:p>
    <w:p>
      <w:pPr>
        <w:spacing w:after="0" w:line="215"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color w:val="auto"/>
        </w:rPr>
        <w:t>Market for Registrant’s Common Equity, Related Stockholder Matters and Issuer Purchases of Equity Securities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PRICE RANGE OF COMMON STOCK</w:t>
      </w:r>
    </w:p>
    <w:p>
      <w:pPr>
        <w:spacing w:after="0" w:line="136" w:lineRule="exact"/>
        <w:rPr>
          <w:sz w:val="20"/>
          <w:szCs w:val="20"/>
          <w:color w:val="auto"/>
        </w:rPr>
      </w:pPr>
    </w:p>
    <w:p>
      <w:pPr>
        <w:ind w:right="100" w:firstLine="562"/>
        <w:spacing w:after="0" w:line="274" w:lineRule="auto"/>
        <w:rPr>
          <w:sz w:val="20"/>
          <w:szCs w:val="20"/>
          <w:color w:val="auto"/>
        </w:rPr>
      </w:pPr>
      <w:r>
        <w:rPr>
          <w:rFonts w:ascii="Arial" w:cs="Arial" w:eastAsia="Arial" w:hAnsi="Arial"/>
          <w:sz w:val="13"/>
          <w:szCs w:val="13"/>
          <w:color w:val="auto"/>
        </w:rPr>
        <w:t>Our common stock is traded on the NASDAQ Global Select Market under the symbol “PNNT.” The following table lists the high and low closing sale price for our common stock, the closing sale price as a percentage of NAV and quarterly dividends per share since October 1, 2007.</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89"/>
              </w:rPr>
              <w:t>Closing Sales</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gridSpan w:val="3"/>
          </w:tcPr>
          <w:p>
            <w:pPr>
              <w:jc w:val="center"/>
              <w:ind w:right="900"/>
              <w:spacing w:after="0"/>
              <w:rPr>
                <w:sz w:val="20"/>
                <w:szCs w:val="20"/>
                <w:color w:val="auto"/>
              </w:rPr>
            </w:pPr>
            <w:r>
              <w:rPr>
                <w:rFonts w:ascii="Arial" w:cs="Arial" w:eastAsia="Arial" w:hAnsi="Arial"/>
                <w:sz w:val="13"/>
                <w:szCs w:val="13"/>
                <w:b w:val="1"/>
                <w:bCs w:val="1"/>
                <w:color w:val="auto"/>
                <w:w w:val="94"/>
              </w:rPr>
              <w:t>Price</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Premium(Discount)</w:t>
            </w:r>
          </w:p>
        </w:tc>
        <w:tc>
          <w:tcPr>
            <w:tcW w:w="1620" w:type="dxa"/>
            <w:vAlign w:val="bottom"/>
            <w:gridSpan w:val="2"/>
            <w:vMerge w:val="restart"/>
          </w:tcPr>
          <w:p>
            <w:pPr>
              <w:jc w:val="center"/>
              <w:ind w:right="460"/>
              <w:spacing w:after="0"/>
              <w:rPr>
                <w:sz w:val="20"/>
                <w:szCs w:val="20"/>
                <w:color w:val="auto"/>
              </w:rPr>
            </w:pPr>
            <w:r>
              <w:rPr>
                <w:rFonts w:ascii="Arial" w:cs="Arial" w:eastAsia="Arial" w:hAnsi="Arial"/>
                <w:sz w:val="13"/>
                <w:szCs w:val="13"/>
                <w:b w:val="1"/>
                <w:bCs w:val="1"/>
                <w:color w:val="auto"/>
                <w:w w:val="93"/>
              </w:rPr>
              <w:t>Premium(Discount)</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4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26"/>
                <w:szCs w:val="26"/>
                <w:b w:val="1"/>
                <w:bCs w:val="1"/>
                <w:color w:val="auto"/>
                <w:vertAlign w:val="subscript"/>
              </w:rPr>
              <w:t>NAV</w:t>
            </w:r>
            <w:r>
              <w:rPr>
                <w:rFonts w:ascii="Arial" w:cs="Arial" w:eastAsia="Arial" w:hAnsi="Arial"/>
                <w:sz w:val="11"/>
                <w:szCs w:val="11"/>
                <w:b w:val="1"/>
                <w:bCs w:val="1"/>
                <w:color w:val="auto"/>
              </w:rPr>
              <w:t>(1)</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center"/>
              <w:ind w:right="240"/>
              <w:spacing w:after="0" w:line="134" w:lineRule="exact"/>
              <w:rPr>
                <w:sz w:val="20"/>
                <w:szCs w:val="20"/>
                <w:color w:val="auto"/>
              </w:rPr>
            </w:pPr>
            <w:r>
              <w:rPr>
                <w:rFonts w:ascii="Arial" w:cs="Arial" w:eastAsia="Arial" w:hAnsi="Arial"/>
                <w:sz w:val="13"/>
                <w:szCs w:val="13"/>
                <w:b w:val="1"/>
                <w:bCs w:val="1"/>
                <w:color w:val="auto"/>
                <w:w w:val="94"/>
              </w:rPr>
              <w:t>of High Sales</w:t>
            </w:r>
          </w:p>
        </w:tc>
        <w:tc>
          <w:tcPr>
            <w:tcW w:w="1620" w:type="dxa"/>
            <w:vAlign w:val="bottom"/>
            <w:gridSpan w:val="2"/>
          </w:tcPr>
          <w:p>
            <w:pPr>
              <w:jc w:val="center"/>
              <w:ind w:right="460"/>
              <w:spacing w:after="0" w:line="134" w:lineRule="exact"/>
              <w:rPr>
                <w:sz w:val="20"/>
                <w:szCs w:val="20"/>
                <w:color w:val="auto"/>
              </w:rPr>
            </w:pPr>
            <w:r>
              <w:rPr>
                <w:rFonts w:ascii="Arial" w:cs="Arial" w:eastAsia="Arial" w:hAnsi="Arial"/>
                <w:sz w:val="13"/>
                <w:szCs w:val="13"/>
                <w:b w:val="1"/>
                <w:bCs w:val="1"/>
                <w:color w:val="auto"/>
                <w:w w:val="95"/>
              </w:rPr>
              <w:t>of Low Sales</w:t>
            </w:r>
          </w:p>
        </w:tc>
        <w:tc>
          <w:tcPr>
            <w:tcW w:w="64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93"/>
              </w:rPr>
              <w:t>Dividends</w:t>
            </w:r>
          </w:p>
        </w:tc>
        <w:tc>
          <w:tcPr>
            <w:tcW w:w="0" w:type="dxa"/>
            <w:vAlign w:val="bottom"/>
          </w:tcPr>
          <w:p>
            <w:pPr>
              <w:spacing w:after="0"/>
              <w:rPr>
                <w:sz w:val="1"/>
                <w:szCs w:val="1"/>
                <w:color w:val="auto"/>
              </w:rPr>
            </w:pPr>
          </w:p>
        </w:tc>
      </w:tr>
      <w:tr>
        <w:trPr>
          <w:trHeight w:val="176"/>
        </w:trPr>
        <w:tc>
          <w:tcPr>
            <w:tcW w:w="4960" w:type="dxa"/>
            <w:vAlign w:val="bottom"/>
            <w:gridSpan w:val="2"/>
          </w:tcPr>
          <w:p>
            <w:pPr>
              <w:spacing w:after="0"/>
              <w:rPr>
                <w:sz w:val="20"/>
                <w:szCs w:val="20"/>
                <w:color w:val="auto"/>
              </w:rPr>
            </w:pPr>
            <w:r>
              <w:rPr>
                <w:rFonts w:ascii="Arial" w:cs="Arial" w:eastAsia="Arial" w:hAnsi="Arial"/>
                <w:sz w:val="13"/>
                <w:szCs w:val="13"/>
                <w:b w:val="1"/>
                <w:bCs w:val="1"/>
                <w:color w:val="auto"/>
              </w:rPr>
              <w:t>Period</w:t>
            </w:r>
          </w:p>
        </w:tc>
        <w:tc>
          <w:tcPr>
            <w:tcW w:w="880" w:type="dxa"/>
            <w:vAlign w:val="bottom"/>
            <w:gridSpan w:val="2"/>
            <w:vMerge w:val="continue"/>
          </w:tcPr>
          <w:p>
            <w:pPr>
              <w:spacing w:after="0"/>
              <w:rPr>
                <w:sz w:val="15"/>
                <w:szCs w:val="15"/>
                <w:color w:val="auto"/>
              </w:rPr>
            </w:pPr>
          </w:p>
        </w:tc>
        <w:tc>
          <w:tcPr>
            <w:tcW w:w="560" w:type="dxa"/>
            <w:vAlign w:val="bottom"/>
          </w:tcPr>
          <w:p>
            <w:pPr>
              <w:jc w:val="right"/>
              <w:ind w:right="73"/>
              <w:spacing w:after="0"/>
              <w:rPr>
                <w:sz w:val="20"/>
                <w:szCs w:val="20"/>
                <w:color w:val="auto"/>
              </w:rPr>
            </w:pPr>
            <w:r>
              <w:rPr>
                <w:rFonts w:ascii="Arial" w:cs="Arial" w:eastAsia="Arial" w:hAnsi="Arial"/>
                <w:sz w:val="13"/>
                <w:szCs w:val="13"/>
                <w:b w:val="1"/>
                <w:bCs w:val="1"/>
                <w:color w:val="auto"/>
              </w:rPr>
              <w:t>High</w:t>
            </w:r>
          </w:p>
        </w:tc>
        <w:tc>
          <w:tcPr>
            <w:tcW w:w="320" w:type="dxa"/>
            <w:vAlign w:val="bottom"/>
          </w:tcPr>
          <w:p>
            <w:pPr>
              <w:spacing w:after="0"/>
              <w:rPr>
                <w:sz w:val="15"/>
                <w:szCs w:val="15"/>
                <w:color w:val="auto"/>
              </w:rPr>
            </w:pPr>
          </w:p>
        </w:tc>
        <w:tc>
          <w:tcPr>
            <w:tcW w:w="880" w:type="dxa"/>
            <w:vAlign w:val="bottom"/>
            <w:gridSpan w:val="2"/>
          </w:tcPr>
          <w:p>
            <w:pPr>
              <w:ind w:left="140"/>
              <w:spacing w:after="0"/>
              <w:rPr>
                <w:sz w:val="20"/>
                <w:szCs w:val="20"/>
                <w:color w:val="auto"/>
              </w:rPr>
            </w:pPr>
            <w:r>
              <w:rPr>
                <w:rFonts w:ascii="Arial" w:cs="Arial" w:eastAsia="Arial" w:hAnsi="Arial"/>
                <w:sz w:val="13"/>
                <w:szCs w:val="13"/>
                <w:b w:val="1"/>
                <w:bCs w:val="1"/>
                <w:color w:val="auto"/>
              </w:rPr>
              <w:t>Low</w:t>
            </w:r>
          </w:p>
        </w:tc>
        <w:tc>
          <w:tcPr>
            <w:tcW w:w="1380" w:type="dxa"/>
            <w:vAlign w:val="bottom"/>
            <w:gridSpan w:val="2"/>
          </w:tcPr>
          <w:p>
            <w:pPr>
              <w:jc w:val="center"/>
              <w:ind w:right="240"/>
              <w:spacing w:after="0" w:line="176" w:lineRule="exact"/>
              <w:rPr>
                <w:sz w:val="20"/>
                <w:szCs w:val="20"/>
                <w:color w:val="auto"/>
              </w:rPr>
            </w:pPr>
            <w:r>
              <w:rPr>
                <w:rFonts w:ascii="Arial" w:cs="Arial" w:eastAsia="Arial" w:hAnsi="Arial"/>
                <w:sz w:val="12"/>
                <w:szCs w:val="12"/>
                <w:b w:val="1"/>
                <w:bCs w:val="1"/>
                <w:color w:val="auto"/>
              </w:rPr>
              <w:t>Price to NAV</w:t>
            </w:r>
            <w:r>
              <w:rPr>
                <w:rFonts w:ascii="Arial" w:cs="Arial" w:eastAsia="Arial" w:hAnsi="Arial"/>
                <w:sz w:val="20"/>
                <w:szCs w:val="20"/>
                <w:b w:val="1"/>
                <w:bCs w:val="1"/>
                <w:color w:val="auto"/>
                <w:vertAlign w:val="superscript"/>
              </w:rPr>
              <w:t>(2)</w:t>
            </w:r>
          </w:p>
        </w:tc>
        <w:tc>
          <w:tcPr>
            <w:tcW w:w="1620" w:type="dxa"/>
            <w:vAlign w:val="bottom"/>
            <w:gridSpan w:val="2"/>
          </w:tcPr>
          <w:p>
            <w:pPr>
              <w:jc w:val="center"/>
              <w:ind w:right="460"/>
              <w:spacing w:after="0" w:line="176" w:lineRule="exact"/>
              <w:rPr>
                <w:sz w:val="20"/>
                <w:szCs w:val="20"/>
                <w:color w:val="auto"/>
              </w:rPr>
            </w:pPr>
            <w:r>
              <w:rPr>
                <w:rFonts w:ascii="Arial" w:cs="Arial" w:eastAsia="Arial" w:hAnsi="Arial"/>
                <w:sz w:val="12"/>
                <w:szCs w:val="12"/>
                <w:b w:val="1"/>
                <w:bCs w:val="1"/>
                <w:color w:val="auto"/>
                <w:w w:val="98"/>
              </w:rPr>
              <w:t>Price to NAV</w:t>
            </w:r>
            <w:r>
              <w:rPr>
                <w:rFonts w:ascii="Arial" w:cs="Arial" w:eastAsia="Arial" w:hAnsi="Arial"/>
                <w:sz w:val="20"/>
                <w:szCs w:val="20"/>
                <w:b w:val="1"/>
                <w:bCs w:val="1"/>
                <w:color w:val="auto"/>
                <w:w w:val="98"/>
                <w:vertAlign w:val="superscript"/>
              </w:rPr>
              <w:t>(2)</w:t>
            </w:r>
          </w:p>
        </w:tc>
        <w:tc>
          <w:tcPr>
            <w:tcW w:w="6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Declared</w:t>
            </w:r>
          </w:p>
        </w:tc>
        <w:tc>
          <w:tcPr>
            <w:tcW w:w="0" w:type="dxa"/>
            <w:vAlign w:val="bottom"/>
          </w:tcPr>
          <w:p>
            <w:pPr>
              <w:spacing w:after="0"/>
              <w:rPr>
                <w:sz w:val="1"/>
                <w:szCs w:val="1"/>
                <w:color w:val="auto"/>
              </w:rPr>
            </w:pPr>
          </w:p>
        </w:tc>
      </w:tr>
      <w:tr>
        <w:trPr>
          <w:trHeight w:val="88"/>
        </w:trPr>
        <w:tc>
          <w:tcPr>
            <w:tcW w:w="47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Fiscal year ended September 30, 2012</w:t>
            </w: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spacing w:after="0"/>
              <w:rPr>
                <w:sz w:val="20"/>
                <w:szCs w:val="20"/>
                <w:color w:val="auto"/>
              </w:rPr>
            </w:pPr>
            <w:r>
              <w:rPr>
                <w:rFonts w:ascii="Arial" w:cs="Arial" w:eastAsia="Arial" w:hAnsi="Arial"/>
                <w:sz w:val="13"/>
                <w:szCs w:val="13"/>
                <w:color w:val="auto"/>
              </w:rPr>
              <w:t>Fourth quarter</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  10.22</w:t>
            </w:r>
          </w:p>
        </w:tc>
        <w:tc>
          <w:tcPr>
            <w:tcW w:w="560" w:type="dxa"/>
            <w:vAlign w:val="bottom"/>
          </w:tcPr>
          <w:p>
            <w:pPr>
              <w:jc w:val="right"/>
              <w:spacing w:after="0"/>
              <w:rPr>
                <w:sz w:val="20"/>
                <w:szCs w:val="20"/>
                <w:color w:val="auto"/>
              </w:rPr>
            </w:pPr>
            <w:r>
              <w:rPr>
                <w:rFonts w:ascii="Arial" w:cs="Arial" w:eastAsia="Arial" w:hAnsi="Arial"/>
                <w:sz w:val="13"/>
                <w:szCs w:val="13"/>
                <w:color w:val="auto"/>
              </w:rPr>
              <w:t>$  11.44</w:t>
            </w:r>
          </w:p>
        </w:tc>
        <w:tc>
          <w:tcPr>
            <w:tcW w:w="1200" w:type="dxa"/>
            <w:vAlign w:val="bottom"/>
            <w:gridSpan w:val="3"/>
          </w:tcPr>
          <w:p>
            <w:pPr>
              <w:jc w:val="right"/>
              <w:ind w:right="320"/>
              <w:spacing w:after="0"/>
              <w:rPr>
                <w:sz w:val="20"/>
                <w:szCs w:val="20"/>
                <w:color w:val="auto"/>
              </w:rPr>
            </w:pPr>
            <w:r>
              <w:rPr>
                <w:rFonts w:ascii="Arial" w:cs="Arial" w:eastAsia="Arial" w:hAnsi="Arial"/>
                <w:sz w:val="13"/>
                <w:szCs w:val="13"/>
                <w:color w:val="auto"/>
              </w:rPr>
              <w:t>$  10.36</w:t>
            </w:r>
          </w:p>
        </w:tc>
        <w:tc>
          <w:tcPr>
            <w:tcW w:w="1380" w:type="dxa"/>
            <w:vAlign w:val="bottom"/>
            <w:gridSpan w:val="2"/>
          </w:tcPr>
          <w:p>
            <w:pPr>
              <w:jc w:val="right"/>
              <w:ind w:right="120"/>
              <w:spacing w:after="0"/>
              <w:rPr>
                <w:sz w:val="20"/>
                <w:szCs w:val="20"/>
                <w:color w:val="auto"/>
              </w:rPr>
            </w:pPr>
            <w:r>
              <w:rPr>
                <w:rFonts w:ascii="Arial" w:cs="Arial" w:eastAsia="Arial" w:hAnsi="Arial"/>
                <w:sz w:val="13"/>
                <w:szCs w:val="13"/>
                <w:color w:val="auto"/>
              </w:rPr>
              <w:t>12%</w:t>
            </w:r>
          </w:p>
        </w:tc>
        <w:tc>
          <w:tcPr>
            <w:tcW w:w="162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580" w:type="dxa"/>
            <w:vAlign w:val="bottom"/>
          </w:tcPr>
          <w:p>
            <w:pPr>
              <w:jc w:val="right"/>
              <w:spacing w:after="0"/>
              <w:rPr>
                <w:sz w:val="20"/>
                <w:szCs w:val="20"/>
                <w:color w:val="auto"/>
              </w:rPr>
            </w:pPr>
            <w:r>
              <w:rPr>
                <w:rFonts w:ascii="Arial" w:cs="Arial" w:eastAsia="Arial" w:hAnsi="Arial"/>
                <w:sz w:val="13"/>
                <w:szCs w:val="13"/>
                <w:color w:val="auto"/>
              </w:rPr>
              <w:t>$  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Third quarter</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10.16</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9.27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spacing w:after="0"/>
              <w:rPr>
                <w:sz w:val="20"/>
                <w:szCs w:val="20"/>
                <w:color w:val="auto"/>
              </w:rPr>
            </w:pPr>
            <w:r>
              <w:rPr>
                <w:rFonts w:ascii="Arial" w:cs="Arial" w:eastAsia="Arial" w:hAnsi="Arial"/>
                <w:sz w:val="13"/>
                <w:szCs w:val="13"/>
                <w:color w:val="auto"/>
              </w:rPr>
              <w:t>Second quarter</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10.38</w:t>
            </w:r>
          </w:p>
        </w:tc>
        <w:tc>
          <w:tcPr>
            <w:tcW w:w="560" w:type="dxa"/>
            <w:vAlign w:val="bottom"/>
          </w:tcPr>
          <w:p>
            <w:pPr>
              <w:jc w:val="right"/>
              <w:spacing w:after="0"/>
              <w:rPr>
                <w:sz w:val="20"/>
                <w:szCs w:val="20"/>
                <w:color w:val="auto"/>
              </w:rPr>
            </w:pPr>
            <w:r>
              <w:rPr>
                <w:rFonts w:ascii="Arial" w:cs="Arial" w:eastAsia="Arial" w:hAnsi="Arial"/>
                <w:sz w:val="13"/>
                <w:szCs w:val="13"/>
                <w:color w:val="auto"/>
              </w:rPr>
              <w:t>11.23</w:t>
            </w:r>
          </w:p>
        </w:tc>
        <w:tc>
          <w:tcPr>
            <w:tcW w:w="1200" w:type="dxa"/>
            <w:vAlign w:val="bottom"/>
            <w:gridSpan w:val="3"/>
          </w:tcPr>
          <w:p>
            <w:pPr>
              <w:jc w:val="right"/>
              <w:ind w:right="320"/>
              <w:spacing w:after="0"/>
              <w:rPr>
                <w:sz w:val="20"/>
                <w:szCs w:val="20"/>
                <w:color w:val="auto"/>
              </w:rPr>
            </w:pPr>
            <w:r>
              <w:rPr>
                <w:rFonts w:ascii="Arial" w:cs="Arial" w:eastAsia="Arial" w:hAnsi="Arial"/>
                <w:sz w:val="13"/>
                <w:szCs w:val="13"/>
                <w:color w:val="auto"/>
              </w:rPr>
              <w:t>10.31</w:t>
            </w:r>
          </w:p>
        </w:tc>
        <w:tc>
          <w:tcPr>
            <w:tcW w:w="1140" w:type="dxa"/>
            <w:vAlign w:val="bottom"/>
          </w:tcPr>
          <w:p>
            <w:pPr>
              <w:jc w:val="right"/>
              <w:spacing w:after="0"/>
              <w:rPr>
                <w:sz w:val="20"/>
                <w:szCs w:val="20"/>
                <w:color w:val="auto"/>
              </w:rPr>
            </w:pPr>
            <w:r>
              <w:rPr>
                <w:rFonts w:ascii="Arial" w:cs="Arial" w:eastAsia="Arial" w:hAnsi="Arial"/>
                <w:sz w:val="13"/>
                <w:szCs w:val="13"/>
                <w:color w:val="auto"/>
              </w:rPr>
              <w:t>8</w:t>
            </w:r>
          </w:p>
        </w:tc>
        <w:tc>
          <w:tcPr>
            <w:tcW w:w="240" w:type="dxa"/>
            <w:vAlign w:val="bottom"/>
          </w:tcPr>
          <w:p>
            <w:pPr>
              <w:spacing w:after="0"/>
              <w:rPr>
                <w:sz w:val="19"/>
                <w:szCs w:val="19"/>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3"/>
                <w:szCs w:val="13"/>
                <w:color w:val="auto"/>
              </w:rPr>
              <w:t>(1)</w:t>
            </w:r>
          </w:p>
        </w:tc>
        <w:tc>
          <w:tcPr>
            <w:tcW w:w="580" w:type="dxa"/>
            <w:vAlign w:val="bottom"/>
          </w:tcPr>
          <w:p>
            <w:pPr>
              <w:jc w:val="right"/>
              <w:spacing w:after="0"/>
              <w:rPr>
                <w:sz w:val="20"/>
                <w:szCs w:val="20"/>
                <w:color w:val="auto"/>
              </w:rPr>
            </w:pPr>
            <w:r>
              <w:rPr>
                <w:rFonts w:ascii="Arial" w:cs="Arial" w:eastAsia="Arial" w:hAnsi="Arial"/>
                <w:sz w:val="13"/>
                <w:szCs w:val="13"/>
                <w:color w:val="auto"/>
              </w:rPr>
              <w:t>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quarter</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10.19</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11.02</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8.57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spacing w:after="0"/>
              <w:rPr>
                <w:sz w:val="20"/>
                <w:szCs w:val="20"/>
                <w:color w:val="auto"/>
              </w:rPr>
            </w:pPr>
            <w:r>
              <w:rPr>
                <w:rFonts w:ascii="Arial" w:cs="Arial" w:eastAsia="Arial" w:hAnsi="Arial"/>
                <w:sz w:val="13"/>
                <w:szCs w:val="13"/>
                <w:b w:val="1"/>
                <w:bCs w:val="1"/>
                <w:color w:val="auto"/>
              </w:rPr>
              <w:t>Fiscal year ended September 30, 2011</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10.13</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8.89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(12)</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spacing w:after="0"/>
              <w:rPr>
                <w:sz w:val="20"/>
                <w:szCs w:val="20"/>
                <w:color w:val="auto"/>
              </w:rPr>
            </w:pPr>
            <w:r>
              <w:rPr>
                <w:rFonts w:ascii="Arial" w:cs="Arial" w:eastAsia="Arial" w:hAnsi="Arial"/>
                <w:sz w:val="13"/>
                <w:szCs w:val="13"/>
                <w:color w:val="auto"/>
              </w:rPr>
              <w:t>Third quarter</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11.08</w:t>
            </w:r>
          </w:p>
        </w:tc>
        <w:tc>
          <w:tcPr>
            <w:tcW w:w="560" w:type="dxa"/>
            <w:vAlign w:val="bottom"/>
          </w:tcPr>
          <w:p>
            <w:pPr>
              <w:jc w:val="right"/>
              <w:spacing w:after="0"/>
              <w:rPr>
                <w:sz w:val="20"/>
                <w:szCs w:val="20"/>
                <w:color w:val="auto"/>
              </w:rPr>
            </w:pPr>
            <w:r>
              <w:rPr>
                <w:rFonts w:ascii="Arial" w:cs="Arial" w:eastAsia="Arial" w:hAnsi="Arial"/>
                <w:sz w:val="13"/>
                <w:szCs w:val="13"/>
                <w:color w:val="auto"/>
              </w:rPr>
              <w:t>12.43</w:t>
            </w:r>
          </w:p>
        </w:tc>
        <w:tc>
          <w:tcPr>
            <w:tcW w:w="1200" w:type="dxa"/>
            <w:vAlign w:val="bottom"/>
            <w:gridSpan w:val="3"/>
          </w:tcPr>
          <w:p>
            <w:pPr>
              <w:jc w:val="right"/>
              <w:ind w:right="320"/>
              <w:spacing w:after="0"/>
              <w:rPr>
                <w:sz w:val="20"/>
                <w:szCs w:val="20"/>
                <w:color w:val="auto"/>
              </w:rPr>
            </w:pPr>
            <w:r>
              <w:rPr>
                <w:rFonts w:ascii="Arial" w:cs="Arial" w:eastAsia="Arial" w:hAnsi="Arial"/>
                <w:sz w:val="13"/>
                <w:szCs w:val="13"/>
                <w:color w:val="auto"/>
              </w:rPr>
              <w:t>10.97</w:t>
            </w:r>
          </w:p>
        </w:tc>
        <w:tc>
          <w:tcPr>
            <w:tcW w:w="1140" w:type="dxa"/>
            <w:vAlign w:val="bottom"/>
          </w:tcPr>
          <w:p>
            <w:pPr>
              <w:jc w:val="right"/>
              <w:spacing w:after="0"/>
              <w:rPr>
                <w:sz w:val="20"/>
                <w:szCs w:val="20"/>
                <w:color w:val="auto"/>
              </w:rPr>
            </w:pPr>
            <w:r>
              <w:rPr>
                <w:rFonts w:ascii="Arial" w:cs="Arial" w:eastAsia="Arial" w:hAnsi="Arial"/>
                <w:sz w:val="13"/>
                <w:szCs w:val="13"/>
                <w:color w:val="auto"/>
              </w:rPr>
              <w:t>12</w:t>
            </w:r>
          </w:p>
        </w:tc>
        <w:tc>
          <w:tcPr>
            <w:tcW w:w="240" w:type="dxa"/>
            <w:vAlign w:val="bottom"/>
          </w:tcPr>
          <w:p>
            <w:pPr>
              <w:spacing w:after="0"/>
              <w:rPr>
                <w:sz w:val="19"/>
                <w:szCs w:val="19"/>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3"/>
                <w:szCs w:val="13"/>
                <w:color w:val="auto"/>
              </w:rPr>
              <w:t>(1)</w:t>
            </w:r>
          </w:p>
        </w:tc>
        <w:tc>
          <w:tcPr>
            <w:tcW w:w="580" w:type="dxa"/>
            <w:vAlign w:val="bottom"/>
          </w:tcPr>
          <w:p>
            <w:pPr>
              <w:jc w:val="right"/>
              <w:spacing w:after="0"/>
              <w:rPr>
                <w:sz w:val="20"/>
                <w:szCs w:val="20"/>
                <w:color w:val="auto"/>
              </w:rPr>
            </w:pPr>
            <w:r>
              <w:rPr>
                <w:rFonts w:ascii="Arial" w:cs="Arial" w:eastAsia="Arial" w:hAnsi="Arial"/>
                <w:sz w:val="13"/>
                <w:szCs w:val="13"/>
                <w:color w:val="auto"/>
              </w:rPr>
              <w:t>0.27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11.30</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13.05</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11.21</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spacing w:after="0"/>
              <w:rPr>
                <w:sz w:val="20"/>
                <w:szCs w:val="20"/>
                <w:color w:val="auto"/>
              </w:rPr>
            </w:pPr>
            <w:r>
              <w:rPr>
                <w:rFonts w:ascii="Arial" w:cs="Arial" w:eastAsia="Arial" w:hAnsi="Arial"/>
                <w:sz w:val="13"/>
                <w:szCs w:val="13"/>
                <w:color w:val="auto"/>
              </w:rPr>
              <w:t>First quarter</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11.14</w:t>
            </w:r>
          </w:p>
        </w:tc>
        <w:tc>
          <w:tcPr>
            <w:tcW w:w="560" w:type="dxa"/>
            <w:vAlign w:val="bottom"/>
          </w:tcPr>
          <w:p>
            <w:pPr>
              <w:jc w:val="right"/>
              <w:spacing w:after="0"/>
              <w:rPr>
                <w:sz w:val="20"/>
                <w:szCs w:val="20"/>
                <w:color w:val="auto"/>
              </w:rPr>
            </w:pPr>
            <w:r>
              <w:rPr>
                <w:rFonts w:ascii="Arial" w:cs="Arial" w:eastAsia="Arial" w:hAnsi="Arial"/>
                <w:sz w:val="13"/>
                <w:szCs w:val="13"/>
                <w:color w:val="auto"/>
              </w:rPr>
              <w:t>12.75</w:t>
            </w:r>
          </w:p>
        </w:tc>
        <w:tc>
          <w:tcPr>
            <w:tcW w:w="1200" w:type="dxa"/>
            <w:vAlign w:val="bottom"/>
            <w:gridSpan w:val="3"/>
          </w:tcPr>
          <w:p>
            <w:pPr>
              <w:jc w:val="right"/>
              <w:ind w:right="320"/>
              <w:spacing w:after="0"/>
              <w:rPr>
                <w:sz w:val="20"/>
                <w:szCs w:val="20"/>
                <w:color w:val="auto"/>
              </w:rPr>
            </w:pPr>
            <w:r>
              <w:rPr>
                <w:rFonts w:ascii="Arial" w:cs="Arial" w:eastAsia="Arial" w:hAnsi="Arial"/>
                <w:sz w:val="13"/>
                <w:szCs w:val="13"/>
                <w:color w:val="auto"/>
              </w:rPr>
              <w:t>10.60</w:t>
            </w:r>
          </w:p>
        </w:tc>
        <w:tc>
          <w:tcPr>
            <w:tcW w:w="1140" w:type="dxa"/>
            <w:vAlign w:val="bottom"/>
          </w:tcPr>
          <w:p>
            <w:pPr>
              <w:jc w:val="right"/>
              <w:spacing w:after="0"/>
              <w:rPr>
                <w:sz w:val="20"/>
                <w:szCs w:val="20"/>
                <w:color w:val="auto"/>
              </w:rPr>
            </w:pPr>
            <w:r>
              <w:rPr>
                <w:rFonts w:ascii="Arial" w:cs="Arial" w:eastAsia="Arial" w:hAnsi="Arial"/>
                <w:sz w:val="13"/>
                <w:szCs w:val="13"/>
                <w:color w:val="auto"/>
              </w:rPr>
              <w:t>14</w:t>
            </w:r>
          </w:p>
        </w:tc>
        <w:tc>
          <w:tcPr>
            <w:tcW w:w="240" w:type="dxa"/>
            <w:vAlign w:val="bottom"/>
          </w:tcPr>
          <w:p>
            <w:pPr>
              <w:spacing w:after="0"/>
              <w:rPr>
                <w:sz w:val="19"/>
                <w:szCs w:val="19"/>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3"/>
                <w:szCs w:val="13"/>
                <w:color w:val="auto"/>
              </w:rPr>
              <w:t>(5)</w:t>
            </w:r>
          </w:p>
        </w:tc>
        <w:tc>
          <w:tcPr>
            <w:tcW w:w="580" w:type="dxa"/>
            <w:vAlign w:val="bottom"/>
          </w:tcPr>
          <w:p>
            <w:pPr>
              <w:jc w:val="right"/>
              <w:spacing w:after="0"/>
              <w:rPr>
                <w:sz w:val="20"/>
                <w:szCs w:val="20"/>
                <w:color w:val="auto"/>
              </w:rPr>
            </w:pPr>
            <w:r>
              <w:rPr>
                <w:rFonts w:ascii="Arial" w:cs="Arial" w:eastAsia="Arial" w:hAnsi="Arial"/>
                <w:sz w:val="13"/>
                <w:szCs w:val="13"/>
                <w:color w:val="auto"/>
              </w:rPr>
              <w:t>0.26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Fiscal year ended September 30, 2010</w:t>
            </w: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spacing w:after="0"/>
              <w:rPr>
                <w:sz w:val="20"/>
                <w:szCs w:val="20"/>
                <w:color w:val="auto"/>
              </w:rPr>
            </w:pPr>
            <w:r>
              <w:rPr>
                <w:rFonts w:ascii="Arial" w:cs="Arial" w:eastAsia="Arial" w:hAnsi="Arial"/>
                <w:sz w:val="13"/>
                <w:szCs w:val="13"/>
                <w:color w:val="auto"/>
              </w:rPr>
              <w:t>Fourth quarter</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10.69</w:t>
            </w:r>
          </w:p>
        </w:tc>
        <w:tc>
          <w:tcPr>
            <w:tcW w:w="560" w:type="dxa"/>
            <w:vAlign w:val="bottom"/>
          </w:tcPr>
          <w:p>
            <w:pPr>
              <w:jc w:val="right"/>
              <w:spacing w:after="0"/>
              <w:rPr>
                <w:sz w:val="20"/>
                <w:szCs w:val="20"/>
                <w:color w:val="auto"/>
              </w:rPr>
            </w:pPr>
            <w:r>
              <w:rPr>
                <w:rFonts w:ascii="Arial" w:cs="Arial" w:eastAsia="Arial" w:hAnsi="Arial"/>
                <w:sz w:val="13"/>
                <w:szCs w:val="13"/>
                <w:color w:val="auto"/>
              </w:rPr>
              <w:t>10.69</w:t>
            </w:r>
          </w:p>
        </w:tc>
        <w:tc>
          <w:tcPr>
            <w:tcW w:w="1200" w:type="dxa"/>
            <w:vAlign w:val="bottom"/>
            <w:gridSpan w:val="3"/>
          </w:tcPr>
          <w:p>
            <w:pPr>
              <w:jc w:val="right"/>
              <w:ind w:right="320"/>
              <w:spacing w:after="0"/>
              <w:rPr>
                <w:sz w:val="20"/>
                <w:szCs w:val="20"/>
                <w:color w:val="auto"/>
              </w:rPr>
            </w:pPr>
            <w:r>
              <w:rPr>
                <w:rFonts w:ascii="Arial" w:cs="Arial" w:eastAsia="Arial" w:hAnsi="Arial"/>
                <w:sz w:val="13"/>
                <w:szCs w:val="13"/>
                <w:color w:val="auto"/>
              </w:rPr>
              <w:t>9.17</w:t>
            </w:r>
          </w:p>
        </w:tc>
        <w:tc>
          <w:tcPr>
            <w:tcW w:w="1140" w:type="dxa"/>
            <w:vAlign w:val="bottom"/>
          </w:tcPr>
          <w:p>
            <w:pPr>
              <w:jc w:val="right"/>
              <w:spacing w:after="0"/>
              <w:rPr>
                <w:sz w:val="20"/>
                <w:szCs w:val="20"/>
                <w:color w:val="auto"/>
              </w:rPr>
            </w:pPr>
            <w:r>
              <w:rPr>
                <w:rFonts w:ascii="Arial" w:cs="Arial" w:eastAsia="Arial" w:hAnsi="Arial"/>
                <w:sz w:val="13"/>
                <w:szCs w:val="13"/>
                <w:color w:val="auto"/>
              </w:rPr>
              <w:t>0</w:t>
            </w:r>
          </w:p>
        </w:tc>
        <w:tc>
          <w:tcPr>
            <w:tcW w:w="240" w:type="dxa"/>
            <w:vAlign w:val="bottom"/>
          </w:tcPr>
          <w:p>
            <w:pPr>
              <w:spacing w:after="0"/>
              <w:rPr>
                <w:sz w:val="19"/>
                <w:szCs w:val="19"/>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3"/>
                <w:szCs w:val="13"/>
                <w:color w:val="auto"/>
              </w:rPr>
              <w:t>(14)</w:t>
            </w:r>
          </w:p>
        </w:tc>
        <w:tc>
          <w:tcPr>
            <w:tcW w:w="580" w:type="dxa"/>
            <w:vAlign w:val="bottom"/>
          </w:tcPr>
          <w:p>
            <w:pPr>
              <w:jc w:val="right"/>
              <w:spacing w:after="0"/>
              <w:rPr>
                <w:sz w:val="20"/>
                <w:szCs w:val="20"/>
                <w:color w:val="auto"/>
              </w:rPr>
            </w:pPr>
            <w:r>
              <w:rPr>
                <w:rFonts w:ascii="Arial" w:cs="Arial" w:eastAsia="Arial" w:hAnsi="Arial"/>
                <w:sz w:val="13"/>
                <w:szCs w:val="13"/>
                <w:color w:val="auto"/>
              </w:rPr>
              <w:t>0.26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Third quarter</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10.94</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11.84</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9.02</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spacing w:after="0"/>
              <w:rPr>
                <w:sz w:val="20"/>
                <w:szCs w:val="20"/>
                <w:color w:val="auto"/>
              </w:rPr>
            </w:pPr>
            <w:r>
              <w:rPr>
                <w:rFonts w:ascii="Arial" w:cs="Arial" w:eastAsia="Arial" w:hAnsi="Arial"/>
                <w:sz w:val="13"/>
                <w:szCs w:val="13"/>
                <w:color w:val="auto"/>
              </w:rPr>
              <w:t>Second quarter</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11.07</w:t>
            </w:r>
          </w:p>
        </w:tc>
        <w:tc>
          <w:tcPr>
            <w:tcW w:w="560" w:type="dxa"/>
            <w:vAlign w:val="bottom"/>
          </w:tcPr>
          <w:p>
            <w:pPr>
              <w:jc w:val="right"/>
              <w:spacing w:after="0"/>
              <w:rPr>
                <w:sz w:val="20"/>
                <w:szCs w:val="20"/>
                <w:color w:val="auto"/>
              </w:rPr>
            </w:pPr>
            <w:r>
              <w:rPr>
                <w:rFonts w:ascii="Arial" w:cs="Arial" w:eastAsia="Arial" w:hAnsi="Arial"/>
                <w:sz w:val="13"/>
                <w:szCs w:val="13"/>
                <w:color w:val="auto"/>
              </w:rPr>
              <w:t>10.77</w:t>
            </w:r>
          </w:p>
        </w:tc>
        <w:tc>
          <w:tcPr>
            <w:tcW w:w="1200" w:type="dxa"/>
            <w:vAlign w:val="bottom"/>
            <w:gridSpan w:val="3"/>
          </w:tcPr>
          <w:p>
            <w:pPr>
              <w:jc w:val="right"/>
              <w:ind w:right="320"/>
              <w:spacing w:after="0"/>
              <w:rPr>
                <w:sz w:val="20"/>
                <w:szCs w:val="20"/>
                <w:color w:val="auto"/>
              </w:rPr>
            </w:pPr>
            <w:r>
              <w:rPr>
                <w:rFonts w:ascii="Arial" w:cs="Arial" w:eastAsia="Arial" w:hAnsi="Arial"/>
                <w:sz w:val="13"/>
                <w:szCs w:val="13"/>
                <w:color w:val="auto"/>
              </w:rPr>
              <w:t>8.88</w:t>
            </w: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(3)</w:t>
            </w:r>
          </w:p>
        </w:tc>
        <w:tc>
          <w:tcPr>
            <w:tcW w:w="1620" w:type="dxa"/>
            <w:vAlign w:val="bottom"/>
            <w:gridSpan w:val="2"/>
          </w:tcPr>
          <w:p>
            <w:pPr>
              <w:jc w:val="right"/>
              <w:ind w:right="420"/>
              <w:spacing w:after="0"/>
              <w:rPr>
                <w:sz w:val="20"/>
                <w:szCs w:val="20"/>
                <w:color w:val="auto"/>
              </w:rPr>
            </w:pPr>
            <w:r>
              <w:rPr>
                <w:rFonts w:ascii="Arial" w:cs="Arial" w:eastAsia="Arial" w:hAnsi="Arial"/>
                <w:sz w:val="13"/>
                <w:szCs w:val="13"/>
                <w:color w:val="auto"/>
              </w:rPr>
              <w:t>(20)</w:t>
            </w:r>
          </w:p>
        </w:tc>
        <w:tc>
          <w:tcPr>
            <w:tcW w:w="580" w:type="dxa"/>
            <w:vAlign w:val="bottom"/>
          </w:tcPr>
          <w:p>
            <w:pPr>
              <w:jc w:val="right"/>
              <w:spacing w:after="0"/>
              <w:rPr>
                <w:sz w:val="20"/>
                <w:szCs w:val="20"/>
                <w:color w:val="auto"/>
              </w:rPr>
            </w:pPr>
            <w:r>
              <w:rPr>
                <w:rFonts w:ascii="Arial" w:cs="Arial" w:eastAsia="Arial" w:hAnsi="Arial"/>
                <w:sz w:val="13"/>
                <w:szCs w:val="13"/>
                <w:color w:val="auto"/>
              </w:rPr>
              <w:t>0.26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quarter</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11.86</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7.63</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spacing w:after="0"/>
              <w:rPr>
                <w:sz w:val="20"/>
                <w:szCs w:val="20"/>
                <w:color w:val="auto"/>
              </w:rPr>
            </w:pPr>
            <w:r>
              <w:rPr>
                <w:rFonts w:ascii="Arial" w:cs="Arial" w:eastAsia="Arial" w:hAnsi="Arial"/>
                <w:sz w:val="13"/>
                <w:szCs w:val="13"/>
                <w:b w:val="1"/>
                <w:bCs w:val="1"/>
                <w:color w:val="auto"/>
              </w:rPr>
              <w:t>Fiscal year ended September 30, 2009</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11.85</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6.28</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(24)</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spacing w:after="0"/>
              <w:rPr>
                <w:sz w:val="20"/>
                <w:szCs w:val="20"/>
                <w:color w:val="auto"/>
              </w:rPr>
            </w:pPr>
            <w:r>
              <w:rPr>
                <w:rFonts w:ascii="Arial" w:cs="Arial" w:eastAsia="Arial" w:hAnsi="Arial"/>
                <w:sz w:val="13"/>
                <w:szCs w:val="13"/>
                <w:color w:val="auto"/>
              </w:rPr>
              <w:t>Third quarter</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11.72</w:t>
            </w:r>
          </w:p>
        </w:tc>
        <w:tc>
          <w:tcPr>
            <w:tcW w:w="560" w:type="dxa"/>
            <w:vAlign w:val="bottom"/>
          </w:tcPr>
          <w:p>
            <w:pPr>
              <w:jc w:val="right"/>
              <w:spacing w:after="0"/>
              <w:rPr>
                <w:sz w:val="20"/>
                <w:szCs w:val="20"/>
                <w:color w:val="auto"/>
              </w:rPr>
            </w:pPr>
            <w:r>
              <w:rPr>
                <w:rFonts w:ascii="Arial" w:cs="Arial" w:eastAsia="Arial" w:hAnsi="Arial"/>
                <w:sz w:val="13"/>
                <w:szCs w:val="13"/>
                <w:color w:val="auto"/>
              </w:rPr>
              <w:t>7.65</w:t>
            </w:r>
          </w:p>
        </w:tc>
        <w:tc>
          <w:tcPr>
            <w:tcW w:w="1200" w:type="dxa"/>
            <w:vAlign w:val="bottom"/>
            <w:gridSpan w:val="3"/>
          </w:tcPr>
          <w:p>
            <w:pPr>
              <w:jc w:val="right"/>
              <w:ind w:right="320"/>
              <w:spacing w:after="0"/>
              <w:rPr>
                <w:sz w:val="20"/>
                <w:szCs w:val="20"/>
                <w:color w:val="auto"/>
              </w:rPr>
            </w:pPr>
            <w:r>
              <w:rPr>
                <w:rFonts w:ascii="Arial" w:cs="Arial" w:eastAsia="Arial" w:hAnsi="Arial"/>
                <w:sz w:val="13"/>
                <w:szCs w:val="13"/>
                <w:color w:val="auto"/>
              </w:rPr>
              <w:t>3.85</w:t>
            </w: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(35)</w:t>
            </w:r>
          </w:p>
        </w:tc>
        <w:tc>
          <w:tcPr>
            <w:tcW w:w="1620" w:type="dxa"/>
            <w:vAlign w:val="bottom"/>
            <w:gridSpan w:val="2"/>
          </w:tcPr>
          <w:p>
            <w:pPr>
              <w:jc w:val="right"/>
              <w:ind w:right="420"/>
              <w:spacing w:after="0"/>
              <w:rPr>
                <w:sz w:val="20"/>
                <w:szCs w:val="20"/>
                <w:color w:val="auto"/>
              </w:rPr>
            </w:pPr>
            <w:r>
              <w:rPr>
                <w:rFonts w:ascii="Arial" w:cs="Arial" w:eastAsia="Arial" w:hAnsi="Arial"/>
                <w:sz w:val="13"/>
                <w:szCs w:val="13"/>
                <w:color w:val="auto"/>
              </w:rPr>
              <w:t>(67)</w:t>
            </w:r>
          </w:p>
        </w:tc>
        <w:tc>
          <w:tcPr>
            <w:tcW w:w="580" w:type="dxa"/>
            <w:vAlign w:val="bottom"/>
          </w:tcPr>
          <w:p>
            <w:pPr>
              <w:jc w:val="right"/>
              <w:spacing w:after="0"/>
              <w:rPr>
                <w:sz w:val="20"/>
                <w:szCs w:val="20"/>
                <w:color w:val="auto"/>
              </w:rPr>
            </w:pPr>
            <w:r>
              <w:rPr>
                <w:rFonts w:ascii="Arial" w:cs="Arial" w:eastAsia="Arial" w:hAnsi="Arial"/>
                <w:sz w:val="13"/>
                <w:szCs w:val="13"/>
                <w:color w:val="auto"/>
              </w:rPr>
              <w:t>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Second quarter</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12.00</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2.64</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(66)</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spacing w:after="0"/>
              <w:rPr>
                <w:sz w:val="20"/>
                <w:szCs w:val="20"/>
                <w:color w:val="auto"/>
              </w:rPr>
            </w:pPr>
            <w:r>
              <w:rPr>
                <w:rFonts w:ascii="Arial" w:cs="Arial" w:eastAsia="Arial" w:hAnsi="Arial"/>
                <w:sz w:val="13"/>
                <w:szCs w:val="13"/>
                <w:color w:val="auto"/>
              </w:rPr>
              <w:t>First quarter</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10.24</w:t>
            </w:r>
          </w:p>
        </w:tc>
        <w:tc>
          <w:tcPr>
            <w:tcW w:w="560" w:type="dxa"/>
            <w:vAlign w:val="bottom"/>
          </w:tcPr>
          <w:p>
            <w:pPr>
              <w:jc w:val="right"/>
              <w:spacing w:after="0"/>
              <w:rPr>
                <w:sz w:val="20"/>
                <w:szCs w:val="20"/>
                <w:color w:val="auto"/>
              </w:rPr>
            </w:pPr>
            <w:r>
              <w:rPr>
                <w:rFonts w:ascii="Arial" w:cs="Arial" w:eastAsia="Arial" w:hAnsi="Arial"/>
                <w:sz w:val="13"/>
                <w:szCs w:val="13"/>
                <w:color w:val="auto"/>
              </w:rPr>
              <w:t>7.81</w:t>
            </w:r>
          </w:p>
        </w:tc>
        <w:tc>
          <w:tcPr>
            <w:tcW w:w="1200" w:type="dxa"/>
            <w:vAlign w:val="bottom"/>
            <w:gridSpan w:val="3"/>
          </w:tcPr>
          <w:p>
            <w:pPr>
              <w:jc w:val="right"/>
              <w:ind w:right="320"/>
              <w:spacing w:after="0"/>
              <w:rPr>
                <w:sz w:val="20"/>
                <w:szCs w:val="20"/>
                <w:color w:val="auto"/>
              </w:rPr>
            </w:pPr>
            <w:r>
              <w:rPr>
                <w:rFonts w:ascii="Arial" w:cs="Arial" w:eastAsia="Arial" w:hAnsi="Arial"/>
                <w:sz w:val="13"/>
                <w:szCs w:val="13"/>
                <w:color w:val="auto"/>
              </w:rPr>
              <w:t>2.35</w:t>
            </w: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(24)</w:t>
            </w:r>
          </w:p>
        </w:tc>
        <w:tc>
          <w:tcPr>
            <w:tcW w:w="1620" w:type="dxa"/>
            <w:vAlign w:val="bottom"/>
            <w:gridSpan w:val="2"/>
          </w:tcPr>
          <w:p>
            <w:pPr>
              <w:jc w:val="right"/>
              <w:ind w:right="420"/>
              <w:spacing w:after="0"/>
              <w:rPr>
                <w:sz w:val="20"/>
                <w:szCs w:val="20"/>
                <w:color w:val="auto"/>
              </w:rPr>
            </w:pPr>
            <w:r>
              <w:rPr>
                <w:rFonts w:ascii="Arial" w:cs="Arial" w:eastAsia="Arial" w:hAnsi="Arial"/>
                <w:sz w:val="13"/>
                <w:szCs w:val="13"/>
                <w:color w:val="auto"/>
              </w:rPr>
              <w:t>(77)</w:t>
            </w:r>
          </w:p>
        </w:tc>
        <w:tc>
          <w:tcPr>
            <w:tcW w:w="580" w:type="dxa"/>
            <w:vAlign w:val="bottom"/>
          </w:tcPr>
          <w:p>
            <w:pPr>
              <w:jc w:val="right"/>
              <w:spacing w:after="0"/>
              <w:rPr>
                <w:sz w:val="20"/>
                <w:szCs w:val="20"/>
                <w:color w:val="auto"/>
              </w:rPr>
            </w:pPr>
            <w:r>
              <w:rPr>
                <w:rFonts w:ascii="Arial" w:cs="Arial" w:eastAsia="Arial" w:hAnsi="Arial"/>
                <w:sz w:val="13"/>
                <w:szCs w:val="13"/>
                <w:color w:val="auto"/>
              </w:rPr>
              <w:t>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Fiscal year ended September 30, 2008</w:t>
            </w: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spacing w:after="0"/>
              <w:rPr>
                <w:sz w:val="20"/>
                <w:szCs w:val="20"/>
                <w:color w:val="auto"/>
              </w:rPr>
            </w:pPr>
            <w:r>
              <w:rPr>
                <w:rFonts w:ascii="Arial" w:cs="Arial" w:eastAsia="Arial" w:hAnsi="Arial"/>
                <w:sz w:val="13"/>
                <w:szCs w:val="13"/>
                <w:color w:val="auto"/>
              </w:rPr>
              <w:t>Fourth quarter</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10.00</w:t>
            </w:r>
          </w:p>
        </w:tc>
        <w:tc>
          <w:tcPr>
            <w:tcW w:w="560" w:type="dxa"/>
            <w:vAlign w:val="bottom"/>
          </w:tcPr>
          <w:p>
            <w:pPr>
              <w:jc w:val="right"/>
              <w:spacing w:after="0"/>
              <w:rPr>
                <w:sz w:val="20"/>
                <w:szCs w:val="20"/>
                <w:color w:val="auto"/>
              </w:rPr>
            </w:pPr>
            <w:r>
              <w:rPr>
                <w:rFonts w:ascii="Arial" w:cs="Arial" w:eastAsia="Arial" w:hAnsi="Arial"/>
                <w:sz w:val="13"/>
                <w:szCs w:val="13"/>
                <w:color w:val="auto"/>
              </w:rPr>
              <w:t>8.50</w:t>
            </w:r>
          </w:p>
        </w:tc>
        <w:tc>
          <w:tcPr>
            <w:tcW w:w="1200" w:type="dxa"/>
            <w:vAlign w:val="bottom"/>
            <w:gridSpan w:val="3"/>
          </w:tcPr>
          <w:p>
            <w:pPr>
              <w:jc w:val="right"/>
              <w:ind w:right="320"/>
              <w:spacing w:after="0"/>
              <w:rPr>
                <w:sz w:val="20"/>
                <w:szCs w:val="20"/>
                <w:color w:val="auto"/>
              </w:rPr>
            </w:pPr>
            <w:r>
              <w:rPr>
                <w:rFonts w:ascii="Arial" w:cs="Arial" w:eastAsia="Arial" w:hAnsi="Arial"/>
                <w:sz w:val="13"/>
                <w:szCs w:val="13"/>
                <w:color w:val="auto"/>
              </w:rPr>
              <w:t>5.92</w:t>
            </w: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(15)</w:t>
            </w:r>
          </w:p>
        </w:tc>
        <w:tc>
          <w:tcPr>
            <w:tcW w:w="1620" w:type="dxa"/>
            <w:vAlign w:val="bottom"/>
            <w:gridSpan w:val="2"/>
          </w:tcPr>
          <w:p>
            <w:pPr>
              <w:jc w:val="right"/>
              <w:ind w:right="420"/>
              <w:spacing w:after="0"/>
              <w:rPr>
                <w:sz w:val="20"/>
                <w:szCs w:val="20"/>
                <w:color w:val="auto"/>
              </w:rPr>
            </w:pPr>
            <w:r>
              <w:rPr>
                <w:rFonts w:ascii="Arial" w:cs="Arial" w:eastAsia="Arial" w:hAnsi="Arial"/>
                <w:sz w:val="13"/>
                <w:szCs w:val="13"/>
                <w:color w:val="auto"/>
              </w:rPr>
              <w:t>(41)</w:t>
            </w:r>
          </w:p>
        </w:tc>
        <w:tc>
          <w:tcPr>
            <w:tcW w:w="580" w:type="dxa"/>
            <w:vAlign w:val="bottom"/>
          </w:tcPr>
          <w:p>
            <w:pPr>
              <w:jc w:val="right"/>
              <w:spacing w:after="0"/>
              <w:rPr>
                <w:sz w:val="20"/>
                <w:szCs w:val="20"/>
                <w:color w:val="auto"/>
              </w:rPr>
            </w:pPr>
            <w:r>
              <w:rPr>
                <w:rFonts w:ascii="Arial" w:cs="Arial" w:eastAsia="Arial" w:hAnsi="Arial"/>
                <w:sz w:val="13"/>
                <w:szCs w:val="13"/>
                <w:color w:val="auto"/>
              </w:rPr>
              <w:t>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Third quarter</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10.77</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7.05</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w:t>
            </w: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spacing w:after="0"/>
              <w:rPr>
                <w:sz w:val="20"/>
                <w:szCs w:val="20"/>
                <w:color w:val="auto"/>
              </w:rPr>
            </w:pPr>
            <w:r>
              <w:rPr>
                <w:rFonts w:ascii="Arial" w:cs="Arial" w:eastAsia="Arial" w:hAnsi="Arial"/>
                <w:sz w:val="13"/>
                <w:szCs w:val="13"/>
                <w:color w:val="auto"/>
              </w:rPr>
              <w:t>Second quarter</w:t>
            </w:r>
          </w:p>
        </w:tc>
        <w:tc>
          <w:tcPr>
            <w:tcW w:w="880" w:type="dxa"/>
            <w:vAlign w:val="bottom"/>
            <w:gridSpan w:val="2"/>
          </w:tcPr>
          <w:p>
            <w:pPr>
              <w:jc w:val="right"/>
              <w:ind w:right="320"/>
              <w:spacing w:after="0"/>
              <w:rPr>
                <w:sz w:val="20"/>
                <w:szCs w:val="20"/>
                <w:color w:val="auto"/>
              </w:rPr>
            </w:pPr>
            <w:r>
              <w:rPr>
                <w:rFonts w:ascii="Arial" w:cs="Arial" w:eastAsia="Arial" w:hAnsi="Arial"/>
                <w:sz w:val="13"/>
                <w:szCs w:val="13"/>
                <w:color w:val="auto"/>
              </w:rPr>
              <w:t>10.26</w:t>
            </w:r>
          </w:p>
        </w:tc>
        <w:tc>
          <w:tcPr>
            <w:tcW w:w="560" w:type="dxa"/>
            <w:vAlign w:val="bottom"/>
          </w:tcPr>
          <w:p>
            <w:pPr>
              <w:jc w:val="right"/>
              <w:spacing w:after="0"/>
              <w:rPr>
                <w:sz w:val="20"/>
                <w:szCs w:val="20"/>
                <w:color w:val="auto"/>
              </w:rPr>
            </w:pPr>
            <w:r>
              <w:rPr>
                <w:rFonts w:ascii="Arial" w:cs="Arial" w:eastAsia="Arial" w:hAnsi="Arial"/>
                <w:sz w:val="13"/>
                <w:szCs w:val="13"/>
                <w:color w:val="auto"/>
              </w:rPr>
              <w:t>11.31</w:t>
            </w:r>
          </w:p>
        </w:tc>
        <w:tc>
          <w:tcPr>
            <w:tcW w:w="1200" w:type="dxa"/>
            <w:vAlign w:val="bottom"/>
            <w:gridSpan w:val="3"/>
          </w:tcPr>
          <w:p>
            <w:pPr>
              <w:jc w:val="right"/>
              <w:ind w:right="320"/>
              <w:spacing w:after="0"/>
              <w:rPr>
                <w:sz w:val="20"/>
                <w:szCs w:val="20"/>
                <w:color w:val="auto"/>
              </w:rPr>
            </w:pPr>
            <w:r>
              <w:rPr>
                <w:rFonts w:ascii="Arial" w:cs="Arial" w:eastAsia="Arial" w:hAnsi="Arial"/>
                <w:sz w:val="13"/>
                <w:szCs w:val="13"/>
                <w:color w:val="auto"/>
              </w:rPr>
              <w:t>8.38</w:t>
            </w:r>
          </w:p>
        </w:tc>
        <w:tc>
          <w:tcPr>
            <w:tcW w:w="1140" w:type="dxa"/>
            <w:vAlign w:val="bottom"/>
          </w:tcPr>
          <w:p>
            <w:pPr>
              <w:jc w:val="right"/>
              <w:spacing w:after="0"/>
              <w:rPr>
                <w:sz w:val="20"/>
                <w:szCs w:val="20"/>
                <w:color w:val="auto"/>
              </w:rPr>
            </w:pPr>
            <w:r>
              <w:rPr>
                <w:rFonts w:ascii="Arial" w:cs="Arial" w:eastAsia="Arial" w:hAnsi="Arial"/>
                <w:sz w:val="13"/>
                <w:szCs w:val="13"/>
                <w:color w:val="auto"/>
              </w:rPr>
              <w:t>10</w:t>
            </w:r>
          </w:p>
        </w:tc>
        <w:tc>
          <w:tcPr>
            <w:tcW w:w="240" w:type="dxa"/>
            <w:vAlign w:val="bottom"/>
          </w:tcPr>
          <w:p>
            <w:pPr>
              <w:spacing w:after="0"/>
              <w:rPr>
                <w:sz w:val="19"/>
                <w:szCs w:val="19"/>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3"/>
                <w:szCs w:val="13"/>
                <w:color w:val="auto"/>
              </w:rPr>
              <w:t>(18)</w:t>
            </w:r>
          </w:p>
        </w:tc>
        <w:tc>
          <w:tcPr>
            <w:tcW w:w="580" w:type="dxa"/>
            <w:vAlign w:val="bottom"/>
          </w:tcPr>
          <w:p>
            <w:pPr>
              <w:jc w:val="right"/>
              <w:spacing w:after="0"/>
              <w:rPr>
                <w:sz w:val="20"/>
                <w:szCs w:val="20"/>
                <w:color w:val="auto"/>
              </w:rPr>
            </w:pPr>
            <w:r>
              <w:rPr>
                <w:rFonts w:ascii="Arial" w:cs="Arial" w:eastAsia="Arial" w:hAnsi="Arial"/>
                <w:sz w:val="13"/>
                <w:szCs w:val="13"/>
                <w:color w:val="auto"/>
              </w:rPr>
              <w:t>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4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First quarter</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12.07</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14.49</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9.08</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2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p>
      <w:pPr>
        <w:ind w:left="460" w:right="340" w:hanging="452"/>
        <w:spacing w:after="0" w:line="248" w:lineRule="auto"/>
        <w:tabs>
          <w:tab w:leader="none" w:pos="4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2"/>
        <w:spacing w:after="0"/>
        <w:tabs>
          <w:tab w:leader="none" w:pos="4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Calculated as of the respective high or low closing sales price divided by the quarter end NAV.</w:t>
      </w:r>
    </w:p>
    <w:p>
      <w:pPr>
        <w:spacing w:after="0" w:line="122" w:lineRule="exact"/>
        <w:rPr>
          <w:sz w:val="20"/>
          <w:szCs w:val="20"/>
          <w:color w:val="auto"/>
        </w:rPr>
      </w:pPr>
    </w:p>
    <w:p>
      <w:pPr>
        <w:ind w:right="180" w:firstLine="562"/>
        <w:spacing w:after="0" w:line="250" w:lineRule="auto"/>
        <w:rPr>
          <w:sz w:val="20"/>
          <w:szCs w:val="20"/>
          <w:color w:val="auto"/>
        </w:rPr>
      </w:pPr>
      <w:r>
        <w:rPr>
          <w:rFonts w:ascii="Arial" w:cs="Arial" w:eastAsia="Arial" w:hAnsi="Arial"/>
          <w:sz w:val="13"/>
          <w:szCs w:val="13"/>
          <w:color w:val="auto"/>
        </w:rPr>
        <w:t>Shares of BDCs may trade at a market price that is less than the NAV that is attributable to those shares. Our shares have traded above and below our NAV. Our shares closed on the NASDAQ Global Select Market at $10.61 and our NAV was $10.22 as of September 30, 2012. The possibility that our shares of common stock will trade at a discount from NAV or at a premium that is unsustainable over the long term is separate and distinct from the risk that our net asset value will decrease. It is not possible to predict whether our shares will trade at, above or below NAV in the future. As of November 13, 2012 we had 12 stockholders of record.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ectPr>
          <w:pgSz w:w="11900" w:h="16838" w:orient="portrait"/>
          <w:cols w:equalWidth="0" w:num="1">
            <w:col w:w="11240"/>
          </w:cols>
          <w:pgMar w:left="32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DISTRIBUTIONS</w:t>
      </w:r>
    </w:p>
    <w:p>
      <w:pPr>
        <w:spacing w:after="0" w:line="13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October 1, 2007 (See Note 8 to our Consolidated Financial Statements):</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820" w:type="dxa"/>
            <w:vAlign w:val="bottom"/>
            <w:vMerge w:val="restart"/>
          </w:tcPr>
          <w:p>
            <w:pPr>
              <w:spacing w:after="0"/>
              <w:rPr>
                <w:sz w:val="20"/>
                <w:szCs w:val="20"/>
                <w:color w:val="auto"/>
              </w:rPr>
            </w:pPr>
            <w:r>
              <w:rPr>
                <w:rFonts w:ascii="Arial" w:cs="Arial" w:eastAsia="Arial" w:hAnsi="Arial"/>
                <w:sz w:val="13"/>
                <w:szCs w:val="13"/>
                <w:b w:val="1"/>
                <w:bCs w:val="1"/>
                <w:color w:val="auto"/>
                <w:w w:val="95"/>
              </w:rPr>
              <w:t>Record Dates</w:t>
            </w:r>
          </w:p>
        </w:tc>
        <w:tc>
          <w:tcPr>
            <w:tcW w:w="6220" w:type="dxa"/>
            <w:vAlign w:val="bottom"/>
            <w:vMerge w:val="restart"/>
          </w:tcPr>
          <w:p>
            <w:pPr>
              <w:spacing w:after="0"/>
              <w:rPr>
                <w:sz w:val="13"/>
                <w:szCs w:val="13"/>
                <w:color w:val="auto"/>
              </w:rPr>
            </w:pPr>
          </w:p>
        </w:tc>
        <w:tc>
          <w:tcPr>
            <w:tcW w:w="920" w:type="dxa"/>
            <w:vAlign w:val="bottom"/>
            <w:vMerge w:val="restart"/>
          </w:tcPr>
          <w:p>
            <w:pPr>
              <w:spacing w:after="0"/>
              <w:rPr>
                <w:sz w:val="20"/>
                <w:szCs w:val="20"/>
                <w:color w:val="auto"/>
              </w:rPr>
            </w:pPr>
            <w:r>
              <w:rPr>
                <w:rFonts w:ascii="Arial" w:cs="Arial" w:eastAsia="Arial" w:hAnsi="Arial"/>
                <w:sz w:val="13"/>
                <w:szCs w:val="13"/>
                <w:b w:val="1"/>
                <w:bCs w:val="1"/>
                <w:color w:val="auto"/>
                <w:w w:val="96"/>
              </w:rPr>
              <w:t>Payment Dates</w:t>
            </w:r>
          </w:p>
        </w:tc>
        <w:tc>
          <w:tcPr>
            <w:tcW w:w="9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Dividends</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622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line="148" w:lineRule="exact"/>
              <w:rPr>
                <w:sz w:val="20"/>
                <w:szCs w:val="20"/>
                <w:color w:val="auto"/>
              </w:rPr>
            </w:pPr>
            <w:r>
              <w:rPr>
                <w:rFonts w:ascii="Arial" w:cs="Arial" w:eastAsia="Arial" w:hAnsi="Arial"/>
                <w:sz w:val="13"/>
                <w:szCs w:val="13"/>
                <w:b w:val="1"/>
                <w:bCs w:val="1"/>
                <w:color w:val="auto"/>
                <w:w w:val="94"/>
              </w:rPr>
              <w:t>Declared</w:t>
            </w:r>
          </w:p>
        </w:tc>
        <w:tc>
          <w:tcPr>
            <w:tcW w:w="0" w:type="dxa"/>
            <w:vAlign w:val="bottom"/>
          </w:tcPr>
          <w:p>
            <w:pPr>
              <w:spacing w:after="0"/>
              <w:rPr>
                <w:sz w:val="1"/>
                <w:szCs w:val="1"/>
                <w:color w:val="auto"/>
              </w:rPr>
            </w:pPr>
          </w:p>
        </w:tc>
      </w:tr>
      <w:tr>
        <w:trPr>
          <w:trHeight w:val="122"/>
        </w:trPr>
        <w:tc>
          <w:tcPr>
            <w:tcW w:w="704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3"/>
                <w:szCs w:val="13"/>
                <w:b w:val="1"/>
                <w:bCs w:val="1"/>
                <w:color w:val="auto"/>
              </w:rPr>
              <w:t>Fiscal year ended September 30, 2012</w:t>
            </w:r>
          </w:p>
        </w:tc>
        <w:tc>
          <w:tcPr>
            <w:tcW w:w="9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040" w:type="dxa"/>
            <w:vAlign w:val="bottom"/>
            <w:gridSpan w:val="2"/>
          </w:tcPr>
          <w:p>
            <w:pPr>
              <w:ind w:left="560"/>
              <w:spacing w:after="0"/>
              <w:rPr>
                <w:sz w:val="20"/>
                <w:szCs w:val="20"/>
                <w:color w:val="auto"/>
              </w:rPr>
            </w:pPr>
            <w:r>
              <w:rPr>
                <w:rFonts w:ascii="Arial" w:cs="Arial" w:eastAsia="Arial" w:hAnsi="Arial"/>
                <w:sz w:val="13"/>
                <w:szCs w:val="13"/>
                <w:color w:val="auto"/>
              </w:rPr>
              <w:t>September 20, 2012</w:t>
            </w:r>
          </w:p>
        </w:tc>
        <w:tc>
          <w:tcPr>
            <w:tcW w:w="1820" w:type="dxa"/>
            <w:vAlign w:val="bottom"/>
            <w:gridSpan w:val="2"/>
          </w:tcPr>
          <w:p>
            <w:pPr>
              <w:spacing w:after="0"/>
              <w:rPr>
                <w:sz w:val="20"/>
                <w:szCs w:val="20"/>
                <w:color w:val="auto"/>
              </w:rPr>
            </w:pPr>
            <w:r>
              <w:rPr>
                <w:rFonts w:ascii="Arial" w:cs="Arial" w:eastAsia="Arial" w:hAnsi="Arial"/>
                <w:sz w:val="13"/>
                <w:szCs w:val="13"/>
                <w:color w:val="auto"/>
              </w:rPr>
              <w:t>October 1, 2012</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June 21, 2012</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July 2, 2012</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40" w:type="dxa"/>
            <w:vAlign w:val="bottom"/>
            <w:gridSpan w:val="2"/>
          </w:tcPr>
          <w:p>
            <w:pPr>
              <w:ind w:left="560"/>
              <w:spacing w:after="0"/>
              <w:rPr>
                <w:sz w:val="20"/>
                <w:szCs w:val="20"/>
                <w:color w:val="auto"/>
              </w:rPr>
            </w:pPr>
            <w:r>
              <w:rPr>
                <w:rFonts w:ascii="Arial" w:cs="Arial" w:eastAsia="Arial" w:hAnsi="Arial"/>
                <w:sz w:val="13"/>
                <w:szCs w:val="13"/>
                <w:color w:val="auto"/>
              </w:rPr>
              <w:t>March 22, 2012</w:t>
            </w:r>
          </w:p>
        </w:tc>
        <w:tc>
          <w:tcPr>
            <w:tcW w:w="1820" w:type="dxa"/>
            <w:vAlign w:val="bottom"/>
            <w:gridSpan w:val="2"/>
          </w:tcPr>
          <w:p>
            <w:pPr>
              <w:spacing w:after="0"/>
              <w:rPr>
                <w:sz w:val="20"/>
                <w:szCs w:val="20"/>
                <w:color w:val="auto"/>
              </w:rPr>
            </w:pPr>
            <w:r>
              <w:rPr>
                <w:rFonts w:ascii="Arial" w:cs="Arial" w:eastAsia="Arial" w:hAnsi="Arial"/>
                <w:sz w:val="13"/>
                <w:szCs w:val="13"/>
                <w:color w:val="auto"/>
              </w:rPr>
              <w:t>April 2, 2012</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December 23, 2011</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January 3, 2012</w:t>
            </w: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40" w:type="dxa"/>
            <w:vAlign w:val="bottom"/>
            <w:gridSpan w:val="2"/>
          </w:tcPr>
          <w:p>
            <w:pPr>
              <w:ind w:left="560"/>
              <w:spacing w:after="0"/>
              <w:rPr>
                <w:sz w:val="20"/>
                <w:szCs w:val="20"/>
                <w:color w:val="auto"/>
              </w:rPr>
            </w:pPr>
            <w:r>
              <w:rPr>
                <w:rFonts w:ascii="Arial" w:cs="Arial" w:eastAsia="Arial" w:hAnsi="Arial"/>
                <w:sz w:val="13"/>
                <w:szCs w:val="13"/>
                <w:b w:val="1"/>
                <w:bCs w:val="1"/>
                <w:color w:val="auto"/>
              </w:rPr>
              <w:t>Total</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8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7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Fiscal year ended September 30, 2011</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40" w:type="dxa"/>
            <w:vAlign w:val="bottom"/>
            <w:gridSpan w:val="2"/>
          </w:tcPr>
          <w:p>
            <w:pPr>
              <w:ind w:left="560"/>
              <w:spacing w:after="0"/>
              <w:rPr>
                <w:sz w:val="20"/>
                <w:szCs w:val="20"/>
                <w:color w:val="auto"/>
              </w:rPr>
            </w:pPr>
            <w:r>
              <w:rPr>
                <w:rFonts w:ascii="Arial" w:cs="Arial" w:eastAsia="Arial" w:hAnsi="Arial"/>
                <w:sz w:val="13"/>
                <w:szCs w:val="13"/>
                <w:color w:val="auto"/>
              </w:rPr>
              <w:t>September 23, 2011</w:t>
            </w:r>
          </w:p>
        </w:tc>
        <w:tc>
          <w:tcPr>
            <w:tcW w:w="1820" w:type="dxa"/>
            <w:vAlign w:val="bottom"/>
            <w:gridSpan w:val="2"/>
          </w:tcPr>
          <w:p>
            <w:pPr>
              <w:spacing w:after="0"/>
              <w:rPr>
                <w:sz w:val="20"/>
                <w:szCs w:val="20"/>
                <w:color w:val="auto"/>
              </w:rPr>
            </w:pPr>
            <w:r>
              <w:rPr>
                <w:rFonts w:ascii="Arial" w:cs="Arial" w:eastAsia="Arial" w:hAnsi="Arial"/>
                <w:sz w:val="13"/>
                <w:szCs w:val="13"/>
                <w:color w:val="auto"/>
              </w:rPr>
              <w:t>October 3, 2011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June 20, 2011</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July 1, 2011</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40" w:type="dxa"/>
            <w:vAlign w:val="bottom"/>
            <w:gridSpan w:val="2"/>
          </w:tcPr>
          <w:p>
            <w:pPr>
              <w:ind w:left="560"/>
              <w:spacing w:after="0"/>
              <w:rPr>
                <w:sz w:val="20"/>
                <w:szCs w:val="20"/>
                <w:color w:val="auto"/>
              </w:rPr>
            </w:pPr>
            <w:r>
              <w:rPr>
                <w:rFonts w:ascii="Arial" w:cs="Arial" w:eastAsia="Arial" w:hAnsi="Arial"/>
                <w:sz w:val="13"/>
                <w:szCs w:val="13"/>
                <w:color w:val="auto"/>
              </w:rPr>
              <w:t>March 15, 2011</w:t>
            </w:r>
          </w:p>
        </w:tc>
        <w:tc>
          <w:tcPr>
            <w:tcW w:w="1820" w:type="dxa"/>
            <w:vAlign w:val="bottom"/>
            <w:gridSpan w:val="2"/>
          </w:tcPr>
          <w:p>
            <w:pPr>
              <w:spacing w:after="0"/>
              <w:rPr>
                <w:sz w:val="20"/>
                <w:szCs w:val="20"/>
                <w:color w:val="auto"/>
              </w:rPr>
            </w:pPr>
            <w:r>
              <w:rPr>
                <w:rFonts w:ascii="Arial" w:cs="Arial" w:eastAsia="Arial" w:hAnsi="Arial"/>
                <w:sz w:val="13"/>
                <w:szCs w:val="13"/>
                <w:color w:val="auto"/>
              </w:rPr>
              <w:t>April 1, 2011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December 17, 2010</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January 3, 2011</w:t>
            </w: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40" w:type="dxa"/>
            <w:vAlign w:val="bottom"/>
            <w:gridSpan w:val="2"/>
          </w:tcPr>
          <w:p>
            <w:pPr>
              <w:ind w:left="560"/>
              <w:spacing w:after="0"/>
              <w:rPr>
                <w:sz w:val="20"/>
                <w:szCs w:val="20"/>
                <w:color w:val="auto"/>
              </w:rPr>
            </w:pPr>
            <w:r>
              <w:rPr>
                <w:rFonts w:ascii="Arial" w:cs="Arial" w:eastAsia="Arial" w:hAnsi="Arial"/>
                <w:sz w:val="13"/>
                <w:szCs w:val="13"/>
                <w:b w:val="1"/>
                <w:bCs w:val="1"/>
                <w:color w:val="auto"/>
              </w:rPr>
              <w:t>Total</w:t>
            </w: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Fiscal year ended September 30, 2010</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40" w:type="dxa"/>
            <w:vAlign w:val="bottom"/>
            <w:gridSpan w:val="2"/>
          </w:tcPr>
          <w:p>
            <w:pPr>
              <w:ind w:left="560"/>
              <w:spacing w:after="0"/>
              <w:rPr>
                <w:sz w:val="20"/>
                <w:szCs w:val="20"/>
                <w:color w:val="auto"/>
              </w:rPr>
            </w:pPr>
            <w:r>
              <w:rPr>
                <w:rFonts w:ascii="Arial" w:cs="Arial" w:eastAsia="Arial" w:hAnsi="Arial"/>
                <w:sz w:val="13"/>
                <w:szCs w:val="13"/>
                <w:color w:val="auto"/>
              </w:rPr>
              <w:t>September 14, 2010</w:t>
            </w:r>
          </w:p>
        </w:tc>
        <w:tc>
          <w:tcPr>
            <w:tcW w:w="1820" w:type="dxa"/>
            <w:vAlign w:val="bottom"/>
            <w:gridSpan w:val="2"/>
          </w:tcPr>
          <w:p>
            <w:pPr>
              <w:spacing w:after="0"/>
              <w:rPr>
                <w:sz w:val="20"/>
                <w:szCs w:val="20"/>
                <w:color w:val="auto"/>
              </w:rPr>
            </w:pPr>
            <w:r>
              <w:rPr>
                <w:rFonts w:ascii="Arial" w:cs="Arial" w:eastAsia="Arial" w:hAnsi="Arial"/>
                <w:sz w:val="13"/>
                <w:szCs w:val="13"/>
                <w:color w:val="auto"/>
              </w:rPr>
              <w:t>October 1, 2010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June 24, 2010</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July 1, 2010</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40" w:type="dxa"/>
            <w:vAlign w:val="bottom"/>
            <w:gridSpan w:val="2"/>
          </w:tcPr>
          <w:p>
            <w:pPr>
              <w:ind w:left="560"/>
              <w:spacing w:after="0"/>
              <w:rPr>
                <w:sz w:val="20"/>
                <w:szCs w:val="20"/>
                <w:color w:val="auto"/>
              </w:rPr>
            </w:pPr>
            <w:r>
              <w:rPr>
                <w:rFonts w:ascii="Arial" w:cs="Arial" w:eastAsia="Arial" w:hAnsi="Arial"/>
                <w:sz w:val="13"/>
                <w:szCs w:val="13"/>
                <w:color w:val="auto"/>
              </w:rPr>
              <w:t>March 25, 2010</w:t>
            </w:r>
          </w:p>
        </w:tc>
        <w:tc>
          <w:tcPr>
            <w:tcW w:w="1820" w:type="dxa"/>
            <w:vAlign w:val="bottom"/>
            <w:gridSpan w:val="2"/>
          </w:tcPr>
          <w:p>
            <w:pPr>
              <w:spacing w:after="0"/>
              <w:rPr>
                <w:sz w:val="20"/>
                <w:szCs w:val="20"/>
                <w:color w:val="auto"/>
              </w:rPr>
            </w:pPr>
            <w:r>
              <w:rPr>
                <w:rFonts w:ascii="Arial" w:cs="Arial" w:eastAsia="Arial" w:hAnsi="Arial"/>
                <w:sz w:val="13"/>
                <w:szCs w:val="13"/>
                <w:color w:val="auto"/>
              </w:rPr>
              <w:t>April 1, 2010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December 24, 2009</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January 4, 2010</w:t>
            </w: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40" w:type="dxa"/>
            <w:vAlign w:val="bottom"/>
            <w:gridSpan w:val="2"/>
          </w:tcPr>
          <w:p>
            <w:pPr>
              <w:ind w:left="560"/>
              <w:spacing w:after="0"/>
              <w:rPr>
                <w:sz w:val="20"/>
                <w:szCs w:val="20"/>
                <w:color w:val="auto"/>
              </w:rPr>
            </w:pPr>
            <w:r>
              <w:rPr>
                <w:rFonts w:ascii="Arial" w:cs="Arial" w:eastAsia="Arial" w:hAnsi="Arial"/>
                <w:sz w:val="13"/>
                <w:szCs w:val="13"/>
                <w:b w:val="1"/>
                <w:bCs w:val="1"/>
                <w:color w:val="auto"/>
              </w:rPr>
              <w:t>Total</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8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7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Fiscal year ended September 30, 2009</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40" w:type="dxa"/>
            <w:vAlign w:val="bottom"/>
            <w:gridSpan w:val="2"/>
          </w:tcPr>
          <w:p>
            <w:pPr>
              <w:ind w:left="560"/>
              <w:spacing w:after="0"/>
              <w:rPr>
                <w:sz w:val="20"/>
                <w:szCs w:val="20"/>
                <w:color w:val="auto"/>
              </w:rPr>
            </w:pPr>
            <w:r>
              <w:rPr>
                <w:rFonts w:ascii="Arial" w:cs="Arial" w:eastAsia="Arial" w:hAnsi="Arial"/>
                <w:sz w:val="13"/>
                <w:szCs w:val="13"/>
                <w:color w:val="auto"/>
              </w:rPr>
              <w:t>September 8, 2009</w:t>
            </w:r>
          </w:p>
        </w:tc>
        <w:tc>
          <w:tcPr>
            <w:tcW w:w="1820" w:type="dxa"/>
            <w:vAlign w:val="bottom"/>
            <w:gridSpan w:val="2"/>
          </w:tcPr>
          <w:p>
            <w:pPr>
              <w:spacing w:after="0"/>
              <w:rPr>
                <w:sz w:val="20"/>
                <w:szCs w:val="20"/>
                <w:color w:val="auto"/>
              </w:rPr>
            </w:pPr>
            <w:r>
              <w:rPr>
                <w:rFonts w:ascii="Arial" w:cs="Arial" w:eastAsia="Arial" w:hAnsi="Arial"/>
                <w:sz w:val="13"/>
                <w:szCs w:val="13"/>
                <w:color w:val="auto"/>
              </w:rPr>
              <w:t>October 1, 2009</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June 24, 2009</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July 1, 2009</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40" w:type="dxa"/>
            <w:vAlign w:val="bottom"/>
            <w:gridSpan w:val="2"/>
          </w:tcPr>
          <w:p>
            <w:pPr>
              <w:ind w:left="560"/>
              <w:spacing w:after="0"/>
              <w:rPr>
                <w:sz w:val="20"/>
                <w:szCs w:val="20"/>
                <w:color w:val="auto"/>
              </w:rPr>
            </w:pPr>
            <w:r>
              <w:rPr>
                <w:rFonts w:ascii="Arial" w:cs="Arial" w:eastAsia="Arial" w:hAnsi="Arial"/>
                <w:sz w:val="13"/>
                <w:szCs w:val="13"/>
                <w:color w:val="auto"/>
              </w:rPr>
              <w:t>March 25, 2009</w:t>
            </w:r>
          </w:p>
        </w:tc>
        <w:tc>
          <w:tcPr>
            <w:tcW w:w="1820" w:type="dxa"/>
            <w:vAlign w:val="bottom"/>
            <w:gridSpan w:val="2"/>
          </w:tcPr>
          <w:p>
            <w:pPr>
              <w:spacing w:after="0"/>
              <w:rPr>
                <w:sz w:val="20"/>
                <w:szCs w:val="20"/>
                <w:color w:val="auto"/>
              </w:rPr>
            </w:pPr>
            <w:r>
              <w:rPr>
                <w:rFonts w:ascii="Arial" w:cs="Arial" w:eastAsia="Arial" w:hAnsi="Arial"/>
                <w:sz w:val="13"/>
                <w:szCs w:val="13"/>
                <w:color w:val="auto"/>
              </w:rPr>
              <w:t>April 1, 2009</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December 23, 2008</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January 4, 2009</w:t>
            </w: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40" w:type="dxa"/>
            <w:vAlign w:val="bottom"/>
            <w:gridSpan w:val="2"/>
          </w:tcPr>
          <w:p>
            <w:pPr>
              <w:ind w:left="560"/>
              <w:spacing w:after="0"/>
              <w:rPr>
                <w:sz w:val="20"/>
                <w:szCs w:val="20"/>
                <w:color w:val="auto"/>
              </w:rPr>
            </w:pPr>
            <w:r>
              <w:rPr>
                <w:rFonts w:ascii="Arial" w:cs="Arial" w:eastAsia="Arial" w:hAnsi="Arial"/>
                <w:sz w:val="13"/>
                <w:szCs w:val="13"/>
                <w:b w:val="1"/>
                <w:bCs w:val="1"/>
                <w:color w:val="auto"/>
              </w:rPr>
              <w:t>Total</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820" w:type="dxa"/>
            <w:vAlign w:val="bottom"/>
          </w:tcPr>
          <w:p>
            <w:pPr>
              <w:spacing w:after="0"/>
              <w:rPr>
                <w:sz w:val="4"/>
                <w:szCs w:val="4"/>
                <w:color w:val="auto"/>
              </w:rPr>
            </w:pPr>
          </w:p>
        </w:tc>
        <w:tc>
          <w:tcPr>
            <w:tcW w:w="6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7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Fiscal year ended September 30, 2008</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40" w:type="dxa"/>
            <w:vAlign w:val="bottom"/>
            <w:gridSpan w:val="2"/>
          </w:tcPr>
          <w:p>
            <w:pPr>
              <w:ind w:left="560"/>
              <w:spacing w:after="0"/>
              <w:rPr>
                <w:sz w:val="20"/>
                <w:szCs w:val="20"/>
                <w:color w:val="auto"/>
              </w:rPr>
            </w:pPr>
            <w:r>
              <w:rPr>
                <w:rFonts w:ascii="Arial" w:cs="Arial" w:eastAsia="Arial" w:hAnsi="Arial"/>
                <w:sz w:val="13"/>
                <w:szCs w:val="13"/>
                <w:color w:val="auto"/>
              </w:rPr>
              <w:t>September 24, 2008</w:t>
            </w:r>
          </w:p>
        </w:tc>
        <w:tc>
          <w:tcPr>
            <w:tcW w:w="1820" w:type="dxa"/>
            <w:vAlign w:val="bottom"/>
            <w:gridSpan w:val="2"/>
          </w:tcPr>
          <w:p>
            <w:pPr>
              <w:spacing w:after="0"/>
              <w:rPr>
                <w:sz w:val="20"/>
                <w:szCs w:val="20"/>
                <w:color w:val="auto"/>
              </w:rPr>
            </w:pPr>
            <w:r>
              <w:rPr>
                <w:rFonts w:ascii="Arial" w:cs="Arial" w:eastAsia="Arial" w:hAnsi="Arial"/>
                <w:sz w:val="13"/>
                <w:szCs w:val="13"/>
                <w:color w:val="auto"/>
              </w:rPr>
              <w:t>October 1, 2008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June 23, 2008</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June 30, 2008</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40" w:type="dxa"/>
            <w:vAlign w:val="bottom"/>
            <w:gridSpan w:val="2"/>
          </w:tcPr>
          <w:p>
            <w:pPr>
              <w:ind w:left="560"/>
              <w:spacing w:after="0"/>
              <w:rPr>
                <w:sz w:val="20"/>
                <w:szCs w:val="20"/>
                <w:color w:val="auto"/>
              </w:rPr>
            </w:pPr>
            <w:r>
              <w:rPr>
                <w:rFonts w:ascii="Arial" w:cs="Arial" w:eastAsia="Arial" w:hAnsi="Arial"/>
                <w:sz w:val="13"/>
                <w:szCs w:val="13"/>
                <w:color w:val="auto"/>
              </w:rPr>
              <w:t>March 24, 2008</w:t>
            </w:r>
          </w:p>
        </w:tc>
        <w:tc>
          <w:tcPr>
            <w:tcW w:w="1820" w:type="dxa"/>
            <w:vAlign w:val="bottom"/>
            <w:gridSpan w:val="2"/>
          </w:tcPr>
          <w:p>
            <w:pPr>
              <w:spacing w:after="0"/>
              <w:rPr>
                <w:sz w:val="20"/>
                <w:szCs w:val="20"/>
                <w:color w:val="auto"/>
              </w:rPr>
            </w:pPr>
            <w:r>
              <w:rPr>
                <w:rFonts w:ascii="Arial" w:cs="Arial" w:eastAsia="Arial" w:hAnsi="Arial"/>
                <w:sz w:val="13"/>
                <w:szCs w:val="13"/>
                <w:color w:val="auto"/>
              </w:rPr>
              <w:t>March 31, 2008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December 24, 2007</w:t>
            </w:r>
          </w:p>
        </w:tc>
        <w:tc>
          <w:tcPr>
            <w:tcW w:w="1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31, 2007</w:t>
            </w: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40" w:type="dxa"/>
            <w:vAlign w:val="bottom"/>
            <w:gridSpan w:val="2"/>
          </w:tcPr>
          <w:p>
            <w:pPr>
              <w:ind w:left="560"/>
              <w:spacing w:after="0"/>
              <w:rPr>
                <w:sz w:val="20"/>
                <w:szCs w:val="20"/>
                <w:color w:val="auto"/>
              </w:rPr>
            </w:pPr>
            <w:r>
              <w:rPr>
                <w:rFonts w:ascii="Arial" w:cs="Arial" w:eastAsia="Arial" w:hAnsi="Arial"/>
                <w:sz w:val="13"/>
                <w:szCs w:val="13"/>
                <w:b w:val="1"/>
                <w:bCs w:val="1"/>
                <w:color w:val="auto"/>
              </w:rPr>
              <w:t>Total</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0.90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right="120" w:firstLine="562"/>
        <w:spacing w:after="0" w:line="274" w:lineRule="auto"/>
        <w:rPr>
          <w:sz w:val="20"/>
          <w:szCs w:val="20"/>
          <w:color w:val="auto"/>
        </w:rPr>
      </w:pPr>
      <w:r>
        <w:rPr>
          <w:rFonts w:ascii="Arial" w:cs="Arial" w:eastAsia="Arial" w:hAnsi="Arial"/>
          <w:sz w:val="13"/>
          <w:szCs w:val="13"/>
          <w:color w:val="auto"/>
        </w:rPr>
        <w:t>In January 2013, a Form 1099-DIV will be sent to stockholders that will state the amount and composition of distributions and provide information with respect to appropriate tax treatment of our distributions.</w:t>
      </w:r>
    </w:p>
    <w:p>
      <w:pPr>
        <w:spacing w:after="0" w:line="91" w:lineRule="exact"/>
        <w:rPr>
          <w:sz w:val="20"/>
          <w:szCs w:val="20"/>
          <w:color w:val="auto"/>
        </w:rPr>
      </w:pPr>
    </w:p>
    <w:p>
      <w:pPr>
        <w:ind w:right="20" w:firstLine="337"/>
        <w:spacing w:after="0" w:line="274"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91"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ratio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Sale of Unregistered Securities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did not engage in any sales of unregistered securities during the fiscal year ended September 30, 2012.</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ectPr>
          <w:pgSz w:w="11900" w:h="16838" w:orient="portrait"/>
          <w:cols w:equalWidth="0" w:num="1">
            <w:col w:w="11220"/>
          </w:cols>
          <w:pgMar w:left="32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Stock Performance Graph</w:t>
      </w:r>
    </w:p>
    <w:p>
      <w:pPr>
        <w:spacing w:after="0" w:line="80" w:lineRule="exact"/>
        <w:rPr>
          <w:sz w:val="20"/>
          <w:szCs w:val="20"/>
          <w:color w:val="auto"/>
        </w:rPr>
      </w:pPr>
    </w:p>
    <w:p>
      <w:pPr>
        <w:ind w:firstLine="562"/>
        <w:spacing w:after="0" w:line="288" w:lineRule="auto"/>
        <w:rPr>
          <w:sz w:val="20"/>
          <w:szCs w:val="20"/>
          <w:color w:val="auto"/>
        </w:rPr>
      </w:pPr>
      <w:r>
        <w:rPr>
          <w:rFonts w:ascii="Arial" w:cs="Arial" w:eastAsia="Arial" w:hAnsi="Arial"/>
          <w:sz w:val="12"/>
          <w:szCs w:val="12"/>
          <w:color w:val="auto"/>
        </w:rPr>
        <w:t>This graph compares the return on our common stock with that of the Standard &amp; Poor’s 500 Stock Index and the Russell 2000 Financial Services Index, for the five year period from September 30, 2007 through September 30, 2012. The graph assumes that, in October 2007, a person invested $100 in each of our common stock, the S&amp;P 500 Index, and the Russell 2000 Financial Services Index. The graph measures total stockholder return, which takes into account both changes in stock price and dividends. It assumes that dividends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154305</wp:posOffset>
            </wp:positionV>
            <wp:extent cx="5074920" cy="27432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7492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 w:firstLine="562"/>
        <w:spacing w:after="0" w:line="274" w:lineRule="auto"/>
        <w:rPr>
          <w:sz w:val="20"/>
          <w:szCs w:val="20"/>
          <w:color w:val="auto"/>
        </w:rPr>
      </w:pPr>
      <w:r>
        <w:rPr>
          <w:rFonts w:ascii="Arial" w:cs="Arial" w:eastAsia="Arial" w:hAnsi="Arial"/>
          <w:sz w:val="13"/>
          <w:szCs w:val="13"/>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ectPr>
          <w:pgSz w:w="11900" w:h="16838" w:orient="portrait"/>
          <w:cols w:equalWidth="0" w:num="1">
            <w:col w:w="11220"/>
          </w:cols>
          <w:pgMar w:left="32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color w:val="auto"/>
        </w:rPr>
        <w:t>Selected Financial Data</w:t>
      </w:r>
    </w:p>
    <w:p>
      <w:pPr>
        <w:spacing w:after="0" w:line="82"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years. The Consolidated Statement of Operations data, Per share data and Consolidated Statement of Assets and Liabilities data for the fiscal years ended September 30, 2012, 2011, 2010, 2009 and 2008 are derived from our Consolidated Financial Statements which have been audited by KPMG LLP, our independent registered public accounting firm. These selected financial data should be read in conjunction with our Consolidated Financial Statements and related notes thereto and “Management’s Discussion and Analysis of Financial Condition and Results of Operations.”</w:t>
      </w:r>
    </w:p>
    <w:p>
      <w:pPr>
        <w:spacing w:after="0" w:line="17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3"/>
                <w:szCs w:val="13"/>
                <w:b w:val="1"/>
                <w:bCs w:val="1"/>
                <w:color w:val="auto"/>
              </w:rPr>
              <w:t>For the Years Ended September 30,</w:t>
            </w: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40" w:type="dxa"/>
            <w:vAlign w:val="bottom"/>
          </w:tcPr>
          <w:p>
            <w:pPr>
              <w:jc w:val="right"/>
              <w:ind w:right="453"/>
              <w:spacing w:after="0" w:line="142" w:lineRule="exact"/>
              <w:rPr>
                <w:sz w:val="20"/>
                <w:szCs w:val="20"/>
                <w:color w:val="auto"/>
              </w:rPr>
            </w:pPr>
            <w:r>
              <w:rPr>
                <w:rFonts w:ascii="Arial" w:cs="Arial" w:eastAsia="Arial" w:hAnsi="Arial"/>
                <w:sz w:val="13"/>
                <w:szCs w:val="13"/>
                <w:b w:val="1"/>
                <w:bCs w:val="1"/>
                <w:color w:val="auto"/>
              </w:rPr>
              <w:t>2012</w:t>
            </w:r>
          </w:p>
        </w:tc>
        <w:tc>
          <w:tcPr>
            <w:tcW w:w="1140" w:type="dxa"/>
            <w:vAlign w:val="bottom"/>
          </w:tcPr>
          <w:p>
            <w:pPr>
              <w:jc w:val="right"/>
              <w:ind w:right="453"/>
              <w:spacing w:after="0" w:line="142" w:lineRule="exact"/>
              <w:rPr>
                <w:sz w:val="20"/>
                <w:szCs w:val="20"/>
                <w:color w:val="auto"/>
              </w:rPr>
            </w:pPr>
            <w:r>
              <w:rPr>
                <w:rFonts w:ascii="Arial" w:cs="Arial" w:eastAsia="Arial" w:hAnsi="Arial"/>
                <w:sz w:val="13"/>
                <w:szCs w:val="13"/>
                <w:b w:val="1"/>
                <w:bCs w:val="1"/>
                <w:color w:val="auto"/>
              </w:rPr>
              <w:t>2011</w:t>
            </w:r>
          </w:p>
        </w:tc>
        <w:tc>
          <w:tcPr>
            <w:tcW w:w="1100" w:type="dxa"/>
            <w:vAlign w:val="bottom"/>
          </w:tcPr>
          <w:p>
            <w:pPr>
              <w:jc w:val="right"/>
              <w:ind w:right="393"/>
              <w:spacing w:after="0" w:line="142" w:lineRule="exact"/>
              <w:rPr>
                <w:sz w:val="20"/>
                <w:szCs w:val="20"/>
                <w:color w:val="auto"/>
              </w:rPr>
            </w:pPr>
            <w:r>
              <w:rPr>
                <w:rFonts w:ascii="Arial" w:cs="Arial" w:eastAsia="Arial" w:hAnsi="Arial"/>
                <w:sz w:val="13"/>
                <w:szCs w:val="13"/>
                <w:b w:val="1"/>
                <w:bCs w:val="1"/>
                <w:color w:val="auto"/>
              </w:rPr>
              <w:t>2010</w:t>
            </w:r>
          </w:p>
        </w:tc>
        <w:tc>
          <w:tcPr>
            <w:tcW w:w="1100" w:type="dxa"/>
            <w:vAlign w:val="bottom"/>
          </w:tcPr>
          <w:p>
            <w:pPr>
              <w:jc w:val="right"/>
              <w:ind w:right="393"/>
              <w:spacing w:after="0" w:line="142" w:lineRule="exact"/>
              <w:rPr>
                <w:sz w:val="20"/>
                <w:szCs w:val="20"/>
                <w:color w:val="auto"/>
              </w:rPr>
            </w:pPr>
            <w:r>
              <w:rPr>
                <w:rFonts w:ascii="Arial" w:cs="Arial" w:eastAsia="Arial" w:hAnsi="Arial"/>
                <w:sz w:val="13"/>
                <w:szCs w:val="13"/>
                <w:b w:val="1"/>
                <w:bCs w:val="1"/>
                <w:color w:val="auto"/>
              </w:rPr>
              <w:t>2009</w:t>
            </w:r>
          </w:p>
        </w:tc>
        <w:tc>
          <w:tcPr>
            <w:tcW w:w="760" w:type="dxa"/>
            <w:vAlign w:val="bottom"/>
          </w:tcPr>
          <w:p>
            <w:pPr>
              <w:jc w:val="right"/>
              <w:ind w:right="73"/>
              <w:spacing w:after="0" w:line="142" w:lineRule="exact"/>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(Dollar amounts in thousands, except per share data)</w:t>
            </w:r>
          </w:p>
        </w:tc>
        <w:tc>
          <w:tcPr>
            <w:tcW w:w="8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20"/>
                <w:szCs w:val="20"/>
                <w:color w:val="auto"/>
              </w:rPr>
            </w:pPr>
            <w:r>
              <w:rPr>
                <w:rFonts w:ascii="Arial" w:cs="Arial" w:eastAsia="Arial" w:hAnsi="Arial"/>
                <w:sz w:val="13"/>
                <w:szCs w:val="13"/>
                <w:b w:val="1"/>
                <w:bCs w:val="1"/>
                <w:color w:val="auto"/>
              </w:rPr>
              <w:t>Consolidated Statement of Operations data:</w:t>
            </w: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4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Total investment income</w:t>
            </w:r>
          </w:p>
        </w:tc>
        <w:tc>
          <w:tcPr>
            <w:tcW w:w="1760" w:type="dxa"/>
            <w:vAlign w:val="bottom"/>
            <w:gridSpan w:val="2"/>
            <w:shd w:val="clear" w:color="auto" w:fill="CCEEFF"/>
          </w:tcPr>
          <w:p>
            <w:pPr>
              <w:jc w:val="right"/>
              <w:ind w:right="273"/>
              <w:spacing w:after="0"/>
              <w:rPr>
                <w:sz w:val="20"/>
                <w:szCs w:val="20"/>
                <w:color w:val="auto"/>
              </w:rPr>
            </w:pPr>
            <w:r>
              <w:rPr>
                <w:rFonts w:ascii="Arial" w:cs="Arial" w:eastAsia="Arial" w:hAnsi="Arial"/>
                <w:sz w:val="13"/>
                <w:szCs w:val="13"/>
                <w:color w:val="auto"/>
              </w:rPr>
              <w:t>$  113,392</w:t>
            </w:r>
          </w:p>
        </w:tc>
        <w:tc>
          <w:tcPr>
            <w:tcW w:w="114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$ 91,738</w:t>
            </w: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$ 60,140</w:t>
            </w: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$ 45,119</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$ 39,811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spacing w:after="0"/>
              <w:rPr>
                <w:sz w:val="20"/>
                <w:szCs w:val="20"/>
                <w:color w:val="auto"/>
              </w:rPr>
            </w:pPr>
            <w:r>
              <w:rPr>
                <w:rFonts w:ascii="Arial" w:cs="Arial" w:eastAsia="Arial" w:hAnsi="Arial"/>
                <w:sz w:val="13"/>
                <w:szCs w:val="13"/>
                <w:color w:val="auto"/>
              </w:rPr>
              <w:t>Net expenses</w:t>
            </w:r>
          </w:p>
        </w:tc>
        <w:tc>
          <w:tcPr>
            <w:tcW w:w="1760" w:type="dxa"/>
            <w:vAlign w:val="bottom"/>
            <w:gridSpan w:val="2"/>
          </w:tcPr>
          <w:p>
            <w:pPr>
              <w:jc w:val="right"/>
              <w:ind w:right="273"/>
              <w:spacing w:after="0"/>
              <w:rPr>
                <w:sz w:val="20"/>
                <w:szCs w:val="20"/>
                <w:color w:val="auto"/>
              </w:rPr>
            </w:pPr>
            <w:r>
              <w:rPr>
                <w:rFonts w:ascii="Arial" w:cs="Arial" w:eastAsia="Arial" w:hAnsi="Arial"/>
                <w:sz w:val="13"/>
                <w:szCs w:val="13"/>
                <w:color w:val="auto"/>
              </w:rPr>
              <w:t>56,323</w:t>
            </w:r>
          </w:p>
        </w:tc>
        <w:tc>
          <w:tcPr>
            <w:tcW w:w="1140" w:type="dxa"/>
            <w:vAlign w:val="bottom"/>
          </w:tcPr>
          <w:p>
            <w:pPr>
              <w:jc w:val="right"/>
              <w:ind w:right="313"/>
              <w:spacing w:after="0"/>
              <w:rPr>
                <w:sz w:val="20"/>
                <w:szCs w:val="20"/>
                <w:color w:val="auto"/>
              </w:rPr>
            </w:pPr>
            <w:r>
              <w:rPr>
                <w:rFonts w:ascii="Arial" w:cs="Arial" w:eastAsia="Arial" w:hAnsi="Arial"/>
                <w:sz w:val="13"/>
                <w:szCs w:val="13"/>
                <w:color w:val="auto"/>
              </w:rPr>
              <w:t>39,093</w:t>
            </w:r>
          </w:p>
        </w:tc>
        <w:tc>
          <w:tcPr>
            <w:tcW w:w="1100" w:type="dxa"/>
            <w:vAlign w:val="bottom"/>
          </w:tcPr>
          <w:p>
            <w:pPr>
              <w:jc w:val="right"/>
              <w:ind w:right="273"/>
              <w:spacing w:after="0"/>
              <w:rPr>
                <w:sz w:val="20"/>
                <w:szCs w:val="20"/>
                <w:color w:val="auto"/>
              </w:rPr>
            </w:pPr>
            <w:r>
              <w:rPr>
                <w:rFonts w:ascii="Arial" w:cs="Arial" w:eastAsia="Arial" w:hAnsi="Arial"/>
                <w:sz w:val="13"/>
                <w:szCs w:val="13"/>
                <w:color w:val="auto"/>
              </w:rPr>
              <w:t>28,065</w:t>
            </w:r>
          </w:p>
        </w:tc>
        <w:tc>
          <w:tcPr>
            <w:tcW w:w="1100" w:type="dxa"/>
            <w:vAlign w:val="bottom"/>
          </w:tcPr>
          <w:p>
            <w:pPr>
              <w:jc w:val="right"/>
              <w:ind w:right="273"/>
              <w:spacing w:after="0"/>
              <w:rPr>
                <w:sz w:val="20"/>
                <w:szCs w:val="20"/>
                <w:color w:val="auto"/>
              </w:rPr>
            </w:pPr>
            <w:r>
              <w:rPr>
                <w:rFonts w:ascii="Arial" w:cs="Arial" w:eastAsia="Arial" w:hAnsi="Arial"/>
                <w:sz w:val="13"/>
                <w:szCs w:val="13"/>
                <w:color w:val="auto"/>
              </w:rPr>
              <w:t>22,400</w:t>
            </w:r>
          </w:p>
        </w:tc>
        <w:tc>
          <w:tcPr>
            <w:tcW w:w="760" w:type="dxa"/>
            <w:vAlign w:val="bottom"/>
          </w:tcPr>
          <w:p>
            <w:pPr>
              <w:jc w:val="right"/>
              <w:spacing w:after="0"/>
              <w:rPr>
                <w:sz w:val="20"/>
                <w:szCs w:val="20"/>
                <w:color w:val="auto"/>
              </w:rPr>
            </w:pPr>
            <w:r>
              <w:rPr>
                <w:rFonts w:ascii="Arial" w:cs="Arial" w:eastAsia="Arial" w:hAnsi="Arial"/>
                <w:sz w:val="13"/>
                <w:szCs w:val="13"/>
                <w:color w:val="auto"/>
              </w:rPr>
              <w:t>21,255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Net investment income</w:t>
            </w:r>
          </w:p>
        </w:tc>
        <w:tc>
          <w:tcPr>
            <w:tcW w:w="1760" w:type="dxa"/>
            <w:vAlign w:val="bottom"/>
            <w:gridSpan w:val="2"/>
            <w:shd w:val="clear" w:color="auto" w:fill="CCEEFF"/>
          </w:tcPr>
          <w:p>
            <w:pPr>
              <w:jc w:val="right"/>
              <w:ind w:right="273"/>
              <w:spacing w:after="0"/>
              <w:rPr>
                <w:sz w:val="20"/>
                <w:szCs w:val="20"/>
                <w:color w:val="auto"/>
              </w:rPr>
            </w:pPr>
            <w:r>
              <w:rPr>
                <w:rFonts w:ascii="Arial" w:cs="Arial" w:eastAsia="Arial" w:hAnsi="Arial"/>
                <w:sz w:val="13"/>
                <w:szCs w:val="13"/>
                <w:color w:val="auto"/>
              </w:rPr>
              <w:t>57,069</w:t>
            </w:r>
          </w:p>
        </w:tc>
        <w:tc>
          <w:tcPr>
            <w:tcW w:w="114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52,645</w:t>
            </w: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32,075</w:t>
            </w: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22,719</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18,556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spacing w:after="0"/>
              <w:rPr>
                <w:sz w:val="20"/>
                <w:szCs w:val="20"/>
                <w:color w:val="auto"/>
              </w:rPr>
            </w:pPr>
            <w:r>
              <w:rPr>
                <w:rFonts w:ascii="Arial" w:cs="Arial" w:eastAsia="Arial" w:hAnsi="Arial"/>
                <w:sz w:val="13"/>
                <w:szCs w:val="13"/>
                <w:color w:val="auto"/>
              </w:rPr>
              <w:t>Net realized and unrealized gain (loss)</w:t>
            </w:r>
          </w:p>
        </w:tc>
        <w:tc>
          <w:tcPr>
            <w:tcW w:w="1760" w:type="dxa"/>
            <w:vAlign w:val="bottom"/>
            <w:gridSpan w:val="2"/>
          </w:tcPr>
          <w:p>
            <w:pPr>
              <w:jc w:val="right"/>
              <w:ind w:right="273"/>
              <w:spacing w:after="0"/>
              <w:rPr>
                <w:sz w:val="20"/>
                <w:szCs w:val="20"/>
                <w:color w:val="auto"/>
              </w:rPr>
            </w:pPr>
            <w:r>
              <w:rPr>
                <w:rFonts w:ascii="Arial" w:cs="Arial" w:eastAsia="Arial" w:hAnsi="Arial"/>
                <w:sz w:val="13"/>
                <w:szCs w:val="13"/>
                <w:color w:val="auto"/>
              </w:rPr>
              <w:t>6,284</w:t>
            </w:r>
          </w:p>
        </w:tc>
        <w:tc>
          <w:tcPr>
            <w:tcW w:w="1140" w:type="dxa"/>
            <w:vAlign w:val="bottom"/>
          </w:tcPr>
          <w:p>
            <w:pPr>
              <w:jc w:val="right"/>
              <w:ind w:right="273"/>
              <w:spacing w:after="0"/>
              <w:rPr>
                <w:sz w:val="20"/>
                <w:szCs w:val="20"/>
                <w:color w:val="auto"/>
              </w:rPr>
            </w:pPr>
            <w:r>
              <w:rPr>
                <w:rFonts w:ascii="Arial" w:cs="Arial" w:eastAsia="Arial" w:hAnsi="Arial"/>
                <w:sz w:val="13"/>
                <w:szCs w:val="13"/>
                <w:color w:val="auto"/>
              </w:rPr>
              <w:t>(42,382)</w:t>
            </w:r>
          </w:p>
        </w:tc>
        <w:tc>
          <w:tcPr>
            <w:tcW w:w="1100" w:type="dxa"/>
            <w:vAlign w:val="bottom"/>
          </w:tcPr>
          <w:p>
            <w:pPr>
              <w:jc w:val="right"/>
              <w:ind w:right="233"/>
              <w:spacing w:after="0"/>
              <w:rPr>
                <w:sz w:val="20"/>
                <w:szCs w:val="20"/>
                <w:color w:val="auto"/>
              </w:rPr>
            </w:pPr>
            <w:r>
              <w:rPr>
                <w:rFonts w:ascii="Arial" w:cs="Arial" w:eastAsia="Arial" w:hAnsi="Arial"/>
                <w:sz w:val="13"/>
                <w:szCs w:val="13"/>
                <w:color w:val="auto"/>
              </w:rPr>
              <w:t>(15,539)</w:t>
            </w:r>
          </w:p>
        </w:tc>
        <w:tc>
          <w:tcPr>
            <w:tcW w:w="1100" w:type="dxa"/>
            <w:vAlign w:val="bottom"/>
          </w:tcPr>
          <w:p>
            <w:pPr>
              <w:jc w:val="right"/>
              <w:ind w:right="273"/>
              <w:spacing w:after="0"/>
              <w:rPr>
                <w:sz w:val="20"/>
                <w:szCs w:val="20"/>
                <w:color w:val="auto"/>
              </w:rPr>
            </w:pPr>
            <w:r>
              <w:rPr>
                <w:rFonts w:ascii="Arial" w:cs="Arial" w:eastAsia="Arial" w:hAnsi="Arial"/>
                <w:sz w:val="13"/>
                <w:szCs w:val="13"/>
                <w:color w:val="auto"/>
              </w:rPr>
              <w:t>13,083</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(59,259)</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Net increase(decrease) in net assets resulting from operations</w:t>
            </w:r>
          </w:p>
        </w:tc>
        <w:tc>
          <w:tcPr>
            <w:tcW w:w="1760" w:type="dxa"/>
            <w:vAlign w:val="bottom"/>
            <w:gridSpan w:val="2"/>
            <w:shd w:val="clear" w:color="auto" w:fill="CCEEFF"/>
          </w:tcPr>
          <w:p>
            <w:pPr>
              <w:jc w:val="right"/>
              <w:ind w:right="273"/>
              <w:spacing w:after="0"/>
              <w:rPr>
                <w:sz w:val="20"/>
                <w:szCs w:val="20"/>
                <w:color w:val="auto"/>
              </w:rPr>
            </w:pPr>
            <w:r>
              <w:rPr>
                <w:rFonts w:ascii="Arial" w:cs="Arial" w:eastAsia="Arial" w:hAnsi="Arial"/>
                <w:sz w:val="13"/>
                <w:szCs w:val="13"/>
                <w:color w:val="auto"/>
              </w:rPr>
              <w:t>63,353</w:t>
            </w:r>
          </w:p>
        </w:tc>
        <w:tc>
          <w:tcPr>
            <w:tcW w:w="114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10,263</w:t>
            </w: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16,535</w:t>
            </w: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35,802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(40,703)</w:t>
            </w:r>
          </w:p>
        </w:tc>
        <w:tc>
          <w:tcPr>
            <w:tcW w:w="0" w:type="dxa"/>
            <w:vAlign w:val="bottom"/>
          </w:tcPr>
          <w:p>
            <w:pPr>
              <w:spacing w:after="0"/>
              <w:rPr>
                <w:sz w:val="1"/>
                <w:szCs w:val="1"/>
                <w:color w:val="auto"/>
              </w:rPr>
            </w:pPr>
          </w:p>
        </w:tc>
      </w:tr>
      <w:tr>
        <w:trPr>
          <w:trHeight w:val="229"/>
        </w:trPr>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Per share data:</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Net asset value (at year end)</w:t>
            </w:r>
          </w:p>
        </w:tc>
        <w:tc>
          <w:tcPr>
            <w:tcW w:w="1760" w:type="dxa"/>
            <w:vAlign w:val="bottom"/>
            <w:gridSpan w:val="2"/>
            <w:shd w:val="clear" w:color="auto" w:fill="CCEEFF"/>
          </w:tcPr>
          <w:p>
            <w:pPr>
              <w:jc w:val="right"/>
              <w:ind w:right="273"/>
              <w:spacing w:after="0"/>
              <w:rPr>
                <w:sz w:val="20"/>
                <w:szCs w:val="20"/>
                <w:color w:val="auto"/>
              </w:rPr>
            </w:pPr>
            <w:r>
              <w:rPr>
                <w:rFonts w:ascii="Arial" w:cs="Arial" w:eastAsia="Arial" w:hAnsi="Arial"/>
                <w:sz w:val="13"/>
                <w:szCs w:val="13"/>
                <w:color w:val="auto"/>
              </w:rPr>
              <w:t>10.22</w:t>
            </w:r>
          </w:p>
        </w:tc>
        <w:tc>
          <w:tcPr>
            <w:tcW w:w="114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10.13</w:t>
            </w: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10.69</w:t>
            </w: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11.85</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4280" w:type="dxa"/>
            <w:vAlign w:val="bottom"/>
            <w:gridSpan w:val="2"/>
          </w:tcPr>
          <w:p>
            <w:pPr>
              <w:spacing w:after="0"/>
              <w:rPr>
                <w:sz w:val="20"/>
                <w:szCs w:val="20"/>
                <w:color w:val="auto"/>
              </w:rPr>
            </w:pPr>
            <w:r>
              <w:rPr>
                <w:rFonts w:ascii="Arial" w:cs="Arial" w:eastAsia="Arial" w:hAnsi="Arial"/>
                <w:sz w:val="13"/>
                <w:szCs w:val="13"/>
                <w:color w:val="auto"/>
              </w:rPr>
              <w:t>Net investment income</w:t>
            </w:r>
            <w:r>
              <w:rPr>
                <w:rFonts w:ascii="Arial" w:cs="Arial" w:eastAsia="Arial" w:hAnsi="Arial"/>
                <w:sz w:val="22"/>
                <w:szCs w:val="22"/>
                <w:color w:val="auto"/>
                <w:vertAlign w:val="superscript"/>
              </w:rPr>
              <w:t>(1)</w:t>
            </w:r>
          </w:p>
        </w:tc>
        <w:tc>
          <w:tcPr>
            <w:tcW w:w="1760" w:type="dxa"/>
            <w:vAlign w:val="bottom"/>
            <w:gridSpan w:val="2"/>
          </w:tcPr>
          <w:p>
            <w:pPr>
              <w:jc w:val="right"/>
              <w:ind w:right="273"/>
              <w:spacing w:after="0"/>
              <w:rPr>
                <w:sz w:val="20"/>
                <w:szCs w:val="20"/>
                <w:color w:val="auto"/>
              </w:rPr>
            </w:pPr>
            <w:r>
              <w:rPr>
                <w:rFonts w:ascii="Arial" w:cs="Arial" w:eastAsia="Arial" w:hAnsi="Arial"/>
                <w:sz w:val="13"/>
                <w:szCs w:val="13"/>
                <w:color w:val="auto"/>
              </w:rPr>
              <w:t>1.08</w:t>
            </w:r>
          </w:p>
        </w:tc>
        <w:tc>
          <w:tcPr>
            <w:tcW w:w="1140" w:type="dxa"/>
            <w:vAlign w:val="bottom"/>
          </w:tcPr>
          <w:p>
            <w:pPr>
              <w:jc w:val="right"/>
              <w:ind w:right="313"/>
              <w:spacing w:after="0"/>
              <w:rPr>
                <w:sz w:val="20"/>
                <w:szCs w:val="20"/>
                <w:color w:val="auto"/>
              </w:rPr>
            </w:pPr>
            <w:r>
              <w:rPr>
                <w:rFonts w:ascii="Arial" w:cs="Arial" w:eastAsia="Arial" w:hAnsi="Arial"/>
                <w:sz w:val="13"/>
                <w:szCs w:val="13"/>
                <w:color w:val="auto"/>
              </w:rPr>
              <w:t>1.25</w:t>
            </w:r>
          </w:p>
        </w:tc>
        <w:tc>
          <w:tcPr>
            <w:tcW w:w="1100" w:type="dxa"/>
            <w:vAlign w:val="bottom"/>
          </w:tcPr>
          <w:p>
            <w:pPr>
              <w:jc w:val="right"/>
              <w:ind w:right="273"/>
              <w:spacing w:after="0"/>
              <w:rPr>
                <w:sz w:val="20"/>
                <w:szCs w:val="20"/>
                <w:color w:val="auto"/>
              </w:rPr>
            </w:pPr>
            <w:r>
              <w:rPr>
                <w:rFonts w:ascii="Arial" w:cs="Arial" w:eastAsia="Arial" w:hAnsi="Arial"/>
                <w:sz w:val="13"/>
                <w:szCs w:val="13"/>
                <w:color w:val="auto"/>
              </w:rPr>
              <w:t>1.09</w:t>
            </w:r>
          </w:p>
        </w:tc>
        <w:tc>
          <w:tcPr>
            <w:tcW w:w="1100" w:type="dxa"/>
            <w:vAlign w:val="bottom"/>
          </w:tcPr>
          <w:p>
            <w:pPr>
              <w:jc w:val="right"/>
              <w:ind w:right="273"/>
              <w:spacing w:after="0"/>
              <w:rPr>
                <w:sz w:val="20"/>
                <w:szCs w:val="20"/>
                <w:color w:val="auto"/>
              </w:rPr>
            </w:pPr>
            <w:r>
              <w:rPr>
                <w:rFonts w:ascii="Arial" w:cs="Arial" w:eastAsia="Arial" w:hAnsi="Arial"/>
                <w:sz w:val="13"/>
                <w:szCs w:val="13"/>
                <w:color w:val="auto"/>
              </w:rPr>
              <w:t>1.08</w:t>
            </w:r>
          </w:p>
        </w:tc>
        <w:tc>
          <w:tcPr>
            <w:tcW w:w="760" w:type="dxa"/>
            <w:vAlign w:val="bottom"/>
          </w:tcPr>
          <w:p>
            <w:pPr>
              <w:jc w:val="right"/>
              <w:spacing w:after="0"/>
              <w:rPr>
                <w:sz w:val="20"/>
                <w:szCs w:val="20"/>
                <w:color w:val="auto"/>
              </w:rPr>
            </w:pPr>
            <w:r>
              <w:rPr>
                <w:rFonts w:ascii="Arial" w:cs="Arial" w:eastAsia="Arial" w:hAnsi="Arial"/>
                <w:sz w:val="13"/>
                <w:szCs w:val="13"/>
                <w:color w:val="auto"/>
              </w:rPr>
              <w:t>0.88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realized and unrealized gain (loss)</w:t>
            </w:r>
            <w:r>
              <w:rPr>
                <w:rFonts w:ascii="Arial" w:cs="Arial" w:eastAsia="Arial" w:hAnsi="Arial"/>
                <w:sz w:val="17"/>
                <w:szCs w:val="17"/>
                <w:color w:val="auto"/>
                <w:vertAlign w:val="superscript"/>
              </w:rPr>
              <w:t>(1)</w:t>
            </w:r>
          </w:p>
        </w:tc>
        <w:tc>
          <w:tcPr>
            <w:tcW w:w="1760" w:type="dxa"/>
            <w:vAlign w:val="bottom"/>
            <w:gridSpan w:val="2"/>
            <w:shd w:val="clear" w:color="auto" w:fill="CCEEFF"/>
          </w:tcPr>
          <w:p>
            <w:pPr>
              <w:jc w:val="right"/>
              <w:ind w:right="273"/>
              <w:spacing w:after="0"/>
              <w:rPr>
                <w:sz w:val="20"/>
                <w:szCs w:val="20"/>
                <w:color w:val="auto"/>
              </w:rPr>
            </w:pPr>
            <w:r>
              <w:rPr>
                <w:rFonts w:ascii="Arial" w:cs="Arial" w:eastAsia="Arial" w:hAnsi="Arial"/>
                <w:sz w:val="13"/>
                <w:szCs w:val="13"/>
                <w:color w:val="auto"/>
              </w:rPr>
              <w:t>0.12</w:t>
            </w:r>
          </w:p>
        </w:tc>
        <w:tc>
          <w:tcPr>
            <w:tcW w:w="114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(1.01)</w:t>
            </w:r>
          </w:p>
        </w:tc>
        <w:tc>
          <w:tcPr>
            <w:tcW w:w="110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rPr>
              <w:t>(0.53)</w:t>
            </w: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0.62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(2.81)</w:t>
            </w:r>
          </w:p>
        </w:tc>
        <w:tc>
          <w:tcPr>
            <w:tcW w:w="0" w:type="dxa"/>
            <w:vAlign w:val="bottom"/>
          </w:tcPr>
          <w:p>
            <w:pPr>
              <w:spacing w:after="0"/>
              <w:rPr>
                <w:sz w:val="1"/>
                <w:szCs w:val="1"/>
                <w:color w:val="auto"/>
              </w:rPr>
            </w:pPr>
          </w:p>
        </w:tc>
      </w:tr>
      <w:tr>
        <w:trPr>
          <w:trHeight w:val="283"/>
        </w:trPr>
        <w:tc>
          <w:tcPr>
            <w:tcW w:w="4280" w:type="dxa"/>
            <w:vAlign w:val="bottom"/>
            <w:gridSpan w:val="2"/>
          </w:tcPr>
          <w:p>
            <w:pPr>
              <w:spacing w:after="0"/>
              <w:rPr>
                <w:sz w:val="20"/>
                <w:szCs w:val="20"/>
                <w:color w:val="auto"/>
              </w:rPr>
            </w:pPr>
            <w:r>
              <w:rPr>
                <w:rFonts w:ascii="Arial" w:cs="Arial" w:eastAsia="Arial" w:hAnsi="Arial"/>
                <w:sz w:val="13"/>
                <w:szCs w:val="13"/>
                <w:color w:val="auto"/>
              </w:rPr>
              <w:t>Net increase (decrease) in net assets resulting from operations</w:t>
            </w:r>
            <w:r>
              <w:rPr>
                <w:rFonts w:ascii="Arial" w:cs="Arial" w:eastAsia="Arial" w:hAnsi="Arial"/>
                <w:sz w:val="22"/>
                <w:szCs w:val="22"/>
                <w:color w:val="auto"/>
                <w:vertAlign w:val="superscript"/>
              </w:rPr>
              <w:t>(1)</w:t>
            </w:r>
          </w:p>
        </w:tc>
        <w:tc>
          <w:tcPr>
            <w:tcW w:w="1760" w:type="dxa"/>
            <w:vAlign w:val="bottom"/>
            <w:gridSpan w:val="2"/>
          </w:tcPr>
          <w:p>
            <w:pPr>
              <w:jc w:val="right"/>
              <w:ind w:right="273"/>
              <w:spacing w:after="0"/>
              <w:rPr>
                <w:sz w:val="20"/>
                <w:szCs w:val="20"/>
                <w:color w:val="auto"/>
              </w:rPr>
            </w:pPr>
            <w:r>
              <w:rPr>
                <w:rFonts w:ascii="Arial" w:cs="Arial" w:eastAsia="Arial" w:hAnsi="Arial"/>
                <w:sz w:val="13"/>
                <w:szCs w:val="13"/>
                <w:color w:val="auto"/>
              </w:rPr>
              <w:t>1.20</w:t>
            </w:r>
          </w:p>
        </w:tc>
        <w:tc>
          <w:tcPr>
            <w:tcW w:w="1140" w:type="dxa"/>
            <w:vAlign w:val="bottom"/>
          </w:tcPr>
          <w:p>
            <w:pPr>
              <w:jc w:val="right"/>
              <w:ind w:right="313"/>
              <w:spacing w:after="0"/>
              <w:rPr>
                <w:sz w:val="20"/>
                <w:szCs w:val="20"/>
                <w:color w:val="auto"/>
              </w:rPr>
            </w:pPr>
            <w:r>
              <w:rPr>
                <w:rFonts w:ascii="Arial" w:cs="Arial" w:eastAsia="Arial" w:hAnsi="Arial"/>
                <w:sz w:val="13"/>
                <w:szCs w:val="13"/>
                <w:color w:val="auto"/>
              </w:rPr>
              <w:t>0.24</w:t>
            </w:r>
          </w:p>
        </w:tc>
        <w:tc>
          <w:tcPr>
            <w:tcW w:w="1100" w:type="dxa"/>
            <w:vAlign w:val="bottom"/>
          </w:tcPr>
          <w:p>
            <w:pPr>
              <w:jc w:val="right"/>
              <w:ind w:right="273"/>
              <w:spacing w:after="0"/>
              <w:rPr>
                <w:sz w:val="20"/>
                <w:szCs w:val="20"/>
                <w:color w:val="auto"/>
              </w:rPr>
            </w:pPr>
            <w:r>
              <w:rPr>
                <w:rFonts w:ascii="Arial" w:cs="Arial" w:eastAsia="Arial" w:hAnsi="Arial"/>
                <w:sz w:val="13"/>
                <w:szCs w:val="13"/>
                <w:color w:val="auto"/>
              </w:rPr>
              <w:t>0.56</w:t>
            </w:r>
          </w:p>
        </w:tc>
        <w:tc>
          <w:tcPr>
            <w:tcW w:w="1100" w:type="dxa"/>
            <w:vAlign w:val="bottom"/>
          </w:tcPr>
          <w:p>
            <w:pPr>
              <w:jc w:val="right"/>
              <w:ind w:right="273"/>
              <w:spacing w:after="0"/>
              <w:rPr>
                <w:sz w:val="20"/>
                <w:szCs w:val="20"/>
                <w:color w:val="auto"/>
              </w:rPr>
            </w:pPr>
            <w:r>
              <w:rPr>
                <w:rFonts w:ascii="Arial" w:cs="Arial" w:eastAsia="Arial" w:hAnsi="Arial"/>
                <w:sz w:val="13"/>
                <w:szCs w:val="13"/>
                <w:color w:val="auto"/>
              </w:rPr>
              <w:t>1.70</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Distributions declared</w:t>
            </w:r>
            <w:r>
              <w:rPr>
                <w:rFonts w:ascii="Arial" w:cs="Arial" w:eastAsia="Arial" w:hAnsi="Arial"/>
                <w:sz w:val="17"/>
                <w:szCs w:val="17"/>
                <w:color w:val="auto"/>
                <w:vertAlign w:val="superscript"/>
              </w:rPr>
              <w:t>(1),(2)</w:t>
            </w:r>
          </w:p>
        </w:tc>
        <w:tc>
          <w:tcPr>
            <w:tcW w:w="1760" w:type="dxa"/>
            <w:vAlign w:val="bottom"/>
            <w:gridSpan w:val="2"/>
            <w:shd w:val="clear" w:color="auto" w:fill="CCEEFF"/>
          </w:tcPr>
          <w:p>
            <w:pPr>
              <w:jc w:val="right"/>
              <w:ind w:right="273"/>
              <w:spacing w:after="0"/>
              <w:rPr>
                <w:sz w:val="20"/>
                <w:szCs w:val="20"/>
                <w:color w:val="auto"/>
              </w:rPr>
            </w:pPr>
            <w:r>
              <w:rPr>
                <w:rFonts w:ascii="Arial" w:cs="Arial" w:eastAsia="Arial" w:hAnsi="Arial"/>
                <w:sz w:val="13"/>
                <w:szCs w:val="13"/>
                <w:color w:val="auto"/>
              </w:rPr>
              <w:t>1.13</w:t>
            </w:r>
          </w:p>
        </w:tc>
        <w:tc>
          <w:tcPr>
            <w:tcW w:w="114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1.10</w:t>
            </w: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1.09</w:t>
            </w: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0.96</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Consolidated Statement of Assets and Liabilities data:</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760" w:type="dxa"/>
            <w:vAlign w:val="bottom"/>
            <w:gridSpan w:val="2"/>
            <w:shd w:val="clear" w:color="auto" w:fill="CCEEFF"/>
          </w:tcPr>
          <w:p>
            <w:pPr>
              <w:jc w:val="right"/>
              <w:ind w:right="273"/>
              <w:spacing w:after="0"/>
              <w:rPr>
                <w:sz w:val="20"/>
                <w:szCs w:val="20"/>
                <w:color w:val="auto"/>
              </w:rPr>
            </w:pPr>
            <w:r>
              <w:rPr>
                <w:rFonts w:ascii="Arial" w:cs="Arial" w:eastAsia="Arial" w:hAnsi="Arial"/>
                <w:sz w:val="13"/>
                <w:szCs w:val="13"/>
                <w:color w:val="auto"/>
              </w:rPr>
              <w:t>1,018,968</w:t>
            </w:r>
          </w:p>
        </w:tc>
        <w:tc>
          <w:tcPr>
            <w:tcW w:w="114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928,738</w:t>
            </w: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711,494</w:t>
            </w: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512,381</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419,811</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spacing w:after="0"/>
              <w:rPr>
                <w:sz w:val="20"/>
                <w:szCs w:val="20"/>
                <w:color w:val="auto"/>
              </w:rPr>
            </w:pPr>
            <w:r>
              <w:rPr>
                <w:rFonts w:ascii="Arial" w:cs="Arial" w:eastAsia="Arial" w:hAnsi="Arial"/>
                <w:sz w:val="13"/>
                <w:szCs w:val="13"/>
                <w:color w:val="auto"/>
              </w:rPr>
              <w:t>Total investment portfolio</w:t>
            </w:r>
          </w:p>
        </w:tc>
        <w:tc>
          <w:tcPr>
            <w:tcW w:w="1760" w:type="dxa"/>
            <w:vAlign w:val="bottom"/>
            <w:gridSpan w:val="2"/>
          </w:tcPr>
          <w:p>
            <w:pPr>
              <w:jc w:val="right"/>
              <w:ind w:right="273"/>
              <w:spacing w:after="0"/>
              <w:rPr>
                <w:sz w:val="20"/>
                <w:szCs w:val="20"/>
                <w:color w:val="auto"/>
              </w:rPr>
            </w:pPr>
            <w:r>
              <w:rPr>
                <w:rFonts w:ascii="Arial" w:cs="Arial" w:eastAsia="Arial" w:hAnsi="Arial"/>
                <w:sz w:val="13"/>
                <w:szCs w:val="13"/>
                <w:color w:val="auto"/>
              </w:rPr>
              <w:t>990,480</w:t>
            </w:r>
          </w:p>
        </w:tc>
        <w:tc>
          <w:tcPr>
            <w:tcW w:w="1140" w:type="dxa"/>
            <w:vAlign w:val="bottom"/>
          </w:tcPr>
          <w:p>
            <w:pPr>
              <w:jc w:val="right"/>
              <w:ind w:right="313"/>
              <w:spacing w:after="0"/>
              <w:rPr>
                <w:sz w:val="20"/>
                <w:szCs w:val="20"/>
                <w:color w:val="auto"/>
              </w:rPr>
            </w:pPr>
            <w:r>
              <w:rPr>
                <w:rFonts w:ascii="Arial" w:cs="Arial" w:eastAsia="Arial" w:hAnsi="Arial"/>
                <w:sz w:val="13"/>
                <w:szCs w:val="13"/>
                <w:color w:val="auto"/>
              </w:rPr>
              <w:t>827,549</w:t>
            </w:r>
          </w:p>
        </w:tc>
        <w:tc>
          <w:tcPr>
            <w:tcW w:w="1100" w:type="dxa"/>
            <w:vAlign w:val="bottom"/>
          </w:tcPr>
          <w:p>
            <w:pPr>
              <w:jc w:val="right"/>
              <w:ind w:right="273"/>
              <w:spacing w:after="0"/>
              <w:rPr>
                <w:sz w:val="20"/>
                <w:szCs w:val="20"/>
                <w:color w:val="auto"/>
              </w:rPr>
            </w:pPr>
            <w:r>
              <w:rPr>
                <w:rFonts w:ascii="Arial" w:cs="Arial" w:eastAsia="Arial" w:hAnsi="Arial"/>
                <w:sz w:val="13"/>
                <w:szCs w:val="13"/>
                <w:color w:val="auto"/>
              </w:rPr>
              <w:t>664,724</w:t>
            </w:r>
          </w:p>
        </w:tc>
        <w:tc>
          <w:tcPr>
            <w:tcW w:w="1100" w:type="dxa"/>
            <w:vAlign w:val="bottom"/>
          </w:tcPr>
          <w:p>
            <w:pPr>
              <w:jc w:val="right"/>
              <w:ind w:right="273"/>
              <w:spacing w:after="0"/>
              <w:rPr>
                <w:sz w:val="20"/>
                <w:szCs w:val="20"/>
                <w:color w:val="auto"/>
              </w:rPr>
            </w:pPr>
            <w:r>
              <w:rPr>
                <w:rFonts w:ascii="Arial" w:cs="Arial" w:eastAsia="Arial" w:hAnsi="Arial"/>
                <w:sz w:val="13"/>
                <w:szCs w:val="13"/>
                <w:color w:val="auto"/>
              </w:rPr>
              <w:t>469,760</w:t>
            </w:r>
          </w:p>
        </w:tc>
        <w:tc>
          <w:tcPr>
            <w:tcW w:w="760" w:type="dxa"/>
            <w:vAlign w:val="bottom"/>
          </w:tcPr>
          <w:p>
            <w:pPr>
              <w:jc w:val="right"/>
              <w:spacing w:after="0"/>
              <w:rPr>
                <w:sz w:val="20"/>
                <w:szCs w:val="20"/>
                <w:color w:val="auto"/>
              </w:rPr>
            </w:pPr>
            <w:r>
              <w:rPr>
                <w:rFonts w:ascii="Arial" w:cs="Arial" w:eastAsia="Arial" w:hAnsi="Arial"/>
                <w:sz w:val="13"/>
                <w:szCs w:val="13"/>
                <w:color w:val="auto"/>
              </w:rPr>
              <w:t>372,148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Borrowings outstanding</w:t>
            </w:r>
            <w:r>
              <w:rPr>
                <w:rFonts w:ascii="Arial" w:cs="Arial" w:eastAsia="Arial" w:hAnsi="Arial"/>
                <w:sz w:val="17"/>
                <w:szCs w:val="17"/>
                <w:color w:val="auto"/>
                <w:vertAlign w:val="superscript"/>
              </w:rPr>
              <w:t>(3)</w:t>
            </w:r>
          </w:p>
        </w:tc>
        <w:tc>
          <w:tcPr>
            <w:tcW w:w="1760" w:type="dxa"/>
            <w:vAlign w:val="bottom"/>
            <w:gridSpan w:val="2"/>
            <w:shd w:val="clear" w:color="auto" w:fill="CCEEFF"/>
          </w:tcPr>
          <w:p>
            <w:pPr>
              <w:jc w:val="right"/>
              <w:ind w:right="273"/>
              <w:spacing w:after="0"/>
              <w:rPr>
                <w:sz w:val="20"/>
                <w:szCs w:val="20"/>
                <w:color w:val="auto"/>
              </w:rPr>
            </w:pPr>
            <w:r>
              <w:rPr>
                <w:rFonts w:ascii="Arial" w:cs="Arial" w:eastAsia="Arial" w:hAnsi="Arial"/>
                <w:sz w:val="13"/>
                <w:szCs w:val="13"/>
                <w:color w:val="auto"/>
              </w:rPr>
              <w:t>294,452</w:t>
            </w:r>
          </w:p>
        </w:tc>
        <w:tc>
          <w:tcPr>
            <w:tcW w:w="114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388,792</w:t>
            </w: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233,641</w:t>
            </w: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175,475</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202,000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spacing w:after="0"/>
              <w:rPr>
                <w:sz w:val="20"/>
                <w:szCs w:val="20"/>
                <w:color w:val="auto"/>
              </w:rPr>
            </w:pPr>
            <w:r>
              <w:rPr>
                <w:rFonts w:ascii="Arial" w:cs="Arial" w:eastAsia="Arial" w:hAnsi="Arial"/>
                <w:sz w:val="13"/>
                <w:szCs w:val="13"/>
                <w:color w:val="auto"/>
              </w:rPr>
              <w:t>Payable for investments purchased and unfunded investments</w:t>
            </w:r>
          </w:p>
        </w:tc>
        <w:tc>
          <w:tcPr>
            <w:tcW w:w="1760" w:type="dxa"/>
            <w:vAlign w:val="bottom"/>
            <w:gridSpan w:val="2"/>
          </w:tcPr>
          <w:p>
            <w:pPr>
              <w:jc w:val="right"/>
              <w:ind w:right="273"/>
              <w:spacing w:after="0"/>
              <w:rPr>
                <w:sz w:val="20"/>
                <w:szCs w:val="20"/>
                <w:color w:val="auto"/>
              </w:rPr>
            </w:pPr>
            <w:r>
              <w:rPr>
                <w:rFonts w:ascii="Arial" w:cs="Arial" w:eastAsia="Arial" w:hAnsi="Arial"/>
                <w:sz w:val="13"/>
                <w:szCs w:val="13"/>
                <w:color w:val="auto"/>
              </w:rPr>
              <w:t>26,935</w:t>
            </w:r>
          </w:p>
        </w:tc>
        <w:tc>
          <w:tcPr>
            <w:tcW w:w="1140" w:type="dxa"/>
            <w:vAlign w:val="bottom"/>
          </w:tcPr>
          <w:p>
            <w:pPr>
              <w:jc w:val="right"/>
              <w:ind w:right="313"/>
              <w:spacing w:after="0"/>
              <w:rPr>
                <w:sz w:val="20"/>
                <w:szCs w:val="20"/>
                <w:color w:val="auto"/>
              </w:rPr>
            </w:pPr>
            <w:r>
              <w:rPr>
                <w:rFonts w:ascii="Arial" w:cs="Arial" w:eastAsia="Arial" w:hAnsi="Arial"/>
                <w:sz w:val="13"/>
                <w:szCs w:val="13"/>
                <w:color w:val="auto"/>
              </w:rPr>
              <w:t>55,705</w:t>
            </w:r>
          </w:p>
        </w:tc>
        <w:tc>
          <w:tcPr>
            <w:tcW w:w="1100" w:type="dxa"/>
            <w:vAlign w:val="bottom"/>
          </w:tcPr>
          <w:p>
            <w:pPr>
              <w:jc w:val="right"/>
              <w:ind w:right="273"/>
              <w:spacing w:after="0"/>
              <w:rPr>
                <w:sz w:val="20"/>
                <w:szCs w:val="20"/>
                <w:color w:val="auto"/>
              </w:rPr>
            </w:pPr>
            <w:r>
              <w:rPr>
                <w:rFonts w:ascii="Arial" w:cs="Arial" w:eastAsia="Arial" w:hAnsi="Arial"/>
                <w:sz w:val="13"/>
                <w:szCs w:val="13"/>
                <w:color w:val="auto"/>
              </w:rPr>
              <w:t>74,988</w:t>
            </w:r>
          </w:p>
        </w:tc>
        <w:tc>
          <w:tcPr>
            <w:tcW w:w="1100" w:type="dxa"/>
            <w:vAlign w:val="bottom"/>
          </w:tcPr>
          <w:p>
            <w:pPr>
              <w:jc w:val="right"/>
              <w:ind w:right="273"/>
              <w:spacing w:after="0"/>
              <w:rPr>
                <w:sz w:val="20"/>
                <w:szCs w:val="20"/>
                <w:color w:val="auto"/>
              </w:rPr>
            </w:pPr>
            <w:r>
              <w:rPr>
                <w:rFonts w:ascii="Arial" w:cs="Arial" w:eastAsia="Arial" w:hAnsi="Arial"/>
                <w:sz w:val="13"/>
                <w:szCs w:val="13"/>
                <w:color w:val="auto"/>
              </w:rPr>
              <w:t>25,821</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4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3"/>
                <w:szCs w:val="13"/>
                <w:color w:val="auto"/>
              </w:rPr>
              <w:t>Total net asset value</w:t>
            </w:r>
          </w:p>
        </w:tc>
        <w:tc>
          <w:tcPr>
            <w:tcW w:w="1760" w:type="dxa"/>
            <w:vAlign w:val="bottom"/>
            <w:gridSpan w:val="2"/>
            <w:shd w:val="clear" w:color="auto" w:fill="CCEEFF"/>
          </w:tcPr>
          <w:p>
            <w:pPr>
              <w:jc w:val="right"/>
              <w:ind w:right="273"/>
              <w:spacing w:after="0"/>
              <w:rPr>
                <w:sz w:val="20"/>
                <w:szCs w:val="20"/>
                <w:color w:val="auto"/>
              </w:rPr>
            </w:pPr>
            <w:r>
              <w:rPr>
                <w:rFonts w:ascii="Arial" w:cs="Arial" w:eastAsia="Arial" w:hAnsi="Arial"/>
                <w:sz w:val="13"/>
                <w:szCs w:val="13"/>
                <w:color w:val="auto"/>
              </w:rPr>
              <w:t>669,717</w:t>
            </w:r>
          </w:p>
        </w:tc>
        <w:tc>
          <w:tcPr>
            <w:tcW w:w="114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rPr>
              <w:t>462,657</w:t>
            </w: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386,575</w:t>
            </w:r>
          </w:p>
        </w:tc>
        <w:tc>
          <w:tcPr>
            <w:tcW w:w="110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300,580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210,728</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spacing w:after="0"/>
              <w:rPr>
                <w:sz w:val="20"/>
                <w:szCs w:val="20"/>
                <w:color w:val="auto"/>
              </w:rPr>
            </w:pPr>
            <w:r>
              <w:rPr>
                <w:rFonts w:ascii="Arial" w:cs="Arial" w:eastAsia="Arial" w:hAnsi="Arial"/>
                <w:sz w:val="13"/>
                <w:szCs w:val="13"/>
                <w:b w:val="1"/>
                <w:bCs w:val="1"/>
                <w:color w:val="auto"/>
              </w:rPr>
              <w:t>Other data:</w:t>
            </w: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Total return</w:t>
            </w:r>
            <w:r>
              <w:rPr>
                <w:rFonts w:ascii="Arial" w:cs="Arial" w:eastAsia="Arial" w:hAnsi="Arial"/>
                <w:sz w:val="17"/>
                <w:szCs w:val="17"/>
                <w:color w:val="auto"/>
                <w:vertAlign w:val="superscript"/>
              </w:rPr>
              <w:t>(4)</w:t>
            </w:r>
          </w:p>
        </w:tc>
        <w:tc>
          <w:tcPr>
            <w:tcW w:w="176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28.71%</w:t>
            </w:r>
          </w:p>
        </w:tc>
        <w:tc>
          <w:tcPr>
            <w:tcW w:w="114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(7.37)%</w:t>
            </w: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44.79%</w:t>
            </w:r>
          </w:p>
        </w:tc>
        <w:tc>
          <w:tcPr>
            <w:tcW w:w="110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30.39%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(38.58)%</w:t>
            </w:r>
          </w:p>
        </w:tc>
        <w:tc>
          <w:tcPr>
            <w:tcW w:w="0" w:type="dxa"/>
            <w:vAlign w:val="bottom"/>
          </w:tcPr>
          <w:p>
            <w:pPr>
              <w:spacing w:after="0"/>
              <w:rPr>
                <w:sz w:val="1"/>
                <w:szCs w:val="1"/>
                <w:color w:val="auto"/>
              </w:rPr>
            </w:pPr>
          </w:p>
        </w:tc>
      </w:tr>
      <w:tr>
        <w:trPr>
          <w:trHeight w:val="284"/>
        </w:trPr>
        <w:tc>
          <w:tcPr>
            <w:tcW w:w="4280" w:type="dxa"/>
            <w:vAlign w:val="bottom"/>
            <w:gridSpan w:val="2"/>
          </w:tcPr>
          <w:p>
            <w:pPr>
              <w:spacing w:after="0"/>
              <w:rPr>
                <w:sz w:val="20"/>
                <w:szCs w:val="20"/>
                <w:color w:val="auto"/>
              </w:rPr>
            </w:pPr>
            <w:r>
              <w:rPr>
                <w:rFonts w:ascii="Arial" w:cs="Arial" w:eastAsia="Arial" w:hAnsi="Arial"/>
                <w:sz w:val="13"/>
                <w:szCs w:val="13"/>
                <w:color w:val="auto"/>
              </w:rPr>
              <w:t>Number of portfolio companies (at year end)</w:t>
            </w:r>
            <w:r>
              <w:rPr>
                <w:rFonts w:ascii="Arial" w:cs="Arial" w:eastAsia="Arial" w:hAnsi="Arial"/>
                <w:sz w:val="22"/>
                <w:szCs w:val="22"/>
                <w:color w:val="auto"/>
                <w:vertAlign w:val="superscript"/>
              </w:rPr>
              <w:t>(5)</w:t>
            </w:r>
          </w:p>
        </w:tc>
        <w:tc>
          <w:tcPr>
            <w:tcW w:w="1760" w:type="dxa"/>
            <w:vAlign w:val="bottom"/>
            <w:gridSpan w:val="2"/>
          </w:tcPr>
          <w:p>
            <w:pPr>
              <w:jc w:val="right"/>
              <w:ind w:right="273"/>
              <w:spacing w:after="0"/>
              <w:rPr>
                <w:sz w:val="20"/>
                <w:szCs w:val="20"/>
                <w:color w:val="auto"/>
              </w:rPr>
            </w:pPr>
            <w:r>
              <w:rPr>
                <w:rFonts w:ascii="Arial" w:cs="Arial" w:eastAsia="Arial" w:hAnsi="Arial"/>
                <w:sz w:val="13"/>
                <w:szCs w:val="13"/>
                <w:color w:val="auto"/>
              </w:rPr>
              <w:t>54</w:t>
            </w:r>
          </w:p>
        </w:tc>
        <w:tc>
          <w:tcPr>
            <w:tcW w:w="1140" w:type="dxa"/>
            <w:vAlign w:val="bottom"/>
          </w:tcPr>
          <w:p>
            <w:pPr>
              <w:jc w:val="right"/>
              <w:ind w:right="313"/>
              <w:spacing w:after="0"/>
              <w:rPr>
                <w:sz w:val="20"/>
                <w:szCs w:val="20"/>
                <w:color w:val="auto"/>
              </w:rPr>
            </w:pPr>
            <w:r>
              <w:rPr>
                <w:rFonts w:ascii="Arial" w:cs="Arial" w:eastAsia="Arial" w:hAnsi="Arial"/>
                <w:sz w:val="13"/>
                <w:szCs w:val="13"/>
                <w:color w:val="auto"/>
              </w:rPr>
              <w:t>48</w:t>
            </w:r>
          </w:p>
        </w:tc>
        <w:tc>
          <w:tcPr>
            <w:tcW w:w="1100" w:type="dxa"/>
            <w:vAlign w:val="bottom"/>
          </w:tcPr>
          <w:p>
            <w:pPr>
              <w:jc w:val="right"/>
              <w:ind w:right="273"/>
              <w:spacing w:after="0"/>
              <w:rPr>
                <w:sz w:val="20"/>
                <w:szCs w:val="20"/>
                <w:color w:val="auto"/>
              </w:rPr>
            </w:pPr>
            <w:r>
              <w:rPr>
                <w:rFonts w:ascii="Arial" w:cs="Arial" w:eastAsia="Arial" w:hAnsi="Arial"/>
                <w:sz w:val="13"/>
                <w:szCs w:val="13"/>
                <w:color w:val="auto"/>
              </w:rPr>
              <w:t>43</w:t>
            </w:r>
          </w:p>
        </w:tc>
        <w:tc>
          <w:tcPr>
            <w:tcW w:w="1100" w:type="dxa"/>
            <w:vAlign w:val="bottom"/>
          </w:tcPr>
          <w:p>
            <w:pPr>
              <w:jc w:val="right"/>
              <w:ind w:right="273"/>
              <w:spacing w:after="0"/>
              <w:rPr>
                <w:sz w:val="20"/>
                <w:szCs w:val="20"/>
                <w:color w:val="auto"/>
              </w:rPr>
            </w:pPr>
            <w:r>
              <w:rPr>
                <w:rFonts w:ascii="Arial" w:cs="Arial" w:eastAsia="Arial" w:hAnsi="Arial"/>
                <w:sz w:val="13"/>
                <w:szCs w:val="13"/>
                <w:color w:val="auto"/>
              </w:rPr>
              <w:t>42</w:t>
            </w:r>
          </w:p>
        </w:tc>
        <w:tc>
          <w:tcPr>
            <w:tcW w:w="760" w:type="dxa"/>
            <w:vAlign w:val="bottom"/>
          </w:tcPr>
          <w:p>
            <w:pPr>
              <w:jc w:val="right"/>
              <w:spacing w:after="0"/>
              <w:rPr>
                <w:sz w:val="20"/>
                <w:szCs w:val="20"/>
                <w:color w:val="auto"/>
              </w:rPr>
            </w:pPr>
            <w:r>
              <w:rPr>
                <w:rFonts w:ascii="Arial" w:cs="Arial" w:eastAsia="Arial" w:hAnsi="Arial"/>
                <w:sz w:val="13"/>
                <w:szCs w:val="13"/>
                <w:color w:val="auto"/>
              </w:rPr>
              <w:t>37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Yield on debt portfolio (at year end)</w:t>
            </w:r>
            <w:r>
              <w:rPr>
                <w:rFonts w:ascii="Arial" w:cs="Arial" w:eastAsia="Arial" w:hAnsi="Arial"/>
                <w:sz w:val="17"/>
                <w:szCs w:val="17"/>
                <w:color w:val="auto"/>
                <w:vertAlign w:val="superscript"/>
              </w:rPr>
              <w:t>(5)</w:t>
            </w:r>
          </w:p>
        </w:tc>
        <w:tc>
          <w:tcPr>
            <w:tcW w:w="176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13.2%</w:t>
            </w:r>
          </w:p>
        </w:tc>
        <w:tc>
          <w:tcPr>
            <w:tcW w:w="114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rPr>
              <w:t>13.3%</w:t>
            </w:r>
          </w:p>
        </w:tc>
        <w:tc>
          <w:tcPr>
            <w:tcW w:w="11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12.7%</w:t>
            </w:r>
          </w:p>
        </w:tc>
        <w:tc>
          <w:tcPr>
            <w:tcW w:w="110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rPr>
              <w:t>11.4%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6370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185"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Based on the weighted average shares outstanding for the respective years.</w:t>
      </w:r>
    </w:p>
    <w:p>
      <w:pPr>
        <w:spacing w:after="0" w:line="11" w:lineRule="exact"/>
        <w:rPr>
          <w:rFonts w:ascii="Arial" w:cs="Arial" w:eastAsia="Arial" w:hAnsi="Arial"/>
          <w:sz w:val="13"/>
          <w:szCs w:val="13"/>
          <w:color w:val="auto"/>
        </w:rPr>
      </w:pPr>
    </w:p>
    <w:p>
      <w:pPr>
        <w:ind w:left="460" w:hanging="452"/>
        <w:spacing w:after="0"/>
        <w:tabs>
          <w:tab w:leader="none" w:pos="4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Determined based on taxable income calculated in accordance with income tax regulations which may differ from amounts determined under GAAP.</w:t>
      </w:r>
    </w:p>
    <w:p>
      <w:pPr>
        <w:ind w:left="460" w:hanging="452"/>
        <w:spacing w:after="0"/>
        <w:tabs>
          <w:tab w:leader="none" w:pos="4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At fair value in the case of our Credit Facility (except for 2008).</w:t>
      </w:r>
    </w:p>
    <w:p>
      <w:pPr>
        <w:ind w:left="460" w:hanging="452"/>
        <w:spacing w:after="0"/>
        <w:tabs>
          <w:tab w:leader="none" w:pos="4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Based on the change in market price per share during the periods and takes into account dividends and distributions, if any, reinvested in accordance with our dividend reinvestment plan.</w:t>
      </w:r>
    </w:p>
    <w:p>
      <w:pPr>
        <w:ind w:left="460" w:hanging="452"/>
        <w:spacing w:after="0"/>
        <w:tabs>
          <w:tab w:leader="none" w:pos="4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82"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This Report, including Management’s Discussion and Analysis of Financial Condition and Results of Operations, contains statements that constitute forward-looking statements, which relate to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6" w:lineRule="exact"/>
        <w:rPr>
          <w:sz w:val="20"/>
          <w:szCs w:val="20"/>
          <w:color w:val="auto"/>
        </w:rPr>
      </w:pPr>
    </w:p>
    <w:p>
      <w:pPr>
        <w:ind w:left="1900" w:hanging="772"/>
        <w:spacing w:after="0"/>
        <w:tabs>
          <w:tab w:leader="none" w:pos="19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our future operating results;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our business prospects and the prospects of our prospective portfolio companies;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dependence of our future success on the general economy and its impact on the industries in which we invest;</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impact of a protracted decline in the liquidity of credit markets on our business;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impact of investments that we expect to make;</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impact of fluctuations in interest rates on our business and our portfolio companies;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our contractual arrangements and relationships with third parties;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valuation of our investments in portfolio companies, particularly those having no liquid trading market;</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ability of our prospective portfolio companies to achieve their objectives;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our expected financings and investments;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adequacy of our cash resources and working capital;</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timing of cash flows, if any, from the operations of our prospective portfolio companies;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ability of our Investment Adviser to locate suitable investments for us and to monitor and administer our investments; and</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impact of future legislation and regulation on our business and our portfolio companies.</w:t>
      </w:r>
    </w:p>
    <w:p>
      <w:pPr>
        <w:spacing w:after="0" w:line="134" w:lineRule="exact"/>
        <w:rPr>
          <w:sz w:val="20"/>
          <w:szCs w:val="20"/>
          <w:color w:val="auto"/>
        </w:rPr>
      </w:pPr>
    </w:p>
    <w:p>
      <w:pPr>
        <w:jc w:val="both"/>
        <w:ind w:right="300" w:firstLine="562"/>
        <w:spacing w:after="0" w:line="256" w:lineRule="auto"/>
        <w:rPr>
          <w:sz w:val="20"/>
          <w:szCs w:val="20"/>
          <w:color w:val="auto"/>
        </w:rPr>
      </w:pPr>
      <w:r>
        <w:rPr>
          <w:rFonts w:ascii="Arial" w:cs="Arial" w:eastAsia="Arial" w:hAnsi="Arial"/>
          <w:sz w:val="13"/>
          <w:szCs w:val="13"/>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02" w:lineRule="exact"/>
        <w:rPr>
          <w:sz w:val="20"/>
          <w:szCs w:val="20"/>
          <w:color w:val="auto"/>
        </w:rPr>
      </w:pPr>
    </w:p>
    <w:p>
      <w:pPr>
        <w:ind w:right="120" w:firstLine="562"/>
        <w:spacing w:after="0" w:line="250" w:lineRule="auto"/>
        <w:rPr>
          <w:sz w:val="20"/>
          <w:szCs w:val="20"/>
          <w:color w:val="auto"/>
        </w:rPr>
      </w:pPr>
      <w:r>
        <w:rPr>
          <w:rFonts w:ascii="Arial" w:cs="Arial" w:eastAsia="Arial" w:hAnsi="Arial"/>
          <w:sz w:val="13"/>
          <w:szCs w:val="13"/>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06" w:lineRule="exact"/>
        <w:rPr>
          <w:sz w:val="20"/>
          <w:szCs w:val="20"/>
          <w:color w:val="auto"/>
        </w:rPr>
      </w:pPr>
    </w:p>
    <w:p>
      <w:pPr>
        <w:ind w:right="220" w:firstLine="562"/>
        <w:spacing w:after="0" w:line="288" w:lineRule="auto"/>
        <w:rPr>
          <w:sz w:val="20"/>
          <w:szCs w:val="20"/>
          <w:color w:val="auto"/>
        </w:rPr>
      </w:pPr>
      <w:r>
        <w:rPr>
          <w:rFonts w:ascii="Arial" w:cs="Arial" w:eastAsia="Arial" w:hAnsi="Arial"/>
          <w:sz w:val="12"/>
          <w:szCs w:val="12"/>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84"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You should understand that under Section 27A(b)(2)(B) of the Securities Act, and Section 21E(b)(2)(B) of the Exchange Act, the “safe harbor” provisions of the Private Securities Litigation Reform Act of 1995 do not apply to statements made in periodic reports we file under the Exchange Act.</w:t>
      </w:r>
    </w:p>
    <w:p>
      <w:pPr>
        <w:spacing w:after="0" w:line="91" w:lineRule="exact"/>
        <w:rPr>
          <w:sz w:val="20"/>
          <w:szCs w:val="20"/>
          <w:color w:val="auto"/>
        </w:rPr>
      </w:pPr>
    </w:p>
    <w:p>
      <w:pPr>
        <w:ind w:right="520" w:firstLine="562"/>
        <w:spacing w:after="0" w:line="274" w:lineRule="auto"/>
        <w:rPr>
          <w:sz w:val="20"/>
          <w:szCs w:val="20"/>
          <w:color w:val="auto"/>
        </w:rPr>
      </w:pPr>
      <w:r>
        <w:rPr>
          <w:rFonts w:ascii="Arial" w:cs="Arial" w:eastAsia="Arial" w:hAnsi="Arial"/>
          <w:sz w:val="13"/>
          <w:szCs w:val="13"/>
          <w:color w:val="auto"/>
        </w:rPr>
        <w:t>The following analysis of our financial condition and results of operations should be read in conjunction with our Consolidated Financial Statements and the related notes thereto contained elsewhere in this Report.</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Overview</w:t>
      </w:r>
    </w:p>
    <w:p>
      <w:pPr>
        <w:spacing w:after="0" w:line="80" w:lineRule="exact"/>
        <w:rPr>
          <w:sz w:val="20"/>
          <w:szCs w:val="20"/>
          <w:color w:val="auto"/>
        </w:rPr>
      </w:pPr>
    </w:p>
    <w:p>
      <w:pPr>
        <w:ind w:right="100" w:firstLine="562"/>
        <w:spacing w:after="0" w:line="274"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ectPr>
          <w:pgSz w:w="11900" w:h="16838" w:orient="portrait"/>
          <w:cols w:equalWidth="0" w:num="1">
            <w:col w:w="11240"/>
          </w:cols>
          <w:pgMar w:left="32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60" w:firstLine="562"/>
        <w:spacing w:after="0" w:line="245" w:lineRule="auto"/>
        <w:rPr>
          <w:sz w:val="20"/>
          <w:szCs w:val="20"/>
          <w:color w:val="auto"/>
        </w:rPr>
      </w:pPr>
      <w:r>
        <w:rPr>
          <w:rFonts w:ascii="Arial" w:cs="Arial" w:eastAsia="Arial" w:hAnsi="Arial"/>
          <w:sz w:val="13"/>
          <w:szCs w:val="13"/>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0" w:lineRule="exact"/>
        <w:rPr>
          <w:sz w:val="20"/>
          <w:szCs w:val="20"/>
          <w:color w:val="auto"/>
        </w:rPr>
      </w:pPr>
    </w:p>
    <w:p>
      <w:pPr>
        <w:ind w:right="40" w:firstLine="562"/>
        <w:spacing w:after="0" w:line="273" w:lineRule="auto"/>
        <w:rPr>
          <w:sz w:val="20"/>
          <w:szCs w:val="20"/>
          <w:color w:val="auto"/>
        </w:rPr>
      </w:pPr>
      <w:r>
        <w:rPr>
          <w:rFonts w:ascii="Arial" w:cs="Arial" w:eastAsia="Arial" w:hAnsi="Arial"/>
          <w:sz w:val="12"/>
          <w:szCs w:val="12"/>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several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Organization and Structure of PennantPark Investment Corporation</w:t>
      </w:r>
    </w:p>
    <w:p>
      <w:pPr>
        <w:spacing w:after="0" w:line="80" w:lineRule="exact"/>
        <w:rPr>
          <w:sz w:val="20"/>
          <w:szCs w:val="20"/>
          <w:color w:val="auto"/>
        </w:rPr>
      </w:pPr>
    </w:p>
    <w:p>
      <w:pPr>
        <w:ind w:right="60" w:firstLine="562"/>
        <w:spacing w:after="0" w:line="278" w:lineRule="auto"/>
        <w:rPr>
          <w:sz w:val="20"/>
          <w:szCs w:val="20"/>
          <w:color w:val="auto"/>
        </w:rPr>
      </w:pPr>
      <w:r>
        <w:rPr>
          <w:rFonts w:ascii="Arial" w:cs="Arial" w:eastAsia="Arial" w:hAnsi="Arial"/>
          <w:sz w:val="12"/>
          <w:szCs w:val="12"/>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hold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intend to continue to be treated as a RIC and qualify annually under the Code.</w:t>
      </w:r>
    </w:p>
    <w:p>
      <w:pPr>
        <w:spacing w:after="0" w:line="90" w:lineRule="exact"/>
        <w:rPr>
          <w:sz w:val="20"/>
          <w:szCs w:val="20"/>
          <w:color w:val="auto"/>
        </w:rPr>
      </w:pPr>
    </w:p>
    <w:p>
      <w:pPr>
        <w:jc w:val="both"/>
        <w:ind w:right="20" w:firstLine="562"/>
        <w:spacing w:after="0" w:line="256" w:lineRule="auto"/>
        <w:rPr>
          <w:sz w:val="20"/>
          <w:szCs w:val="20"/>
          <w:color w:val="auto"/>
        </w:rPr>
      </w:pPr>
      <w:r>
        <w:rPr>
          <w:rFonts w:ascii="Arial" w:cs="Arial" w:eastAsia="Arial" w:hAnsi="Arial"/>
          <w:sz w:val="13"/>
          <w:szCs w:val="13"/>
          <w:color w:val="auto"/>
        </w:rPr>
        <w:t>Our wholly owned subsidiary, SBIC LP, was organized as a Delaware limited partnership in May 2010 and received a license from the SBA to operate as an SBIC, under Section 301(c) of the 1958 Act, in July 2010. SBIC LP’s objective is to generate both current income and capital appreciation through debt and equity investments generally by investing with us in SBA eligible businesses that meet the investment criteria used by PennantPark Investment.</w:t>
      </w:r>
    </w:p>
    <w:p>
      <w:pPr>
        <w:spacing w:after="0" w:line="102"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SBIC LP under its investment management agreement. The SBIC LP investment management agreement does not affect the management and incentive fees on a consolidated basis. We have also entered into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LP under its administration agreement with us. Our board of directors, a majority of whom are independent of us, and the Investment Adviser, supervise our activities.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Revenues</w:t>
      </w:r>
    </w:p>
    <w:p>
      <w:pPr>
        <w:spacing w:after="0" w:line="80"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generate revenue in the form of interest income on the debt securities we hold. Capital gains, if any, are recorded on a trade basis on investments held in our portfolio.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OID origination, structuring or diligence fees, fees for providing managerial assistance and possibly consulting fees.</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Expenses</w:t>
      </w:r>
    </w:p>
    <w:p>
      <w:pPr>
        <w:spacing w:after="0" w:line="80" w:lineRule="exact"/>
        <w:rPr>
          <w:sz w:val="20"/>
          <w:szCs w:val="20"/>
          <w:color w:val="auto"/>
        </w:rPr>
      </w:pPr>
    </w:p>
    <w:p>
      <w:pPr>
        <w:jc w:val="both"/>
        <w:ind w:right="200" w:firstLine="562"/>
        <w:spacing w:after="0" w:line="288" w:lineRule="auto"/>
        <w:rPr>
          <w:sz w:val="20"/>
          <w:szCs w:val="20"/>
          <w:color w:val="auto"/>
        </w:rPr>
      </w:pPr>
      <w:r>
        <w:rPr>
          <w:rFonts w:ascii="Arial" w:cs="Arial" w:eastAsia="Arial" w:hAnsi="Arial"/>
          <w:sz w:val="12"/>
          <w:szCs w:val="12"/>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and SBA debentures. We bear all other direct or indirect costs and expenses of our operations and transactions, including:</w:t>
      </w:r>
    </w:p>
    <w:p>
      <w:pPr>
        <w:spacing w:after="0" w:line="97" w:lineRule="exact"/>
        <w:rPr>
          <w:sz w:val="20"/>
          <w:szCs w:val="20"/>
          <w:color w:val="auto"/>
        </w:rPr>
      </w:pPr>
    </w:p>
    <w:p>
      <w:pPr>
        <w:ind w:left="5560" w:right="4040" w:hanging="4432"/>
        <w:spacing w:after="0" w:line="513" w:lineRule="auto"/>
        <w:tabs>
          <w:tab w:leader="none" w:pos="1902"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cost of calculating our net asset value, including the cost of any third-party valuation services; 43</w:t>
      </w:r>
    </w:p>
    <w:p>
      <w:pPr>
        <w:sectPr>
          <w:pgSz w:w="11900" w:h="16838" w:orient="portrait"/>
          <w:cols w:equalWidth="0" w:num="1">
            <w:col w:w="11220"/>
          </w:cols>
          <w:pgMar w:left="32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900" w:hanging="772"/>
        <w:spacing w:after="0"/>
        <w:tabs>
          <w:tab w:leader="none" w:pos="19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cost of effecting sales and repurchases of shares of our common stock and other securities;</w:t>
      </w:r>
    </w:p>
    <w:p>
      <w:pPr>
        <w:spacing w:after="0" w:line="147" w:lineRule="exact"/>
        <w:rPr>
          <w:rFonts w:ascii="Arial" w:cs="Arial" w:eastAsia="Arial" w:hAnsi="Arial"/>
          <w:sz w:val="13"/>
          <w:szCs w:val="13"/>
          <w:color w:val="auto"/>
        </w:rPr>
      </w:pPr>
    </w:p>
    <w:p>
      <w:pPr>
        <w:ind w:left="1900" w:right="320" w:hanging="772"/>
        <w:spacing w:after="0" w:line="274" w:lineRule="auto"/>
        <w:tabs>
          <w:tab w:leader="none" w:pos="19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fees payable to third parties relating to, or associated with, making investments, including fees and expenses associated with performing due diligence and reviews of prospective investments or complimentary businesses;</w:t>
      </w:r>
    </w:p>
    <w:p>
      <w:pPr>
        <w:spacing w:after="0" w:line="104" w:lineRule="exact"/>
        <w:rPr>
          <w:rFonts w:ascii="Arial" w:cs="Arial" w:eastAsia="Arial" w:hAnsi="Arial"/>
          <w:sz w:val="13"/>
          <w:szCs w:val="13"/>
          <w:color w:val="auto"/>
        </w:rPr>
      </w:pPr>
    </w:p>
    <w:p>
      <w:pPr>
        <w:ind w:left="1900" w:hanging="772"/>
        <w:spacing w:after="0"/>
        <w:tabs>
          <w:tab w:leader="none" w:pos="19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expenses incurred by the Investment Adviser in performing due diligence and reviews of investments;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transfer agent and custodial fees;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fees and expenses associated with marketing efforts;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federal and state registration fees and any stock exchange listing fees;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federal, state and local taxes;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independent directors’ fees and expenses;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brokerage commissions;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fidelity bond, directors and officers/errors and omissions liability insurance and other insurance premiums;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direct costs such as printing, mailing, long distance telephone and staff;</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fees and expenses associated with independent audits and outside legal costs;</w:t>
      </w:r>
    </w:p>
    <w:p>
      <w:pPr>
        <w:spacing w:after="0" w:line="147" w:lineRule="exact"/>
        <w:rPr>
          <w:rFonts w:ascii="Arial" w:cs="Arial" w:eastAsia="Arial" w:hAnsi="Arial"/>
          <w:sz w:val="13"/>
          <w:szCs w:val="13"/>
          <w:color w:val="auto"/>
        </w:rPr>
      </w:pPr>
    </w:p>
    <w:p>
      <w:pPr>
        <w:ind w:left="1900" w:hanging="772"/>
        <w:spacing w:after="0"/>
        <w:tabs>
          <w:tab w:leader="none" w:pos="19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costs associated with our reporting and compliance obligations under the 1940 Act, the 1958 Act and applicable federal and state securities laws; and</w:t>
      </w:r>
    </w:p>
    <w:p>
      <w:pPr>
        <w:spacing w:after="0" w:line="147" w:lineRule="exact"/>
        <w:rPr>
          <w:rFonts w:ascii="Arial" w:cs="Arial" w:eastAsia="Arial" w:hAnsi="Arial"/>
          <w:sz w:val="13"/>
          <w:szCs w:val="13"/>
          <w:color w:val="auto"/>
        </w:rPr>
      </w:pPr>
    </w:p>
    <w:p>
      <w:pPr>
        <w:ind w:left="1900" w:right="20" w:hanging="772"/>
        <w:spacing w:after="0" w:line="250" w:lineRule="auto"/>
        <w:tabs>
          <w:tab w:leader="none" w:pos="19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2"/>
          <w:szCs w:val="12"/>
          <w:color w:val="auto"/>
        </w:rPr>
        <w:t>During periods of asset growth, we expect our general and administrative expenses to be relatively stable or to decline as a percentage of total assets and increase during periods of asset declines.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Incentive fees, interest expense and costs relating to future offerings of securities would be additive to the expenses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AND INVESTMENT ACTIVITY</w:t>
      </w:r>
    </w:p>
    <w:p>
      <w:pPr>
        <w:spacing w:after="0" w:line="82"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As of September 30, 2012, our portfolio totaled $990.5 million and consisted of $291.7 million of senior secured loans, $191.3 million of second lien secured debt, $400.7 million of subordinated debt and $106.8 million of preferred and common equity investments. Our debt portfolio consisted of 69% fixed-rate and 31% variable-rate investments (including 26% with a LIBOR or prime floor). As of September 30, 2012, we had one non-accrual debt investment, representing 3.2% and 1.1% of our overall portfolio on a cost basis and fair value, respectively. Our overall portfolio consisted of 54 companies with an average investment size of $18.3 million, had a weighted average yield on debt investments of 13.2%, and was invested 30% in senior secured loans, 19% in second lien secured debt, 40% in subordinated debt and 11% in preferred and common equity investments.</w:t>
      </w:r>
    </w:p>
    <w:p>
      <w:pPr>
        <w:spacing w:after="0" w:line="108" w:lineRule="exact"/>
        <w:rPr>
          <w:sz w:val="20"/>
          <w:szCs w:val="20"/>
          <w:color w:val="auto"/>
        </w:rPr>
      </w:pPr>
    </w:p>
    <w:p>
      <w:pPr>
        <w:ind w:firstLine="562"/>
        <w:spacing w:after="0" w:line="250" w:lineRule="auto"/>
        <w:rPr>
          <w:sz w:val="20"/>
          <w:szCs w:val="20"/>
          <w:color w:val="auto"/>
        </w:rPr>
      </w:pPr>
      <w:r>
        <w:rPr>
          <w:rFonts w:ascii="Arial" w:cs="Arial" w:eastAsia="Arial" w:hAnsi="Arial"/>
          <w:sz w:val="13"/>
          <w:szCs w:val="13"/>
          <w:color w:val="auto"/>
        </w:rPr>
        <w:t>As of September 30, 2011, our portfolio totaled $827.5 million and consisted of $296.5 million of senior secured loans, $165.3 million of second lien secured debt, $309.3 million of subordinated debt and $56.4 million of preferred and common equity investments. Our debt portfolio consisted of 61% fixed-rate and 39% variable-rate investments (including 31% with a LIBOR or prime floor). Our overall portfolio consisted of 48 companies with an average investment size of $17.2 million, had a weighted average yield on debt investments of 13.3%, and was invested 36% in senior secured loans, 20% in second lien secured debt, 37% in subordinated debt and 7% in preferred and common equity investments.</w:t>
      </w:r>
    </w:p>
    <w:p>
      <w:pPr>
        <w:spacing w:after="0" w:line="106" w:lineRule="exact"/>
        <w:rPr>
          <w:sz w:val="20"/>
          <w:szCs w:val="20"/>
          <w:color w:val="auto"/>
        </w:rPr>
      </w:pPr>
    </w:p>
    <w:p>
      <w:pPr>
        <w:ind w:right="20" w:firstLine="562"/>
        <w:spacing w:after="0" w:line="288" w:lineRule="auto"/>
        <w:rPr>
          <w:sz w:val="20"/>
          <w:szCs w:val="20"/>
          <w:color w:val="auto"/>
        </w:rPr>
      </w:pPr>
      <w:r>
        <w:rPr>
          <w:rFonts w:ascii="Arial" w:cs="Arial" w:eastAsia="Arial" w:hAnsi="Arial"/>
          <w:sz w:val="12"/>
          <w:szCs w:val="12"/>
          <w:color w:val="auto"/>
        </w:rPr>
        <w:t>For the fiscal year ended September 30, 2012, we purchased $328.3 million of investments in 13 new and 17 existing portfolio companies with a weighted average yield of 13.3% on debt investments. This compares to purchasing $479.7 million in 17 new and 11 existing portfolio companies with an overall weighted average yield of 13.7% on debt investments, and purchasing $309.5 million in 17 new and 12 existing portfolio companies with an overall weighted average yield of 14.9% on debt investments for the fiscal years ended September 30, 2011 and 2010, respectively.</w:t>
      </w:r>
    </w:p>
    <w:p>
      <w:pPr>
        <w:spacing w:after="0" w:line="111"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For the fiscal year ended September 30, 2012, sales and repayments generated proceeds of $201.7 million. For the fiscal years ended September 30, 2011 and 2010, sales and repayments generated proceeds of $304.0 and $145.2 million, respectively.</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44</w:t>
      </w:r>
    </w:p>
    <w:p>
      <w:pPr>
        <w:sectPr>
          <w:pgSz w:w="11900" w:h="16838" w:orient="portrait"/>
          <w:cols w:equalWidth="0" w:num="1">
            <w:col w:w="11160"/>
          </w:cols>
          <w:pgMar w:left="32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w:t>
      </w:r>
    </w:p>
    <w:p>
      <w:pPr>
        <w:spacing w:after="0" w:line="82" w:lineRule="exact"/>
        <w:rPr>
          <w:sz w:val="20"/>
          <w:szCs w:val="20"/>
          <w:color w:val="auto"/>
        </w:rPr>
      </w:pPr>
    </w:p>
    <w:p>
      <w:pPr>
        <w:ind w:right="20" w:firstLine="562"/>
        <w:spacing w:after="0" w:line="273" w:lineRule="auto"/>
        <w:rPr>
          <w:sz w:val="20"/>
          <w:szCs w:val="20"/>
          <w:color w:val="auto"/>
        </w:rPr>
      </w:pPr>
      <w:r>
        <w:rPr>
          <w:rFonts w:ascii="Arial" w:cs="Arial" w:eastAsia="Arial" w:hAnsi="Arial"/>
          <w:sz w:val="12"/>
          <w:szCs w:val="12"/>
          <w:color w:val="auto"/>
        </w:rPr>
        <w:t>The discussion of our financial condition and results of operations is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have eliminated all intercompany balances and transactions. References to the ASC serve as a single source of literature. Subsequent events are evaluated and disclosed as appropriate for events occurring through the date the Consolidated Financial Statements are issued.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Valuation of Portfolio Investments</w:t>
      </w:r>
    </w:p>
    <w:p>
      <w:pPr>
        <w:spacing w:after="0" w:line="80"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 in the absence of any unusual events that may indicate such basis for deriving fair value is no longer valid.</w:t>
      </w:r>
    </w:p>
    <w:p>
      <w:pPr>
        <w:spacing w:after="0" w:line="110" w:lineRule="exact"/>
        <w:rPr>
          <w:sz w:val="20"/>
          <w:szCs w:val="20"/>
          <w:color w:val="auto"/>
        </w:rPr>
      </w:pPr>
    </w:p>
    <w:p>
      <w:pPr>
        <w:ind w:right="20" w:firstLine="562"/>
        <w:spacing w:after="0" w:line="244"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11" w:lineRule="exact"/>
        <w:rPr>
          <w:sz w:val="20"/>
          <w:szCs w:val="20"/>
          <w:color w:val="auto"/>
        </w:rPr>
      </w:pPr>
    </w:p>
    <w:p>
      <w:pPr>
        <w:ind w:right="280" w:firstLine="562"/>
        <w:spacing w:after="0" w:line="274" w:lineRule="auto"/>
        <w:rPr>
          <w:sz w:val="20"/>
          <w:szCs w:val="20"/>
          <w:color w:val="auto"/>
        </w:rPr>
      </w:pPr>
      <w:r>
        <w:rPr>
          <w:rFonts w:ascii="Arial" w:cs="Arial" w:eastAsia="Arial" w:hAnsi="Arial"/>
          <w:sz w:val="13"/>
          <w:szCs w:val="13"/>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4" w:lineRule="exact"/>
        <w:rPr>
          <w:sz w:val="20"/>
          <w:szCs w:val="20"/>
          <w:color w:val="auto"/>
        </w:rPr>
      </w:pPr>
    </w:p>
    <w:p>
      <w:pPr>
        <w:ind w:left="1680" w:right="60" w:hanging="552"/>
        <w:spacing w:after="0" w:line="274" w:lineRule="auto"/>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Our quarterly valuation process begins with each portfolio company or investment being initially valued by the investment professionals of our Investment Adviser responsible for the portfolio investment;</w:t>
      </w:r>
    </w:p>
    <w:p>
      <w:pPr>
        <w:spacing w:after="0" w:line="104" w:lineRule="exact"/>
        <w:rPr>
          <w:rFonts w:ascii="Arial" w:cs="Arial" w:eastAsia="Arial" w:hAnsi="Arial"/>
          <w:sz w:val="13"/>
          <w:szCs w:val="13"/>
          <w:color w:val="auto"/>
        </w:rPr>
      </w:pPr>
    </w:p>
    <w:p>
      <w:pPr>
        <w:ind w:left="1680" w:hanging="552"/>
        <w:spacing w:after="0"/>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Preliminary valuation conclusions are then documented and discussed with the management of our Investment Adviser;</w:t>
      </w:r>
    </w:p>
    <w:p>
      <w:pPr>
        <w:spacing w:after="0" w:line="147" w:lineRule="exact"/>
        <w:rPr>
          <w:rFonts w:ascii="Arial" w:cs="Arial" w:eastAsia="Arial" w:hAnsi="Arial"/>
          <w:sz w:val="13"/>
          <w:szCs w:val="13"/>
          <w:color w:val="auto"/>
        </w:rPr>
      </w:pPr>
    </w:p>
    <w:p>
      <w:pPr>
        <w:ind w:left="1680" w:right="120" w:hanging="552"/>
        <w:spacing w:after="0" w:line="288" w:lineRule="auto"/>
        <w:tabs>
          <w:tab w:leader="none" w:pos="16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97" w:lineRule="exact"/>
        <w:rPr>
          <w:rFonts w:ascii="Arial" w:cs="Arial" w:eastAsia="Arial" w:hAnsi="Arial"/>
          <w:sz w:val="12"/>
          <w:szCs w:val="12"/>
          <w:color w:val="auto"/>
        </w:rPr>
      </w:pPr>
    </w:p>
    <w:p>
      <w:pPr>
        <w:ind w:left="1680" w:right="300" w:hanging="552"/>
        <w:spacing w:after="0" w:line="274" w:lineRule="auto"/>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104" w:lineRule="exact"/>
        <w:rPr>
          <w:rFonts w:ascii="Arial" w:cs="Arial" w:eastAsia="Arial" w:hAnsi="Arial"/>
          <w:sz w:val="13"/>
          <w:szCs w:val="13"/>
          <w:color w:val="auto"/>
        </w:rPr>
      </w:pPr>
    </w:p>
    <w:p>
      <w:pPr>
        <w:ind w:left="1680" w:right="40" w:hanging="552"/>
        <w:spacing w:after="0" w:line="274" w:lineRule="auto"/>
        <w:tabs>
          <w:tab w:leader="none" w:pos="16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91" w:lineRule="exact"/>
        <w:rPr>
          <w:sz w:val="20"/>
          <w:szCs w:val="20"/>
          <w:color w:val="auto"/>
        </w:rPr>
      </w:pPr>
    </w:p>
    <w:p>
      <w:pPr>
        <w:ind w:right="140" w:firstLine="562"/>
        <w:spacing w:after="0" w:line="247"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ectPr>
          <w:pgSz w:w="11900" w:h="16838" w:orient="portrait"/>
          <w:cols w:equalWidth="0" w:num="1">
            <w:col w:w="11220"/>
          </w:cols>
          <w:pgMar w:left="32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ASC 820 classifies the inputs used to measure these fair values into the following hierarchies:</w:t>
      </w:r>
    </w:p>
    <w:p>
      <w:pPr>
        <w:spacing w:after="0" w:line="148"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75" w:lineRule="exact"/>
        <w:rPr>
          <w:sz w:val="20"/>
          <w:szCs w:val="20"/>
          <w:color w:val="auto"/>
        </w:rPr>
      </w:pPr>
    </w:p>
    <w:p>
      <w:pPr>
        <w:ind w:left="920" w:right="140" w:hanging="903"/>
        <w:spacing w:after="0" w:line="274" w:lineRule="auto"/>
        <w:tabs>
          <w:tab w:leader="none" w:pos="90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31"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4"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in conducted on a quarterly basis.</w:t>
      </w:r>
    </w:p>
    <w:p>
      <w:pPr>
        <w:spacing w:after="0" w:line="102" w:lineRule="exact"/>
        <w:rPr>
          <w:sz w:val="20"/>
          <w:szCs w:val="20"/>
          <w:color w:val="auto"/>
        </w:rPr>
      </w:pPr>
    </w:p>
    <w:p>
      <w:pPr>
        <w:ind w:right="180" w:firstLine="562"/>
        <w:spacing w:after="0" w:line="274"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91" w:lineRule="exact"/>
        <w:rPr>
          <w:sz w:val="20"/>
          <w:szCs w:val="20"/>
          <w:color w:val="auto"/>
        </w:rPr>
      </w:pPr>
    </w:p>
    <w:p>
      <w:pPr>
        <w:ind w:right="20" w:firstLine="562"/>
        <w:spacing w:after="0" w:line="242" w:lineRule="auto"/>
        <w:rPr>
          <w:sz w:val="20"/>
          <w:szCs w:val="20"/>
          <w:color w:val="auto"/>
        </w:rPr>
      </w:pPr>
      <w:r>
        <w:rPr>
          <w:rFonts w:ascii="Arial" w:cs="Arial" w:eastAsia="Arial" w:hAnsi="Arial"/>
          <w:sz w:val="13"/>
          <w:szCs w:val="13"/>
          <w:color w:val="auto"/>
        </w:rPr>
        <w:t>The carrying value of our selected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 mitigating volatility in earnings from using different measurement attributes. Due to that election and in accordance with GAAP, we incurred up-front fees of $5.4 million which represents transaction costs and expenses related to the amended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fiscal year ended September 30, 2012 and 2011, our Credit Facility had a net change in unrealized appreciation depreciation of $1.6 million and $11.9 million, respectively. As of September 30, 2012 and 2011, net unrealized depreciation on our Credit Facility totaled $0.5 million and $2.1 million, respectively. We use a nationally recognized independent valuation service to measure the fair value of our Credit Facility in a manner consistent with the valuation process that the board of directors uses to value investments.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80" w:lineRule="exact"/>
        <w:rPr>
          <w:sz w:val="20"/>
          <w:szCs w:val="20"/>
          <w:color w:val="auto"/>
        </w:rPr>
      </w:pPr>
    </w:p>
    <w:p>
      <w:pPr>
        <w:ind w:firstLine="562"/>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and deferred financing costs on our debt are capitalized, and we then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Net Realized Gains or Losses and Net Change in Unrealized Appreciation or Depreciation</w:t>
      </w:r>
    </w:p>
    <w:p>
      <w:pPr>
        <w:spacing w:after="0" w:line="80" w:lineRule="exact"/>
        <w:rPr>
          <w:sz w:val="20"/>
          <w:szCs w:val="20"/>
          <w:color w:val="auto"/>
        </w:rPr>
      </w:pPr>
    </w:p>
    <w:p>
      <w:pPr>
        <w:ind w:right="140" w:firstLine="562"/>
        <w:spacing w:after="0" w:line="288" w:lineRule="auto"/>
        <w:rPr>
          <w:sz w:val="20"/>
          <w:szCs w:val="20"/>
          <w:color w:val="auto"/>
        </w:rPr>
      </w:pPr>
      <w:r>
        <w:rPr>
          <w:rFonts w:ascii="Arial" w:cs="Arial" w:eastAsia="Arial" w:hAnsi="Arial"/>
          <w:sz w:val="12"/>
          <w:szCs w:val="12"/>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Payment-in-Kind Interest</w:t>
      </w:r>
    </w:p>
    <w:p>
      <w:pPr>
        <w:spacing w:after="0" w:line="80" w:lineRule="exact"/>
        <w:rPr>
          <w:sz w:val="20"/>
          <w:szCs w:val="20"/>
          <w:color w:val="auto"/>
        </w:rPr>
      </w:pPr>
    </w:p>
    <w:p>
      <w:pPr>
        <w:ind w:right="40" w:firstLine="562"/>
        <w:spacing w:after="0" w:line="274" w:lineRule="auto"/>
        <w:rPr>
          <w:sz w:val="20"/>
          <w:szCs w:val="20"/>
          <w:color w:val="auto"/>
        </w:rPr>
      </w:pPr>
      <w:r>
        <w:rPr>
          <w:rFonts w:ascii="Arial" w:cs="Arial" w:eastAsia="Arial" w:hAnsi="Arial"/>
          <w:sz w:val="13"/>
          <w:szCs w:val="13"/>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ectPr>
          <w:pgSz w:w="11900" w:h="16838" w:orient="portrait"/>
          <w:cols w:equalWidth="0" w:num="1">
            <w:col w:w="11240"/>
          </w:cols>
          <w:pgMar w:left="32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Federal Income Taxes</w:t>
      </w:r>
    </w:p>
    <w:p>
      <w:pPr>
        <w:spacing w:after="0" w:line="80" w:lineRule="exact"/>
        <w:rPr>
          <w:sz w:val="20"/>
          <w:szCs w:val="20"/>
          <w:color w:val="auto"/>
        </w:rPr>
      </w:pPr>
    </w:p>
    <w:p>
      <w:pPr>
        <w:ind w:firstLine="562"/>
        <w:spacing w:after="0" w:line="243" w:lineRule="auto"/>
        <w:rPr>
          <w:sz w:val="20"/>
          <w:szCs w:val="20"/>
          <w:color w:val="auto"/>
        </w:rPr>
      </w:pPr>
      <w:r>
        <w:rPr>
          <w:rFonts w:ascii="Arial" w:cs="Arial" w:eastAsia="Arial" w:hAnsi="Arial"/>
          <w:sz w:val="13"/>
          <w:szCs w:val="13"/>
          <w:color w:val="auto"/>
        </w:rPr>
        <w:t>We operate so as to qualify to maintain our election to be taxed as a RIC under Subchapter M of the Code and intend to continue to do so. To maintain RIC tax benefits, we must, among other requirements, meet certain source-of-income and quarterly asset diversification requirements (as described below). We also must annually distribute dividends of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12" w:lineRule="exact"/>
        <w:rPr>
          <w:sz w:val="20"/>
          <w:szCs w:val="20"/>
          <w:color w:val="auto"/>
        </w:rPr>
      </w:pPr>
    </w:p>
    <w:p>
      <w:pPr>
        <w:ind w:right="100" w:firstLine="562"/>
        <w:spacing w:after="0" w:line="250"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Recent Tax Developments</w:t>
      </w:r>
    </w:p>
    <w:p>
      <w:pPr>
        <w:spacing w:after="0" w:line="80" w:lineRule="exact"/>
        <w:rPr>
          <w:sz w:val="20"/>
          <w:szCs w:val="20"/>
          <w:color w:val="auto"/>
        </w:rPr>
      </w:pPr>
    </w:p>
    <w:p>
      <w:pPr>
        <w:ind w:right="40" w:firstLine="562"/>
        <w:spacing w:after="0" w:line="256" w:lineRule="auto"/>
        <w:rPr>
          <w:sz w:val="20"/>
          <w:szCs w:val="20"/>
          <w:color w:val="auto"/>
        </w:rPr>
      </w:pPr>
      <w:r>
        <w:rPr>
          <w:rFonts w:ascii="Arial" w:cs="Arial" w:eastAsia="Arial" w:hAnsi="Arial"/>
          <w:sz w:val="13"/>
          <w:szCs w:val="13"/>
          <w:color w:val="auto"/>
        </w:rPr>
        <w:t>Recently enacted legislation may require certain non-corporate U.S. holders to pay a 3.8% Medicare tax on, among other things, interest on and capital gains from the sale, exchange, redemption or retirement of our common stock. This legislation would apply for taxable years beginning after December 31, 2012. U.S. holders should consult their own tax advisors regarding the effect, if any, of this legislation.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Set forth below are our results of operations for the fiscal years ended September 30, 2012, 2011 and 2010.</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Income</w:t>
      </w:r>
    </w:p>
    <w:p>
      <w:pPr>
        <w:spacing w:after="0" w:line="80"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Investment income for the fiscal year ended September 30, 2012 was $113.4 million and was primarily attributable to $42.8 million from senior secured loan investments, $21.2 million from second lien secured debt investments, and $49.4 million from subordinated debt investments. The increase in investment income over the prior year was due to the growth of our portfolio which was also driven by the investment of the proceeds from our equity offerings.</w:t>
      </w:r>
    </w:p>
    <w:p>
      <w:pPr>
        <w:spacing w:after="0" w:line="102" w:lineRule="exact"/>
        <w:rPr>
          <w:sz w:val="20"/>
          <w:szCs w:val="20"/>
          <w:color w:val="auto"/>
        </w:rPr>
      </w:pPr>
    </w:p>
    <w:p>
      <w:pPr>
        <w:ind w:right="80" w:firstLine="562"/>
        <w:spacing w:after="0" w:line="256" w:lineRule="auto"/>
        <w:rPr>
          <w:sz w:val="20"/>
          <w:szCs w:val="20"/>
          <w:color w:val="auto"/>
        </w:rPr>
      </w:pPr>
      <w:r>
        <w:rPr>
          <w:rFonts w:ascii="Arial" w:cs="Arial" w:eastAsia="Arial" w:hAnsi="Arial"/>
          <w:sz w:val="13"/>
          <w:szCs w:val="13"/>
          <w:color w:val="auto"/>
        </w:rPr>
        <w:t>Investment income for the fiscal year ended September 30, 2011 was $91.7 million and was primarily attributable to $37.1 million from senior secured loan investments, $15.2 million from second lien secured debt investments, and $38.8 million from subordinated debt investments. The increase in investment income over the prior year was due to the growth of our portfolio which was also driven by investment of the proceeds from our equity offering and rotation out of lower yielding assets.</w:t>
      </w:r>
    </w:p>
    <w:p>
      <w:pPr>
        <w:spacing w:after="0" w:line="102" w:lineRule="exact"/>
        <w:rPr>
          <w:sz w:val="20"/>
          <w:szCs w:val="20"/>
          <w:color w:val="auto"/>
        </w:rPr>
      </w:pPr>
    </w:p>
    <w:p>
      <w:pPr>
        <w:ind w:right="80" w:firstLine="562"/>
        <w:spacing w:after="0" w:line="274" w:lineRule="auto"/>
        <w:rPr>
          <w:sz w:val="20"/>
          <w:szCs w:val="20"/>
          <w:color w:val="auto"/>
        </w:rPr>
      </w:pPr>
      <w:r>
        <w:rPr>
          <w:rFonts w:ascii="Arial" w:cs="Arial" w:eastAsia="Arial" w:hAnsi="Arial"/>
          <w:sz w:val="13"/>
          <w:szCs w:val="13"/>
          <w:color w:val="auto"/>
        </w:rPr>
        <w:t>Investment income for the fiscal year ended September 30, 2010 was $60.1 million and was primarily attributable to $19.5 million from senior secured loan investments, $14.1 million from second lien secured debt investments, and $26.5 million from subordinated debt investments.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Expenses</w:t>
      </w:r>
    </w:p>
    <w:p>
      <w:pPr>
        <w:spacing w:after="0" w:line="80" w:lineRule="exact"/>
        <w:rPr>
          <w:sz w:val="20"/>
          <w:szCs w:val="20"/>
          <w:color w:val="auto"/>
        </w:rPr>
      </w:pPr>
    </w:p>
    <w:p>
      <w:pPr>
        <w:ind w:right="20" w:firstLine="562"/>
        <w:spacing w:after="0" w:line="250" w:lineRule="auto"/>
        <w:rPr>
          <w:sz w:val="20"/>
          <w:szCs w:val="20"/>
          <w:color w:val="auto"/>
        </w:rPr>
      </w:pPr>
      <w:r>
        <w:rPr>
          <w:rFonts w:ascii="Arial" w:cs="Arial" w:eastAsia="Arial" w:hAnsi="Arial"/>
          <w:sz w:val="13"/>
          <w:szCs w:val="13"/>
          <w:color w:val="auto"/>
        </w:rPr>
        <w:t>Expenses for the fiscal year ended September 30, 2012 totaled $56.3 million. Base management fees for the same period totaled $17.5 million, performance-based incentive fee totaled $14.2 million, Credit Facility and SBA debentures related expenses totaled $17.1 million (including the $5.4 million upfront fees associated with amending and extending our Credit Facility), general and administrative expenses totaled $7.2 million and an excise tax of $0.3 million was incurred. The increase in expenses over the prior year was primarily due to the upfront costs of amending our Credit Facility, increased borrowing costs and the growth of our portfolio.</w:t>
      </w:r>
    </w:p>
    <w:p>
      <w:pPr>
        <w:spacing w:after="0" w:line="106" w:lineRule="exact"/>
        <w:rPr>
          <w:sz w:val="20"/>
          <w:szCs w:val="20"/>
          <w:color w:val="auto"/>
        </w:rPr>
      </w:pPr>
    </w:p>
    <w:p>
      <w:pPr>
        <w:ind w:right="300" w:firstLine="562"/>
        <w:spacing w:after="0" w:line="256" w:lineRule="auto"/>
        <w:rPr>
          <w:sz w:val="20"/>
          <w:szCs w:val="20"/>
          <w:color w:val="auto"/>
        </w:rPr>
      </w:pPr>
      <w:r>
        <w:rPr>
          <w:rFonts w:ascii="Arial" w:cs="Arial" w:eastAsia="Arial" w:hAnsi="Arial"/>
          <w:sz w:val="13"/>
          <w:szCs w:val="13"/>
          <w:color w:val="auto"/>
        </w:rPr>
        <w:t>Expenses for the fiscal year ended September 30, 2011 totaled $39.1 million. Base management fees for the same period totaled $14.9 million, performance-based incentive fee totaled $13.2 million, Credit Facility and SBA debentures related expenses totaled $5.3 million, general and administrative expenses totaled $5.5 million and an excise tax of $0.2 million was incurred. The increase in expenses over the prior year was the result of the growth of our portfolio as well as increased borrowing costs.</w:t>
      </w:r>
    </w:p>
    <w:p>
      <w:pPr>
        <w:spacing w:after="0" w:line="102" w:lineRule="exact"/>
        <w:rPr>
          <w:sz w:val="20"/>
          <w:szCs w:val="20"/>
          <w:color w:val="auto"/>
        </w:rPr>
      </w:pPr>
    </w:p>
    <w:p>
      <w:pPr>
        <w:ind w:right="40" w:firstLine="562"/>
        <w:spacing w:after="0" w:line="274" w:lineRule="auto"/>
        <w:rPr>
          <w:sz w:val="20"/>
          <w:szCs w:val="20"/>
          <w:color w:val="auto"/>
        </w:rPr>
      </w:pPr>
      <w:r>
        <w:rPr>
          <w:rFonts w:ascii="Arial" w:cs="Arial" w:eastAsia="Arial" w:hAnsi="Arial"/>
          <w:sz w:val="13"/>
          <w:szCs w:val="13"/>
          <w:color w:val="auto"/>
        </w:rPr>
        <w:t>Expenses for the fiscal year ended September 30, 2010 totaled $28.0 million. Base management fees for the same period totaled $11.6 million, performance-based incentive fee totaled $8.0 million, Credit Facility and SBA debentures related expenses totaled $3.7 million, general and administrative expenses totaled $4.6 million and an excise tax of $0.1 million was incurred.</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Investment Income</w:t>
      </w:r>
    </w:p>
    <w:p>
      <w:pPr>
        <w:spacing w:after="0" w:line="80" w:lineRule="exact"/>
        <w:rPr>
          <w:sz w:val="20"/>
          <w:szCs w:val="20"/>
          <w:color w:val="auto"/>
        </w:rPr>
      </w:pPr>
    </w:p>
    <w:p>
      <w:pPr>
        <w:ind w:firstLine="562"/>
        <w:spacing w:after="0" w:line="317" w:lineRule="auto"/>
        <w:rPr>
          <w:sz w:val="20"/>
          <w:szCs w:val="20"/>
          <w:color w:val="auto"/>
        </w:rPr>
      </w:pPr>
      <w:r>
        <w:rPr>
          <w:rFonts w:ascii="Arial" w:cs="Arial" w:eastAsia="Arial" w:hAnsi="Arial"/>
          <w:sz w:val="12"/>
          <w:szCs w:val="12"/>
          <w:color w:val="auto"/>
        </w:rPr>
        <w:t>Net investment income totaled $57.1 million or $1.08 per share, $52.6 million or $1.25 per share and $32.1 million or $1.09 per share, for the fiscal years ended September 30, 2012, 2011 and 2010, respectively. The increase in net investment income from 2011 to 2012 was the result of the growth of our portfolio, while the per share net investment income decrease was the result of share issuances.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Realized Gains or Losses</w:t>
      </w:r>
    </w:p>
    <w:p>
      <w:pPr>
        <w:spacing w:after="0" w:line="80" w:lineRule="exact"/>
        <w:rPr>
          <w:sz w:val="20"/>
          <w:szCs w:val="20"/>
          <w:color w:val="auto"/>
        </w:rPr>
      </w:pPr>
    </w:p>
    <w:p>
      <w:pPr>
        <w:ind w:right="80" w:firstLine="562"/>
        <w:spacing w:after="0" w:line="317" w:lineRule="auto"/>
        <w:rPr>
          <w:sz w:val="20"/>
          <w:szCs w:val="20"/>
          <w:color w:val="auto"/>
        </w:rPr>
      </w:pPr>
      <w:r>
        <w:rPr>
          <w:rFonts w:ascii="Arial" w:cs="Arial" w:eastAsia="Arial" w:hAnsi="Arial"/>
          <w:sz w:val="12"/>
          <w:szCs w:val="12"/>
          <w:color w:val="auto"/>
        </w:rPr>
        <w:t>Sales and repayments of long-term investments for the fiscal years ended September 30, 2012, 2011 and 2010 totaled $201.7 million, $304.0 million and $145.2 million, respectively, and net realized gains (losses) totaled $(12.8) million, $16.3 million and $(15.4) million, respectively. Net realized losses increased over the prior year due to sales, restructurings, and repayments of our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Change in Unrealized Appreciation Depreciation on Investments and Credit Facility</w:t>
      </w:r>
    </w:p>
    <w:p>
      <w:pPr>
        <w:spacing w:after="0" w:line="80" w:lineRule="exact"/>
        <w:rPr>
          <w:sz w:val="20"/>
          <w:szCs w:val="20"/>
          <w:color w:val="auto"/>
        </w:rPr>
      </w:pPr>
    </w:p>
    <w:p>
      <w:pPr>
        <w:ind w:right="80" w:firstLine="562"/>
        <w:spacing w:after="0" w:line="250" w:lineRule="auto"/>
        <w:rPr>
          <w:sz w:val="20"/>
          <w:szCs w:val="20"/>
          <w:color w:val="auto"/>
        </w:rPr>
      </w:pPr>
      <w:r>
        <w:rPr>
          <w:rFonts w:ascii="Arial" w:cs="Arial" w:eastAsia="Arial" w:hAnsi="Arial"/>
          <w:sz w:val="13"/>
          <w:szCs w:val="13"/>
          <w:color w:val="auto"/>
        </w:rPr>
        <w:t>Net change in unrealized (depreciation) appreciation on investments totaled $20.6 million, $(46.8) million and $35.5 million for the fiscal years ended September 30, 2012, 2011 and 2010, respectively. Net change in unrealized (appreciation) depreciation on our Credit Facility totaled $(1.6) million, $(11.9) million and $(35.7) million for the same periods, respectively. Net change in unrealized depreciation on investments increased over the prior year due to the overall changes in the leveraged finance markets. Net change in unrealized depreciation on our Credit Facility over the prior year is the result of amending and restating the terms of our Credit Facility.</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Increase in Net Assets Resulting From Operations</w:t>
      </w:r>
    </w:p>
    <w:p>
      <w:pPr>
        <w:spacing w:after="0" w:line="80" w:lineRule="exact"/>
        <w:rPr>
          <w:sz w:val="20"/>
          <w:szCs w:val="20"/>
          <w:color w:val="auto"/>
        </w:rPr>
      </w:pPr>
    </w:p>
    <w:p>
      <w:pPr>
        <w:ind w:right="40" w:firstLine="562"/>
        <w:spacing w:after="0" w:line="256" w:lineRule="auto"/>
        <w:rPr>
          <w:sz w:val="20"/>
          <w:szCs w:val="20"/>
          <w:color w:val="auto"/>
        </w:rPr>
      </w:pPr>
      <w:r>
        <w:rPr>
          <w:rFonts w:ascii="Arial" w:cs="Arial" w:eastAsia="Arial" w:hAnsi="Arial"/>
          <w:sz w:val="13"/>
          <w:szCs w:val="13"/>
          <w:color w:val="auto"/>
        </w:rPr>
        <w:t>Net increase in net assets resulting from operations totaled $63.4 million or $1.20 per share, $10.3 million or $0.24 per share, and $16.5 million or $0.56 per share for the fiscal years ended September 30, 2012, 2011 and 2010, respectively. The net increase in net assets from operations was higher than the prior year due to the continued growth in net investment income as a result of growing our portfolio and unrealized gains offset by realized losses.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ectPr>
          <w:pgSz w:w="11900" w:h="16838" w:orient="portrait"/>
          <w:cols w:equalWidth="0" w:num="1">
            <w:col w:w="11240"/>
          </w:cols>
          <w:pgMar w:left="32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82" w:lineRule="exact"/>
        <w:rPr>
          <w:sz w:val="20"/>
          <w:szCs w:val="20"/>
          <w:color w:val="auto"/>
        </w:rPr>
      </w:pPr>
    </w:p>
    <w:p>
      <w:pPr>
        <w:ind w:right="40" w:firstLine="562"/>
        <w:spacing w:after="0" w:line="288" w:lineRule="auto"/>
        <w:rPr>
          <w:sz w:val="20"/>
          <w:szCs w:val="20"/>
          <w:color w:val="auto"/>
        </w:rPr>
      </w:pPr>
      <w:r>
        <w:rPr>
          <w:rFonts w:ascii="Arial" w:cs="Arial" w:eastAsia="Arial" w:hAnsi="Arial"/>
          <w:sz w:val="12"/>
          <w:szCs w:val="12"/>
          <w:color w:val="auto"/>
        </w:rPr>
        <w:t>Our liquidity and capital resources are derived primarily from proceeds of security offerings, our Credit Facility, SBA debentures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SBA debentures, proceeds from the rotation of our portfolio and proceeds from public and private offerings of securities to finance our investment objectives.</w:t>
      </w:r>
    </w:p>
    <w:p>
      <w:pPr>
        <w:spacing w:after="0" w:line="84" w:lineRule="exact"/>
        <w:rPr>
          <w:sz w:val="20"/>
          <w:szCs w:val="20"/>
          <w:color w:val="auto"/>
        </w:rPr>
      </w:pPr>
    </w:p>
    <w:p>
      <w:pPr>
        <w:ind w:firstLine="562"/>
        <w:spacing w:after="0" w:line="270" w:lineRule="auto"/>
        <w:rPr>
          <w:sz w:val="20"/>
          <w:szCs w:val="20"/>
          <w:color w:val="auto"/>
        </w:rPr>
      </w:pPr>
      <w:r>
        <w:rPr>
          <w:rFonts w:ascii="Arial" w:cs="Arial" w:eastAsia="Arial" w:hAnsi="Arial"/>
          <w:sz w:val="12"/>
          <w:szCs w:val="12"/>
          <w:color w:val="auto"/>
        </w:rPr>
        <w:t>In February 2012, we amended and restated our multi-currency Credit Facility, which increased the size of the Credit Facility to $380 million, with certain lenders and SunTrust Bank, acting as administrative agent and JPMorgan Chase Bank, N.A., as syndication agent for the lenders. As of September 30, 2012 and 2011, there was $145.0 million (including a temporary draw of $35.5 million) and $240.9 million, respectively, in outstanding borrowings under the Credit Facility, with a weighted average interest rate at the time of 3.49% and 1.27%, exclusive of the fee on undrawn commitments of 0.50% and 0.20%, respectively. The Credit Facility is a four-year revolving facility with a stated maturity date of February 2016, and a one-year term-out period following its third year. Borrowings under the Credit Facility bear interest at 275 basis points over LIBOR. As of September 30, 2012 and 2011, we had $235.0 million and $74.1 million of unused borrowing capacity, respectively, subject to the regulatory restrictions that the 1940 Act imposes on us as a BDC. The Credit Facility is secured by substantially all of our assets excluding assets held by our SBIC LP.</w:t>
      </w:r>
    </w:p>
    <w:p>
      <w:pPr>
        <w:spacing w:after="0" w:line="95" w:lineRule="exact"/>
        <w:rPr>
          <w:sz w:val="20"/>
          <w:szCs w:val="20"/>
          <w:color w:val="auto"/>
        </w:rPr>
      </w:pPr>
    </w:p>
    <w:p>
      <w:pPr>
        <w:ind w:right="120" w:firstLine="562"/>
        <w:spacing w:after="0" w:line="245" w:lineRule="auto"/>
        <w:rPr>
          <w:sz w:val="20"/>
          <w:szCs w:val="20"/>
          <w:color w:val="auto"/>
        </w:rPr>
      </w:pPr>
      <w:r>
        <w:rPr>
          <w:rFonts w:ascii="Arial" w:cs="Arial" w:eastAsia="Arial" w:hAnsi="Arial"/>
          <w:sz w:val="13"/>
          <w:szCs w:val="13"/>
          <w:color w:val="auto"/>
        </w:rPr>
        <w:t>The Credit Facility contains customary affirmative and restrictive covenants, including maintenance of a minimum shareholders’ equity of the sum of (a) $220.0 million plus (b) 25% of the net proceeds from the sale of equity interests in us and our subsidiaries after the closing date of the Credit Facility and maintenance of a ratio of total assets (less total liabilities other than indebtedness) to total indebtedness of not less than 2.0:1.0 (before any exemptive relief granted by the SEC with respect to the indebtedness of our SBIC subsidiary). In addition to the asset coverage ratio described in the preceding sentence, borrowings under our Credit Facility (and the incurrence of certain other permitted debt) are subject to compliance with a borrowing base that applies different advance rates to different types of assets in the Company’s portfolio. For a complete list of covenants contained in the Credit Facility, see our Form 8-K filed on February 22, 2012 and the Credit Facility agreement filed as an exhibit to our Form 10-Q filed on May 2, 2012. As of September 30, 2012, we were in compliance with the terms of our Credit Facility.</w:t>
      </w:r>
    </w:p>
    <w:p>
      <w:pPr>
        <w:spacing w:after="0" w:line="110" w:lineRule="exact"/>
        <w:rPr>
          <w:sz w:val="20"/>
          <w:szCs w:val="20"/>
          <w:color w:val="auto"/>
        </w:rPr>
      </w:pPr>
    </w:p>
    <w:p>
      <w:pPr>
        <w:ind w:right="120" w:firstLine="562"/>
        <w:spacing w:after="0" w:line="250" w:lineRule="auto"/>
        <w:rPr>
          <w:sz w:val="20"/>
          <w:szCs w:val="20"/>
          <w:color w:val="auto"/>
        </w:rPr>
      </w:pPr>
      <w:r>
        <w:rPr>
          <w:rFonts w:ascii="Arial" w:cs="Arial" w:eastAsia="Arial" w:hAnsi="Arial"/>
          <w:sz w:val="13"/>
          <w:szCs w:val="13"/>
          <w:color w:val="auto"/>
        </w:rPr>
        <w:t>We may raise additional equity or debt capital through both registered offerings off a shelf registration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Furthermore, our Credit Facility availability depends on various covenants and restrictions. The primary use of existing funds and any funds raised in the future is expected to be for repayment of indebtedness, investments in portfolio companies, cash distributions to our shareholders or for other general corporate or strategic purposes.</w:t>
      </w:r>
    </w:p>
    <w:p>
      <w:pPr>
        <w:spacing w:after="0" w:line="106" w:lineRule="exact"/>
        <w:rPr>
          <w:sz w:val="20"/>
          <w:szCs w:val="20"/>
          <w:color w:val="auto"/>
        </w:rPr>
      </w:pPr>
    </w:p>
    <w:p>
      <w:pPr>
        <w:ind w:right="100" w:firstLine="562"/>
        <w:spacing w:after="0" w:line="250" w:lineRule="auto"/>
        <w:rPr>
          <w:sz w:val="20"/>
          <w:szCs w:val="20"/>
          <w:color w:val="auto"/>
        </w:rPr>
      </w:pPr>
      <w:r>
        <w:rPr>
          <w:rFonts w:ascii="Arial" w:cs="Arial" w:eastAsia="Arial" w:hAnsi="Arial"/>
          <w:sz w:val="13"/>
          <w:szCs w:val="13"/>
          <w:color w:val="auto"/>
        </w:rPr>
        <w:t>In accordance with the 1940 Act, with certain limited exceptions, PennantPark Investment is only allowed to borrow amounts such that our asset coverage ratio is met after such borrowing. As of September 30, 2012, we excluded the principal amounts of our SBA debentures, from our asset coverage ratio pursuant to an SEC exemptive relief resulting in an asset coverage ratio of 564%. As a result of this exemptive relief, our asset coverage ratio of total assets on a consolidated basis, including the principal amount of our SBA debentures, to outstanding indebtedness may be less than 200%, which while providing increased investment flexibility, also increases our exposure to risks associated with leverage.</w:t>
      </w:r>
    </w:p>
    <w:p>
      <w:pPr>
        <w:spacing w:after="0" w:line="106"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For the fiscal year ended September 30, 2012 we sold 19.4 million shares of common stock, resulting in net proceeds of $198.9 million. On September 28, 2012, we raised net proceeds of $93.6 million from selling 9.0 million shares. This compares to selling 9.2 million shares of our common stock resulting in net proceeds of $108.3 million for the fiscal year ended September 30, 2011. Any decision to sell shares below the then current net asset value per share of our common stock is subject to shareholder approval and a determination by our board of directors that such issuance and sale is in our and our stockholders’ best interests. Any sale or other issuance of shares of our common stock at a price below net asset value per share results in immediate dilution to our stockholders’ interests in our common stock and a reduction in our net asset value per share.</w:t>
      </w:r>
    </w:p>
    <w:p>
      <w:pPr>
        <w:spacing w:after="0" w:line="108" w:lineRule="exact"/>
        <w:rPr>
          <w:sz w:val="20"/>
          <w:szCs w:val="20"/>
          <w:color w:val="auto"/>
        </w:rPr>
      </w:pPr>
    </w:p>
    <w:p>
      <w:pPr>
        <w:ind w:right="240" w:firstLine="562"/>
        <w:spacing w:after="0" w:line="247" w:lineRule="auto"/>
        <w:rPr>
          <w:sz w:val="20"/>
          <w:szCs w:val="20"/>
          <w:color w:val="auto"/>
        </w:rPr>
      </w:pPr>
      <w:r>
        <w:rPr>
          <w:rFonts w:ascii="Arial" w:cs="Arial" w:eastAsia="Arial" w:hAnsi="Arial"/>
          <w:sz w:val="13"/>
          <w:szCs w:val="13"/>
          <w:color w:val="auto"/>
        </w:rPr>
        <w:t>SBIC LP has borrowed funds from the SBA against regulatory capital (which approximates equity capital) that is paid-in and is subject to customary regulatory requirements including but not limited to an examination by the SBA. As of September 30, 2012, we committed and funded SBIC LP with $75.0 million of equity capital, and had SBA debentures outstanding of $150.0 million. SBA debentures are non-recourse to us, have a 10-year maturity and may be prepaid at any time without penalty. The interest rate of SBA debentures is fixed at the time of issuance, often referred to as pooling date, at a market-driven spread over 10-year U.S. Treasury Notes. SBA current regulations limit the amount that SBIC LP may borrow to a maximum of $150.0 million, which is up to twice its potential regulatory capital. SBIC LP has accessed the maximum borrowing permitted by the SBA with its $75.0 million in regulatory capital.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1240"/>
          </w:cols>
          <w:pgMar w:left="32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562"/>
        <w:spacing w:after="0" w:line="256" w:lineRule="auto"/>
        <w:rPr>
          <w:sz w:val="20"/>
          <w:szCs w:val="20"/>
          <w:color w:val="auto"/>
        </w:rPr>
      </w:pPr>
      <w:r>
        <w:rPr>
          <w:rFonts w:ascii="Arial" w:cs="Arial" w:eastAsia="Arial" w:hAnsi="Arial"/>
          <w:sz w:val="13"/>
          <w:szCs w:val="13"/>
          <w:color w:val="auto"/>
        </w:rPr>
        <w:t>As of September 30, 2012 and 2011, our $150.0 million in debt commitments were fully drawn with a weighted average interest rate of 3.70% exclusive of the 3.43% in upfront fees (4.04% after upfront fees). The SBA debentures upfront fees of 3.43% consist of a commitment fee of 1.00% and an issuance at a 2.43% discount to face. Both fees will be amortized over the lives of the loans. Our fixed rate SBA debentures as of September 30, 2012 and 2011 are as follows:</w:t>
      </w:r>
    </w:p>
    <w:p>
      <w:pPr>
        <w:spacing w:after="0" w:line="98" w:lineRule="exact"/>
        <w:rPr>
          <w:sz w:val="20"/>
          <w:szCs w:val="20"/>
          <w:color w:val="auto"/>
        </w:rPr>
      </w:pPr>
    </w:p>
    <w:tbl>
      <w:tblPr>
        <w:tblLayout w:type="fixed"/>
        <w:tblInd w:w="22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8"/>
              </w:rPr>
              <w:t>All-in</w:t>
            </w: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160" w:type="dxa"/>
            <w:vAlign w:val="bottom"/>
            <w:gridSpan w:val="2"/>
          </w:tcPr>
          <w:p>
            <w:pPr>
              <w:spacing w:after="0"/>
              <w:rPr>
                <w:sz w:val="20"/>
                <w:szCs w:val="20"/>
                <w:color w:val="auto"/>
              </w:rPr>
            </w:pPr>
            <w:r>
              <w:rPr>
                <w:rFonts w:ascii="Arial" w:cs="Arial" w:eastAsia="Arial" w:hAnsi="Arial"/>
                <w:sz w:val="13"/>
                <w:szCs w:val="13"/>
                <w:b w:val="1"/>
                <w:bCs w:val="1"/>
                <w:color w:val="auto"/>
              </w:rPr>
              <w:t>Issuance Dates</w:t>
            </w:r>
          </w:p>
        </w:tc>
        <w:tc>
          <w:tcPr>
            <w:tcW w:w="38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Arial" w:cs="Arial" w:eastAsia="Arial" w:hAnsi="Arial"/>
                <w:sz w:val="13"/>
                <w:szCs w:val="13"/>
                <w:b w:val="1"/>
                <w:bCs w:val="1"/>
                <w:color w:val="auto"/>
              </w:rPr>
              <w:t>Maturity</w:t>
            </w:r>
          </w:p>
        </w:tc>
        <w:tc>
          <w:tcPr>
            <w:tcW w:w="1820" w:type="dxa"/>
            <w:vAlign w:val="bottom"/>
            <w:gridSpan w:val="3"/>
          </w:tcPr>
          <w:p>
            <w:pPr>
              <w:jc w:val="center"/>
              <w:ind w:right="140"/>
              <w:spacing w:after="0" w:line="176" w:lineRule="exact"/>
              <w:rPr>
                <w:sz w:val="20"/>
                <w:szCs w:val="20"/>
                <w:color w:val="auto"/>
              </w:rPr>
            </w:pPr>
            <w:r>
              <w:rPr>
                <w:rFonts w:ascii="Arial" w:cs="Arial" w:eastAsia="Arial" w:hAnsi="Arial"/>
                <w:sz w:val="12"/>
                <w:szCs w:val="12"/>
                <w:b w:val="1"/>
                <w:bCs w:val="1"/>
                <w:color w:val="auto"/>
              </w:rPr>
              <w:t>Coupon Rate</w:t>
            </w:r>
            <w:r>
              <w:rPr>
                <w:rFonts w:ascii="Arial" w:cs="Arial" w:eastAsia="Arial" w:hAnsi="Arial"/>
                <w:sz w:val="20"/>
                <w:szCs w:val="20"/>
                <w:b w:val="1"/>
                <w:bCs w:val="1"/>
                <w:color w:val="auto"/>
                <w:vertAlign w:val="superscript"/>
              </w:rPr>
              <w:t>(1)</w:t>
            </w:r>
          </w:p>
        </w:tc>
        <w:tc>
          <w:tcPr>
            <w:tcW w:w="1360" w:type="dxa"/>
            <w:vAlign w:val="bottom"/>
            <w:gridSpan w:val="2"/>
          </w:tcPr>
          <w:p>
            <w:pPr>
              <w:ind w:left="120"/>
              <w:spacing w:after="0"/>
              <w:rPr>
                <w:sz w:val="20"/>
                <w:szCs w:val="20"/>
                <w:color w:val="auto"/>
              </w:rPr>
            </w:pPr>
            <w:r>
              <w:rPr>
                <w:rFonts w:ascii="Arial" w:cs="Arial" w:eastAsia="Arial" w:hAnsi="Arial"/>
                <w:sz w:val="13"/>
                <w:szCs w:val="13"/>
                <w:b w:val="1"/>
                <w:bCs w:val="1"/>
                <w:color w:val="auto"/>
              </w:rPr>
              <w:t>Principal 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September 22, 2010</w:t>
            </w:r>
          </w:p>
        </w:tc>
        <w:tc>
          <w:tcPr>
            <w:tcW w:w="380" w:type="dxa"/>
            <w:vAlign w:val="bottom"/>
            <w:vMerge w:val="continue"/>
            <w:shd w:val="clear" w:color="auto" w:fill="CCEEFF"/>
          </w:tcPr>
          <w:p>
            <w:pPr>
              <w:spacing w:after="0"/>
              <w:rPr>
                <w:sz w:val="12"/>
                <w:szCs w:val="12"/>
                <w:color w:val="auto"/>
              </w:rPr>
            </w:pPr>
          </w:p>
        </w:tc>
        <w:tc>
          <w:tcPr>
            <w:tcW w:w="10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w w:val="90"/>
              </w:rPr>
              <w:t>September 1, 2020</w:t>
            </w:r>
          </w:p>
        </w:tc>
        <w:tc>
          <w:tcPr>
            <w:tcW w:w="380" w:type="dxa"/>
            <w:vAlign w:val="bottom"/>
            <w:vMerge w:val="continue"/>
            <w:shd w:val="clear" w:color="auto" w:fill="CCEEFF"/>
          </w:tcPr>
          <w:p>
            <w:pPr>
              <w:spacing w:after="0"/>
              <w:rPr>
                <w:sz w:val="12"/>
                <w:szCs w:val="12"/>
                <w:color w:val="auto"/>
              </w:rPr>
            </w:pPr>
          </w:p>
        </w:tc>
        <w:tc>
          <w:tcPr>
            <w:tcW w:w="1440" w:type="dxa"/>
            <w:vAlign w:val="bottom"/>
            <w:gridSpan w:val="2"/>
            <w:shd w:val="clear" w:color="auto" w:fill="CCEEFF"/>
          </w:tcPr>
          <w:p>
            <w:pPr>
              <w:ind w:left="700"/>
              <w:spacing w:after="0" w:line="142" w:lineRule="exact"/>
              <w:rPr>
                <w:sz w:val="20"/>
                <w:szCs w:val="20"/>
                <w:color w:val="auto"/>
              </w:rPr>
            </w:pPr>
            <w:r>
              <w:rPr>
                <w:rFonts w:ascii="Arial" w:cs="Arial" w:eastAsia="Arial" w:hAnsi="Arial"/>
                <w:sz w:val="13"/>
                <w:szCs w:val="13"/>
                <w:color w:val="auto"/>
              </w:rPr>
              <w:t>3.50%</w:t>
            </w:r>
          </w:p>
        </w:tc>
        <w:tc>
          <w:tcPr>
            <w:tcW w:w="400" w:type="dxa"/>
            <w:vAlign w:val="bottom"/>
            <w:shd w:val="clear" w:color="auto" w:fill="CCEEFF"/>
          </w:tcPr>
          <w:p>
            <w:pPr>
              <w:ind w:left="120"/>
              <w:spacing w:after="0" w:line="142" w:lineRule="exact"/>
              <w:rPr>
                <w:sz w:val="20"/>
                <w:szCs w:val="20"/>
                <w:color w:val="auto"/>
              </w:rPr>
            </w:pPr>
            <w:r>
              <w:rPr>
                <w:rFonts w:ascii="Arial" w:cs="Arial" w:eastAsia="Arial" w:hAnsi="Arial"/>
                <w:sz w:val="13"/>
                <w:szCs w:val="13"/>
                <w:color w:val="auto"/>
              </w:rPr>
              <w:t>$</w:t>
            </w:r>
          </w:p>
        </w:tc>
        <w:tc>
          <w:tcPr>
            <w:tcW w:w="960" w:type="dxa"/>
            <w:vAlign w:val="bottom"/>
            <w:tcBorders>
              <w:right w:val="single" w:sz="8" w:color="CCEEFF"/>
            </w:tcBorders>
            <w:shd w:val="clear" w:color="auto" w:fill="CCEEFF"/>
          </w:tcPr>
          <w:p>
            <w:pPr>
              <w:jc w:val="right"/>
              <w:ind w:right="13"/>
              <w:spacing w:after="0" w:line="142" w:lineRule="exact"/>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229"/>
        </w:trPr>
        <w:tc>
          <w:tcPr>
            <w:tcW w:w="2160" w:type="dxa"/>
            <w:vAlign w:val="bottom"/>
            <w:gridSpan w:val="2"/>
          </w:tcPr>
          <w:p>
            <w:pPr>
              <w:spacing w:after="0"/>
              <w:rPr>
                <w:sz w:val="20"/>
                <w:szCs w:val="20"/>
                <w:color w:val="auto"/>
              </w:rPr>
            </w:pPr>
            <w:r>
              <w:rPr>
                <w:rFonts w:ascii="Arial" w:cs="Arial" w:eastAsia="Arial" w:hAnsi="Arial"/>
                <w:sz w:val="13"/>
                <w:szCs w:val="13"/>
                <w:color w:val="auto"/>
              </w:rPr>
              <w:t>March 29, 2011</w:t>
            </w:r>
          </w:p>
        </w:tc>
        <w:tc>
          <w:tcPr>
            <w:tcW w:w="1400" w:type="dxa"/>
            <w:vAlign w:val="bottom"/>
            <w:gridSpan w:val="2"/>
          </w:tcPr>
          <w:p>
            <w:pPr>
              <w:ind w:left="380"/>
              <w:spacing w:after="0"/>
              <w:rPr>
                <w:sz w:val="20"/>
                <w:szCs w:val="20"/>
                <w:color w:val="auto"/>
              </w:rPr>
            </w:pPr>
            <w:r>
              <w:rPr>
                <w:rFonts w:ascii="Arial" w:cs="Arial" w:eastAsia="Arial" w:hAnsi="Arial"/>
                <w:sz w:val="13"/>
                <w:szCs w:val="13"/>
                <w:color w:val="auto"/>
              </w:rPr>
              <w:t>March 1, 2021</w:t>
            </w:r>
          </w:p>
        </w:tc>
        <w:tc>
          <w:tcPr>
            <w:tcW w:w="1320" w:type="dxa"/>
            <w:vAlign w:val="bottom"/>
            <w:gridSpan w:val="2"/>
          </w:tcPr>
          <w:p>
            <w:pPr>
              <w:ind w:left="1080"/>
              <w:spacing w:after="0"/>
              <w:rPr>
                <w:sz w:val="20"/>
                <w:szCs w:val="20"/>
                <w:color w:val="auto"/>
              </w:rPr>
            </w:pPr>
            <w:r>
              <w:rPr>
                <w:rFonts w:ascii="Arial" w:cs="Arial" w:eastAsia="Arial" w:hAnsi="Arial"/>
                <w:sz w:val="13"/>
                <w:szCs w:val="13"/>
                <w:color w:val="auto"/>
                <w:w w:val="86"/>
              </w:rPr>
              <w:t>4.46</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44,500,000</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3"/>
                <w:szCs w:val="13"/>
                <w:color w:val="auto"/>
              </w:rPr>
              <w:t>September 21, 2011</w:t>
            </w:r>
          </w:p>
        </w:tc>
        <w:tc>
          <w:tcPr>
            <w:tcW w:w="14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w w:val="90"/>
              </w:rPr>
              <w:t>September 1, 2021</w:t>
            </w:r>
          </w:p>
        </w:tc>
        <w:tc>
          <w:tcPr>
            <w:tcW w:w="38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w w:val="86"/>
              </w:rPr>
              <w:t>3.38</w:t>
            </w:r>
          </w:p>
        </w:tc>
        <w:tc>
          <w:tcPr>
            <w:tcW w:w="5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CCEEFF"/>
            </w:tcBorders>
            <w:shd w:val="clear" w:color="auto" w:fill="CCEEFF"/>
          </w:tcPr>
          <w:p>
            <w:pPr>
              <w:jc w:val="right"/>
              <w:ind w:right="13"/>
              <w:spacing w:after="0"/>
              <w:rPr>
                <w:sz w:val="20"/>
                <w:szCs w:val="20"/>
                <w:color w:val="auto"/>
              </w:rPr>
            </w:pPr>
            <w:r>
              <w:rPr>
                <w:rFonts w:ascii="Arial" w:cs="Arial" w:eastAsia="Arial" w:hAnsi="Arial"/>
                <w:sz w:val="13"/>
                <w:szCs w:val="13"/>
                <w:color w:val="auto"/>
              </w:rPr>
              <w:t>105,000,000</w:t>
            </w:r>
          </w:p>
        </w:tc>
        <w:tc>
          <w:tcPr>
            <w:tcW w:w="0" w:type="dxa"/>
            <w:vAlign w:val="bottom"/>
          </w:tcPr>
          <w:p>
            <w:pPr>
              <w:spacing w:after="0"/>
              <w:rPr>
                <w:sz w:val="1"/>
                <w:szCs w:val="1"/>
                <w:color w:val="auto"/>
              </w:rPr>
            </w:pPr>
          </w:p>
        </w:tc>
      </w:tr>
      <w:tr>
        <w:trPr>
          <w:trHeight w:val="156"/>
        </w:trPr>
        <w:tc>
          <w:tcPr>
            <w:tcW w:w="2160" w:type="dxa"/>
            <w:vAlign w:val="bottom"/>
            <w:gridSpan w:val="2"/>
          </w:tcPr>
          <w:p>
            <w:pPr>
              <w:spacing w:after="0"/>
              <w:rPr>
                <w:sz w:val="20"/>
                <w:szCs w:val="20"/>
                <w:color w:val="auto"/>
              </w:rPr>
            </w:pPr>
            <w:r>
              <w:rPr>
                <w:rFonts w:ascii="Arial" w:cs="Arial" w:eastAsia="Arial" w:hAnsi="Arial"/>
                <w:sz w:val="13"/>
                <w:szCs w:val="13"/>
                <w:color w:val="auto"/>
              </w:rPr>
              <w:t>Weighted average rate / Total</w:t>
            </w: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20" w:type="dxa"/>
            <w:vAlign w:val="bottom"/>
            <w:gridSpan w:val="3"/>
          </w:tcPr>
          <w:p>
            <w:pPr>
              <w:ind w:left="1080"/>
              <w:spacing w:after="0"/>
              <w:rPr>
                <w:sz w:val="20"/>
                <w:szCs w:val="20"/>
                <w:color w:val="auto"/>
              </w:rPr>
            </w:pPr>
            <w:r>
              <w:rPr>
                <w:rFonts w:ascii="Arial" w:cs="Arial" w:eastAsia="Arial" w:hAnsi="Arial"/>
                <w:sz w:val="13"/>
                <w:szCs w:val="13"/>
                <w:color w:val="auto"/>
              </w:rPr>
              <w:t>3.70%</w:t>
            </w:r>
          </w:p>
        </w:tc>
        <w:tc>
          <w:tcPr>
            <w:tcW w:w="400" w:type="dxa"/>
            <w:vAlign w:val="bottom"/>
          </w:tcPr>
          <w:p>
            <w:pPr>
              <w:ind w:left="12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150,000,000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77470</wp:posOffset>
            </wp:positionV>
            <wp:extent cx="19202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31" w:lineRule="exact"/>
        <w:rPr>
          <w:sz w:val="20"/>
          <w:szCs w:val="20"/>
          <w:color w:val="auto"/>
        </w:rPr>
      </w:pPr>
    </w:p>
    <w:p>
      <w:pPr>
        <w:ind w:left="2240"/>
        <w:spacing w:after="0"/>
        <w:rPr>
          <w:sz w:val="20"/>
          <w:szCs w:val="20"/>
          <w:color w:val="auto"/>
        </w:rPr>
      </w:pPr>
      <w:r>
        <w:rPr>
          <w:rFonts w:ascii="Arial" w:cs="Arial" w:eastAsia="Arial" w:hAnsi="Arial"/>
          <w:sz w:val="13"/>
          <w:szCs w:val="13"/>
          <w:color w:val="auto"/>
        </w:rPr>
        <w:t>(1)Excludes 3.43% of upfront fees.</w:t>
      </w:r>
    </w:p>
    <w:p>
      <w:pPr>
        <w:spacing w:after="0" w:line="134"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The SBIC program is designed to stimulate the flow of capital into eligible businesses.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September 30, 2012, SBIC LP was in compliance with all SBA regulatory requirements.</w:t>
      </w:r>
    </w:p>
    <w:p>
      <w:pPr>
        <w:spacing w:after="0" w:line="108" w:lineRule="exact"/>
        <w:rPr>
          <w:sz w:val="20"/>
          <w:szCs w:val="20"/>
          <w:color w:val="auto"/>
        </w:rPr>
      </w:pPr>
    </w:p>
    <w:p>
      <w:pPr>
        <w:ind w:right="220" w:firstLine="562"/>
        <w:spacing w:after="0" w:line="256" w:lineRule="auto"/>
        <w:rPr>
          <w:sz w:val="20"/>
          <w:szCs w:val="20"/>
          <w:color w:val="auto"/>
        </w:rPr>
      </w:pPr>
      <w:r>
        <w:rPr>
          <w:rFonts w:ascii="Arial" w:cs="Arial" w:eastAsia="Arial" w:hAnsi="Arial"/>
          <w:sz w:val="13"/>
          <w:szCs w:val="13"/>
          <w:color w:val="auto"/>
        </w:rPr>
        <w:t>On June 1, 2011, we received exemptive relief from the SEC allowing us to modify the asset coverage requirement to exclude the SBA debentures from the calculation. Accordingly, our ratio of total assets on a consolidated basis to outstanding indebtedness may be less than 200%, which while providing increased investment flexibility, would also increase our exposure to risks associated with leverage.</w:t>
      </w:r>
    </w:p>
    <w:p>
      <w:pPr>
        <w:spacing w:after="0" w:line="102" w:lineRule="exact"/>
        <w:rPr>
          <w:sz w:val="20"/>
          <w:szCs w:val="20"/>
          <w:color w:val="auto"/>
        </w:rPr>
      </w:pPr>
    </w:p>
    <w:p>
      <w:pPr>
        <w:jc w:val="both"/>
        <w:ind w:right="320" w:firstLine="562"/>
        <w:spacing w:after="0" w:line="256" w:lineRule="auto"/>
        <w:rPr>
          <w:sz w:val="20"/>
          <w:szCs w:val="20"/>
          <w:color w:val="auto"/>
        </w:rPr>
      </w:pPr>
      <w:r>
        <w:rPr>
          <w:rFonts w:ascii="Arial" w:cs="Arial" w:eastAsia="Arial" w:hAnsi="Arial"/>
          <w:sz w:val="13"/>
          <w:szCs w:val="13"/>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asset coverage ratio.</w:t>
      </w:r>
    </w:p>
    <w:p>
      <w:pPr>
        <w:spacing w:after="0" w:line="102" w:lineRule="exact"/>
        <w:rPr>
          <w:sz w:val="20"/>
          <w:szCs w:val="20"/>
          <w:color w:val="auto"/>
        </w:rPr>
      </w:pPr>
    </w:p>
    <w:p>
      <w:pPr>
        <w:jc w:val="both"/>
        <w:ind w:right="300" w:firstLine="562"/>
        <w:spacing w:after="0" w:line="274" w:lineRule="auto"/>
        <w:rPr>
          <w:sz w:val="20"/>
          <w:szCs w:val="20"/>
          <w:color w:val="auto"/>
        </w:rPr>
      </w:pPr>
      <w:r>
        <w:rPr>
          <w:rFonts w:ascii="Arial" w:cs="Arial" w:eastAsia="Arial" w:hAnsi="Arial"/>
          <w:sz w:val="13"/>
          <w:szCs w:val="13"/>
          <w:color w:val="auto"/>
        </w:rPr>
        <w:t>Our operating activities used cash of $115.3 million for the fiscal year ended September 30, 2012, and our financing activities provided cash proceeds of $51.3 million for the same period. Our operating activities used cash primarily for investing that was provided primarily from proceeds from our follow-on public offerings of common stock.</w:t>
      </w:r>
    </w:p>
    <w:p>
      <w:pPr>
        <w:spacing w:after="0" w:line="91" w:lineRule="exact"/>
        <w:rPr>
          <w:sz w:val="20"/>
          <w:szCs w:val="20"/>
          <w:color w:val="auto"/>
        </w:rPr>
      </w:pPr>
    </w:p>
    <w:p>
      <w:pPr>
        <w:ind w:right="40" w:firstLine="562"/>
        <w:spacing w:after="0" w:line="317" w:lineRule="auto"/>
        <w:rPr>
          <w:sz w:val="20"/>
          <w:szCs w:val="20"/>
          <w:color w:val="auto"/>
        </w:rPr>
      </w:pPr>
      <w:r>
        <w:rPr>
          <w:rFonts w:ascii="Arial" w:cs="Arial" w:eastAsia="Arial" w:hAnsi="Arial"/>
          <w:sz w:val="12"/>
          <w:szCs w:val="12"/>
          <w:color w:val="auto"/>
        </w:rPr>
        <w:t>Our operating activities used cash of $137.8 million for the fiscal year ended September 30, 2011, and our financing activities provided cash proceeds of $207.6 million for the same period. Our operating activities used cash primarily for investing that was provided primarily from proceeds from our follow-on public offering of common stock and draws under our Credit Facility and SBA debentures.</w:t>
      </w:r>
    </w:p>
    <w:p>
      <w:pPr>
        <w:spacing w:after="0" w:line="67"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Our operating activities used cash of $127.1 million for the fiscal year ended September 30, 2010, and our financing activities provided cash proceeds of $95.6 million for the same period, primarily from proceeds from a follow-on public offerings of common stock. Our operating activities used cash primarily for investing, that was provided from proceeds from secondary public offerings and draws under our Credit Facility.</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 summary of our significant contractual payment obligations as of September 30, 2012 including, borrowings under our multi-currency Credit Facility and other contractual obligations, are as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Payments due by period (in millions)</w:t>
            </w:r>
          </w:p>
        </w:tc>
        <w:tc>
          <w:tcPr>
            <w:tcW w:w="8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Less than</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center"/>
              <w:ind w:right="113"/>
              <w:spacing w:after="0" w:line="129" w:lineRule="exact"/>
              <w:rPr>
                <w:sz w:val="20"/>
                <w:szCs w:val="20"/>
                <w:color w:val="auto"/>
              </w:rPr>
            </w:pPr>
            <w:r>
              <w:rPr>
                <w:rFonts w:ascii="Arial" w:cs="Arial" w:eastAsia="Arial" w:hAnsi="Arial"/>
                <w:sz w:val="13"/>
                <w:szCs w:val="13"/>
                <w:b w:val="1"/>
                <w:bCs w:val="1"/>
                <w:color w:val="auto"/>
                <w:w w:val="96"/>
              </w:rPr>
              <w:t>More than</w:t>
            </w:r>
          </w:p>
        </w:tc>
        <w:tc>
          <w:tcPr>
            <w:tcW w:w="100" w:type="dxa"/>
            <w:vAlign w:val="bottom"/>
          </w:tcPr>
          <w:p>
            <w:pPr>
              <w:spacing w:after="0"/>
              <w:rPr>
                <w:sz w:val="11"/>
                <w:szCs w:val="11"/>
                <w:color w:val="auto"/>
              </w:rPr>
            </w:pPr>
          </w:p>
        </w:tc>
      </w:tr>
      <w:tr>
        <w:trPr>
          <w:trHeight w:val="161"/>
        </w:trPr>
        <w:tc>
          <w:tcPr>
            <w:tcW w:w="4140" w:type="dxa"/>
            <w:vAlign w:val="bottom"/>
          </w:tcPr>
          <w:p>
            <w:pPr>
              <w:spacing w:after="0"/>
              <w:rPr>
                <w:sz w:val="14"/>
                <w:szCs w:val="14"/>
                <w:color w:val="auto"/>
              </w:rPr>
            </w:pPr>
          </w:p>
        </w:tc>
        <w:tc>
          <w:tcPr>
            <w:tcW w:w="760" w:type="dxa"/>
            <w:vAlign w:val="bottom"/>
          </w:tcPr>
          <w:p>
            <w:pPr>
              <w:jc w:val="right"/>
              <w:ind w:right="4"/>
              <w:spacing w:after="0"/>
              <w:rPr>
                <w:sz w:val="20"/>
                <w:szCs w:val="20"/>
                <w:color w:val="auto"/>
              </w:rPr>
            </w:pPr>
            <w:r>
              <w:rPr>
                <w:rFonts w:ascii="Arial" w:cs="Arial" w:eastAsia="Arial" w:hAnsi="Arial"/>
                <w:sz w:val="13"/>
                <w:szCs w:val="13"/>
                <w:b w:val="1"/>
                <w:bCs w:val="1"/>
                <w:color w:val="auto"/>
              </w:rPr>
              <w:t>Total</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33"/>
              <w:spacing w:after="0"/>
              <w:rPr>
                <w:sz w:val="20"/>
                <w:szCs w:val="20"/>
                <w:color w:val="auto"/>
              </w:rPr>
            </w:pPr>
            <w:r>
              <w:rPr>
                <w:rFonts w:ascii="Arial" w:cs="Arial" w:eastAsia="Arial" w:hAnsi="Arial"/>
                <w:sz w:val="13"/>
                <w:szCs w:val="13"/>
                <w:b w:val="1"/>
                <w:bCs w:val="1"/>
                <w:color w:val="auto"/>
              </w:rPr>
              <w:t>1 year</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1-3 years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233"/>
              <w:spacing w:after="0"/>
              <w:rPr>
                <w:sz w:val="20"/>
                <w:szCs w:val="20"/>
                <w:color w:val="auto"/>
              </w:rPr>
            </w:pPr>
            <w:r>
              <w:rPr>
                <w:rFonts w:ascii="Arial" w:cs="Arial" w:eastAsia="Arial" w:hAnsi="Arial"/>
                <w:sz w:val="13"/>
                <w:szCs w:val="13"/>
                <w:b w:val="1"/>
                <w:bCs w:val="1"/>
                <w:color w:val="auto"/>
                <w:w w:val="95"/>
              </w:rPr>
              <w:t>3-5 years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5 years</w:t>
            </w:r>
          </w:p>
        </w:tc>
      </w:tr>
      <w:tr>
        <w:trPr>
          <w:trHeight w:val="142"/>
        </w:trPr>
        <w:tc>
          <w:tcPr>
            <w:tcW w:w="4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Credit Facility</w:t>
            </w:r>
          </w:p>
        </w:tc>
        <w:tc>
          <w:tcPr>
            <w:tcW w:w="760" w:type="dxa"/>
            <w:vAlign w:val="bottom"/>
            <w:tcBorders>
              <w:top w:val="single" w:sz="8" w:color="auto"/>
            </w:tcBorders>
            <w:shd w:val="clear" w:color="auto" w:fill="CCEEFF"/>
          </w:tcPr>
          <w:p>
            <w:pPr>
              <w:jc w:val="right"/>
              <w:ind w:right="644"/>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8"/>
              </w:rPr>
              <w:t>145.0</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ind w:right="593"/>
              <w:spacing w:after="0" w:line="142" w:lineRule="exact"/>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4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3"/>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145.0</w:t>
            </w:r>
          </w:p>
        </w:tc>
        <w:tc>
          <w:tcPr>
            <w:tcW w:w="4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4140" w:type="dxa"/>
            <w:vAlign w:val="bottom"/>
          </w:tcPr>
          <w:p>
            <w:pPr>
              <w:spacing w:after="0"/>
              <w:rPr>
                <w:sz w:val="20"/>
                <w:szCs w:val="20"/>
                <w:color w:val="auto"/>
              </w:rPr>
            </w:pPr>
            <w:r>
              <w:rPr>
                <w:rFonts w:ascii="Arial" w:cs="Arial" w:eastAsia="Arial" w:hAnsi="Arial"/>
                <w:sz w:val="13"/>
                <w:szCs w:val="13"/>
                <w:color w:val="auto"/>
              </w:rPr>
              <w:t>SBA debentures</w:t>
            </w:r>
          </w:p>
        </w:tc>
        <w:tc>
          <w:tcPr>
            <w:tcW w:w="76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w w:val="98"/>
              </w:rPr>
              <w:t>150.0</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150.0</w:t>
            </w:r>
          </w:p>
        </w:tc>
      </w:tr>
      <w:tr>
        <w:trPr>
          <w:trHeight w:val="27"/>
        </w:trPr>
        <w:tc>
          <w:tcPr>
            <w:tcW w:w="4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41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Total debt outstanding</w:t>
            </w:r>
            <w:r>
              <w:rPr>
                <w:rFonts w:ascii="Arial" w:cs="Arial" w:eastAsia="Arial" w:hAnsi="Arial"/>
                <w:sz w:val="17"/>
                <w:szCs w:val="17"/>
                <w:color w:val="auto"/>
                <w:vertAlign w:val="superscript"/>
              </w:rPr>
              <w:t>(1)</w:t>
            </w:r>
          </w:p>
        </w:tc>
        <w:tc>
          <w:tcPr>
            <w:tcW w:w="7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8"/>
              </w:rPr>
              <w:t>295.0</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145.0</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150.0</w:t>
            </w:r>
          </w:p>
        </w:tc>
      </w:tr>
      <w:tr>
        <w:trPr>
          <w:trHeight w:val="149"/>
        </w:trPr>
        <w:tc>
          <w:tcPr>
            <w:tcW w:w="4140" w:type="dxa"/>
            <w:vAlign w:val="bottom"/>
          </w:tcPr>
          <w:p>
            <w:pPr>
              <w:spacing w:after="0" w:line="149" w:lineRule="exact"/>
              <w:rPr>
                <w:sz w:val="20"/>
                <w:szCs w:val="20"/>
                <w:color w:val="auto"/>
              </w:rPr>
            </w:pPr>
            <w:r>
              <w:rPr>
                <w:rFonts w:ascii="Arial" w:cs="Arial" w:eastAsia="Arial" w:hAnsi="Arial"/>
                <w:sz w:val="11"/>
                <w:szCs w:val="11"/>
                <w:color w:val="auto"/>
              </w:rPr>
              <w:t>Unfunded investments</w:t>
            </w:r>
            <w:r>
              <w:rPr>
                <w:rFonts w:ascii="Arial" w:cs="Arial" w:eastAsia="Arial" w:hAnsi="Arial"/>
                <w:sz w:val="17"/>
                <w:szCs w:val="17"/>
                <w:color w:val="auto"/>
                <w:vertAlign w:val="superscript"/>
              </w:rPr>
              <w:t>(2)</w:t>
            </w:r>
          </w:p>
        </w:tc>
        <w:tc>
          <w:tcPr>
            <w:tcW w:w="76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26.9</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88"/>
              </w:rPr>
              <w:t>0.1</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26.3</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0.5</w:t>
            </w:r>
          </w:p>
        </w:tc>
      </w:tr>
      <w:tr>
        <w:trPr>
          <w:trHeight w:val="27"/>
        </w:trPr>
        <w:tc>
          <w:tcPr>
            <w:tcW w:w="4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4140" w:type="dxa"/>
            <w:vAlign w:val="bottom"/>
            <w:shd w:val="clear" w:color="auto" w:fill="CCEEFF"/>
          </w:tcPr>
          <w:p>
            <w:pPr>
              <w:spacing w:after="0"/>
              <w:rPr>
                <w:sz w:val="20"/>
                <w:szCs w:val="20"/>
                <w:color w:val="auto"/>
              </w:rPr>
            </w:pPr>
            <w:r>
              <w:rPr>
                <w:rFonts w:ascii="Arial" w:cs="Arial" w:eastAsia="Arial" w:hAnsi="Arial"/>
                <w:sz w:val="13"/>
                <w:szCs w:val="13"/>
                <w:color w:val="auto"/>
              </w:rPr>
              <w:t>Total contractual obligations</w:t>
            </w:r>
          </w:p>
        </w:tc>
        <w:tc>
          <w:tcPr>
            <w:tcW w:w="760" w:type="dxa"/>
            <w:vAlign w:val="bottom"/>
            <w:shd w:val="clear" w:color="auto" w:fill="CCEEFF"/>
          </w:tcPr>
          <w:p>
            <w:pPr>
              <w:jc w:val="right"/>
              <w:ind w:right="644"/>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8"/>
              </w:rPr>
              <w:t>321.9</w:t>
            </w:r>
          </w:p>
        </w:tc>
        <w:tc>
          <w:tcPr>
            <w:tcW w:w="940" w:type="dxa"/>
            <w:vAlign w:val="bottom"/>
            <w:gridSpan w:val="2"/>
            <w:shd w:val="clear" w:color="auto" w:fill="CCEEFF"/>
          </w:tcPr>
          <w:p>
            <w:pPr>
              <w:jc w:val="right"/>
              <w:ind w:right="593"/>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0.1</w:t>
            </w:r>
          </w:p>
        </w:tc>
        <w:tc>
          <w:tcPr>
            <w:tcW w:w="58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26.3</w:t>
            </w:r>
          </w:p>
        </w:tc>
        <w:tc>
          <w:tcPr>
            <w:tcW w:w="48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145.0</w:t>
            </w:r>
          </w:p>
        </w:tc>
        <w:tc>
          <w:tcPr>
            <w:tcW w:w="58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150.5</w:t>
            </w:r>
          </w:p>
        </w:tc>
      </w:tr>
      <w:tr>
        <w:trPr>
          <w:trHeight w:val="20"/>
        </w:trPr>
        <w:tc>
          <w:tcPr>
            <w:tcW w:w="4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7830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31" w:lineRule="exact"/>
        <w:rPr>
          <w:sz w:val="20"/>
          <w:szCs w:val="20"/>
          <w:color w:val="auto"/>
        </w:rPr>
      </w:pPr>
    </w:p>
    <w:p>
      <w:pPr>
        <w:ind w:left="460" w:right="180" w:hanging="452"/>
        <w:spacing w:after="0" w:line="248" w:lineRule="auto"/>
        <w:tabs>
          <w:tab w:leader="none" w:pos="4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weighted average interest rate on the total debt outstanding as of September 30, 2012 was 3.60% exclusive of the fee on the undrawn commitment of 0.50% on the Credit Facility and 3.43% of upfront fees on SBIC LP’s SBA debentures.</w:t>
      </w:r>
    </w:p>
    <w:p>
      <w:pPr>
        <w:ind w:left="460" w:hanging="452"/>
        <w:spacing w:after="0"/>
        <w:tabs>
          <w:tab w:leader="none" w:pos="4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Unfunded debt investments described in the Consolidated Statement of Assets and Liabilities represent unfunded delayed draws on investments.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ectPr>
          <w:pgSz w:w="11900" w:h="16838" w:orient="portrait"/>
          <w:cols w:equalWidth="0" w:num="1">
            <w:col w:w="11240"/>
          </w:cols>
          <w:pgMar w:left="32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firstLine="562"/>
        <w:spacing w:after="0" w:line="263"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which was renewed in February 2012, PennantPark Investment Advisers serves as our Investment Adviser in accordance with the terms of that Investment Management Agreement. PennantPark Investment, through the Investment Adviser, provides similar services to SBIC LP under its investment management agreement with us. The SBIC LP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gross assets and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(2) an incentive fee based on our performance.</w:t>
      </w:r>
    </w:p>
    <w:p>
      <w:pPr>
        <w:spacing w:after="0" w:line="122" w:lineRule="exact"/>
        <w:rPr>
          <w:sz w:val="20"/>
          <w:szCs w:val="20"/>
          <w:color w:val="auto"/>
        </w:rPr>
      </w:pPr>
    </w:p>
    <w:p>
      <w:pPr>
        <w:ind w:right="180" w:firstLine="562"/>
        <w:spacing w:after="0" w:line="245" w:lineRule="auto"/>
        <w:rPr>
          <w:sz w:val="20"/>
          <w:szCs w:val="20"/>
          <w:color w:val="auto"/>
        </w:rPr>
      </w:pPr>
      <w:r>
        <w:rPr>
          <w:rFonts w:ascii="Arial" w:cs="Arial" w:eastAsia="Arial" w:hAnsi="Arial"/>
          <w:sz w:val="13"/>
          <w:szCs w:val="13"/>
          <w:color w:val="auto"/>
        </w:rPr>
        <w:t>Under our Administration Agreement, which was renewed in February 2012, PennantPark Investment Administration furnishes us with office facilities and administrative services necessary to conduct our day-to-day operations. PennantPark Investment, through the Administrator, provides similar services to SBIC LP under its administration agreement, which is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10" w:lineRule="exact"/>
        <w:rPr>
          <w:sz w:val="20"/>
          <w:szCs w:val="20"/>
          <w:color w:val="auto"/>
        </w:rPr>
      </w:pPr>
    </w:p>
    <w:p>
      <w:pPr>
        <w:jc w:val="both"/>
        <w:ind w:firstLine="562"/>
        <w:spacing w:after="0" w:line="256" w:lineRule="auto"/>
        <w:rPr>
          <w:sz w:val="20"/>
          <w:szCs w:val="20"/>
          <w:color w:val="auto"/>
        </w:rPr>
      </w:pPr>
      <w:r>
        <w:rPr>
          <w:rFonts w:ascii="Arial" w:cs="Arial" w:eastAsia="Arial" w:hAnsi="Arial"/>
          <w:sz w:val="13"/>
          <w:szCs w:val="13"/>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currently engage in no off-balance sheet arrangements, including any risk management of commodity pricing or other hedging practices.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Dividends and Distributions</w:t>
      </w:r>
    </w:p>
    <w:p>
      <w:pPr>
        <w:spacing w:after="0" w:line="80" w:lineRule="exact"/>
        <w:rPr>
          <w:sz w:val="20"/>
          <w:szCs w:val="20"/>
          <w:color w:val="auto"/>
        </w:rPr>
      </w:pPr>
    </w:p>
    <w:p>
      <w:pPr>
        <w:ind w:right="20" w:firstLine="562"/>
        <w:spacing w:after="0" w:line="265" w:lineRule="auto"/>
        <w:rPr>
          <w:sz w:val="20"/>
          <w:szCs w:val="20"/>
          <w:color w:val="auto"/>
        </w:rPr>
      </w:pPr>
      <w:r>
        <w:rPr>
          <w:rFonts w:ascii="Arial" w:cs="Arial" w:eastAsia="Arial" w:hAnsi="Arial"/>
          <w:sz w:val="12"/>
          <w:szCs w:val="12"/>
          <w:color w:val="auto"/>
        </w:rPr>
        <w:t>In order to qualify as a RIC and to not be subject to corporate-level tax on income, we are required, under Subchapter M of the Code, to distribute annually dividends of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w:t>
      </w:r>
    </w:p>
    <w:p>
      <w:pPr>
        <w:ind w:right="20" w:firstLine="8"/>
        <w:spacing w:after="0" w:line="271" w:lineRule="auto"/>
        <w:tabs>
          <w:tab w:leader="none" w:pos="191" w:val="left"/>
        </w:tabs>
        <w:numPr>
          <w:ilvl w:val="0"/>
          <w:numId w:val="46"/>
        </w:numPr>
        <w:rPr>
          <w:rFonts w:ascii="Arial" w:cs="Arial" w:eastAsia="Arial" w:hAnsi="Arial"/>
          <w:sz w:val="12"/>
          <w:szCs w:val="12"/>
          <w:color w:val="auto"/>
        </w:rPr>
      </w:pPr>
      <w:r>
        <w:rPr>
          <w:rFonts w:ascii="Arial" w:cs="Arial" w:eastAsia="Arial" w:hAnsi="Arial"/>
          <w:sz w:val="12"/>
          <w:szCs w:val="12"/>
          <w:color w:val="auto"/>
        </w:rPr>
        <w:t>98% of our net ordinary income for the calendar year, (2) 98.2% of our realized net capital gains for the one-year period ending on October 31 of the calendar year and (3) 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For the fiscal years ended September 30, 2012, 2011, and 2010, we elected to retain a portion of our calendar year income and incurred an excise tax of approximately $0.3 million, $0.2 million and $0.1 million, respectively.</w:t>
      </w:r>
    </w:p>
    <w:p>
      <w:pPr>
        <w:spacing w:after="0" w:line="94" w:lineRule="exact"/>
        <w:rPr>
          <w:sz w:val="20"/>
          <w:szCs w:val="20"/>
          <w:color w:val="auto"/>
        </w:rPr>
      </w:pPr>
    </w:p>
    <w:p>
      <w:pPr>
        <w:ind w:right="40" w:firstLine="562"/>
        <w:spacing w:after="0" w:line="250" w:lineRule="auto"/>
        <w:rPr>
          <w:sz w:val="20"/>
          <w:szCs w:val="20"/>
          <w:color w:val="auto"/>
        </w:rPr>
      </w:pPr>
      <w:r>
        <w:rPr>
          <w:rFonts w:ascii="Arial" w:cs="Arial" w:eastAsia="Arial" w:hAnsi="Arial"/>
          <w:sz w:val="13"/>
          <w:szCs w:val="13"/>
          <w:color w:val="auto"/>
        </w:rPr>
        <w:t>During the fiscal year ended September 30, 2012, 2011 and 2010, we declared dividends of $1.12, $1.07 and $1.03 per share, respectively, for total dividends of $60.1 million, $46.3 million and $32.3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We intend to continue to make quarterly dividends to our stockholders. Our quarterly dividends, if any, are determined by our board of directors.</w:t>
      </w:r>
    </w:p>
    <w:p>
      <w:pPr>
        <w:spacing w:after="0" w:line="134" w:lineRule="exact"/>
        <w:rPr>
          <w:sz w:val="20"/>
          <w:szCs w:val="20"/>
          <w:color w:val="auto"/>
        </w:rPr>
      </w:pPr>
    </w:p>
    <w:p>
      <w:pPr>
        <w:ind w:right="320" w:firstLine="562"/>
        <w:spacing w:after="0" w:line="274"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91" w:lineRule="exact"/>
        <w:rPr>
          <w:sz w:val="20"/>
          <w:szCs w:val="20"/>
          <w:color w:val="auto"/>
        </w:rPr>
      </w:pPr>
    </w:p>
    <w:p>
      <w:pPr>
        <w:ind w:right="40" w:firstLine="562"/>
        <w:spacing w:after="0" w:line="250" w:lineRule="auto"/>
        <w:rPr>
          <w:sz w:val="20"/>
          <w:szCs w:val="20"/>
          <w:color w:val="auto"/>
        </w:rPr>
      </w:pPr>
      <w:r>
        <w:rPr>
          <w:rFonts w:ascii="Arial" w:cs="Arial" w:eastAsia="Arial" w:hAnsi="Arial"/>
          <w:sz w:val="13"/>
          <w:szCs w:val="13"/>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51</w:t>
      </w:r>
    </w:p>
    <w:p>
      <w:pPr>
        <w:sectPr>
          <w:pgSz w:w="11900" w:h="16838" w:orient="portrait"/>
          <w:cols w:equalWidth="0" w:num="1">
            <w:col w:w="11200"/>
          </w:cols>
          <w:pgMar w:left="320" w:top="459" w:right="3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20" w:firstLine="562"/>
        <w:spacing w:after="0" w:line="256" w:lineRule="auto"/>
        <w:rPr>
          <w:sz w:val="20"/>
          <w:szCs w:val="20"/>
          <w:color w:val="auto"/>
        </w:rPr>
      </w:pPr>
      <w:r>
        <w:rPr>
          <w:rFonts w:ascii="Arial" w:cs="Arial" w:eastAsia="Arial" w:hAnsi="Arial"/>
          <w:sz w:val="13"/>
          <w:szCs w:val="13"/>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Recent Developments</w:t>
      </w:r>
    </w:p>
    <w:p>
      <w:pPr>
        <w:spacing w:after="0" w:line="80"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On October 25, 2012, we sold an additional 700,000 shares of common stock at a public offering price of $10.82 per share generating gross proceeds of $7.6 million and net proceeds of $7.3 million after underwriting discounts and offering expenses payable by us, from the underwriters’ partial exercise of the option to purchase additional shares we granted to them in connection with the offering that closed on September 28, 2012.</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52</w:t>
      </w:r>
    </w:p>
    <w:p>
      <w:pPr>
        <w:sectPr>
          <w:pgSz w:w="11900" w:h="16838" w:orient="portrait"/>
          <w:cols w:equalWidth="0" w:num="1">
            <w:col w:w="11180"/>
          </w:cols>
          <w:pgMar w:left="320" w:top="459" w:right="3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82"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are subject to financial market risks, including changes in interest rates. As of September 30, 2012, our debt portfolio consisted of 69% fixed- rate and 31% variable-rate investments (including 26%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we benefit from market rates above any such floor. In contrast, our cost of funds, to the extent it is not fixed, will fluctuate with changes in interest rates.</w:t>
      </w:r>
    </w:p>
    <w:p>
      <w:pPr>
        <w:spacing w:after="0" w:line="108" w:lineRule="exact"/>
        <w:rPr>
          <w:sz w:val="20"/>
          <w:szCs w:val="20"/>
          <w:color w:val="auto"/>
        </w:rPr>
      </w:pPr>
    </w:p>
    <w:p>
      <w:pPr>
        <w:ind w:right="40" w:firstLine="562"/>
        <w:spacing w:after="0" w:line="250" w:lineRule="auto"/>
        <w:rPr>
          <w:sz w:val="20"/>
          <w:szCs w:val="20"/>
          <w:color w:val="auto"/>
        </w:rPr>
      </w:pPr>
      <w:r>
        <w:rPr>
          <w:rFonts w:ascii="Arial" w:cs="Arial" w:eastAsia="Arial" w:hAnsi="Arial"/>
          <w:sz w:val="13"/>
          <w:szCs w:val="13"/>
          <w:color w:val="auto"/>
        </w:rPr>
        <w:t>Assuming that the most recent statement of assets and liabilities were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06" w:lineRule="exact"/>
        <w:rPr>
          <w:sz w:val="20"/>
          <w:szCs w:val="20"/>
          <w:color w:val="auto"/>
        </w:rPr>
      </w:pPr>
    </w:p>
    <w:p>
      <w:pPr>
        <w:ind w:right="60" w:firstLine="562"/>
        <w:spacing w:after="0" w:line="317" w:lineRule="auto"/>
        <w:rPr>
          <w:sz w:val="20"/>
          <w:szCs w:val="20"/>
          <w:color w:val="auto"/>
        </w:rPr>
      </w:pPr>
      <w:r>
        <w:rPr>
          <w:rFonts w:ascii="Arial" w:cs="Arial" w:eastAsia="Arial" w:hAnsi="Arial"/>
          <w:sz w:val="12"/>
          <w:szCs w:val="12"/>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67" w:lineRule="exact"/>
        <w:rPr>
          <w:sz w:val="20"/>
          <w:szCs w:val="20"/>
          <w:color w:val="auto"/>
        </w:rPr>
      </w:pPr>
    </w:p>
    <w:p>
      <w:pPr>
        <w:ind w:right="40" w:firstLine="562"/>
        <w:spacing w:after="0" w:line="256" w:lineRule="auto"/>
        <w:rPr>
          <w:sz w:val="20"/>
          <w:szCs w:val="20"/>
          <w:color w:val="auto"/>
        </w:rPr>
      </w:pPr>
      <w:r>
        <w:rPr>
          <w:rFonts w:ascii="Arial" w:cs="Arial" w:eastAsia="Arial" w:hAnsi="Arial"/>
          <w:sz w:val="13"/>
          <w:szCs w:val="13"/>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 w:type="dxa"/>
            <w:vAlign w:val="bottom"/>
          </w:tcPr>
          <w:p>
            <w:pPr>
              <w:spacing w:after="0"/>
              <w:rPr>
                <w:sz w:val="20"/>
                <w:szCs w:val="20"/>
                <w:color w:val="auto"/>
              </w:rPr>
            </w:pPr>
            <w:r>
              <w:rPr>
                <w:rFonts w:ascii="Arial" w:cs="Arial" w:eastAsia="Arial" w:hAnsi="Arial"/>
                <w:sz w:val="13"/>
                <w:szCs w:val="13"/>
                <w:b w:val="1"/>
                <w:bCs w:val="1"/>
                <w:color w:val="auto"/>
              </w:rPr>
              <w:t>Item 8.</w:t>
            </w:r>
          </w:p>
        </w:tc>
        <w:tc>
          <w:tcPr>
            <w:tcW w:w="7660" w:type="dxa"/>
            <w:vAlign w:val="bottom"/>
          </w:tcPr>
          <w:p>
            <w:pPr>
              <w:jc w:val="right"/>
              <w:ind w:right="3753"/>
              <w:spacing w:after="0"/>
              <w:rPr>
                <w:sz w:val="20"/>
                <w:szCs w:val="20"/>
                <w:color w:val="auto"/>
              </w:rPr>
            </w:pPr>
            <w:r>
              <w:rPr>
                <w:rFonts w:ascii="Arial" w:cs="Arial" w:eastAsia="Arial" w:hAnsi="Arial"/>
                <w:sz w:val="13"/>
                <w:szCs w:val="13"/>
                <w:b w:val="1"/>
                <w:bCs w:val="1"/>
                <w:color w:val="auto"/>
              </w:rPr>
              <w:t>Consolidated Financial Statements and Supplementary Data</w:t>
            </w:r>
          </w:p>
        </w:tc>
        <w:tc>
          <w:tcPr>
            <w:tcW w:w="2740" w:type="dxa"/>
            <w:vAlign w:val="bottom"/>
          </w:tcPr>
          <w:p>
            <w:pPr>
              <w:spacing w:after="0"/>
              <w:rPr>
                <w:sz w:val="15"/>
                <w:szCs w:val="15"/>
                <w:color w:val="auto"/>
              </w:rPr>
            </w:pPr>
          </w:p>
        </w:tc>
      </w:tr>
      <w:tr>
        <w:trPr>
          <w:trHeight w:val="297"/>
        </w:trPr>
        <w:tc>
          <w:tcPr>
            <w:tcW w:w="8440" w:type="dxa"/>
            <w:vAlign w:val="bottom"/>
            <w:gridSpan w:val="2"/>
          </w:tcPr>
          <w:p>
            <w:pPr>
              <w:spacing w:after="0"/>
              <w:rPr>
                <w:rFonts w:ascii="Arial" w:cs="Arial" w:eastAsia="Arial" w:hAnsi="Arial"/>
                <w:sz w:val="13"/>
                <w:szCs w:val="13"/>
                <w:u w:val="single" w:color="auto"/>
                <w:color w:val="0000EE"/>
              </w:rPr>
            </w:pPr>
            <w:hyperlink w:anchor="page57">
              <w:r>
                <w:rPr>
                  <w:rFonts w:ascii="Arial" w:cs="Arial" w:eastAsia="Arial" w:hAnsi="Arial"/>
                  <w:sz w:val="13"/>
                  <w:szCs w:val="13"/>
                  <w:u w:val="single" w:color="auto"/>
                  <w:color w:val="0000EE"/>
                </w:rPr>
                <w:t>Management’s Report on Internal Control over Financial Reporting</w:t>
              </w:r>
            </w:hyperlink>
          </w:p>
        </w:tc>
        <w:tc>
          <w:tcPr>
            <w:tcW w:w="2740" w:type="dxa"/>
            <w:vAlign w:val="bottom"/>
          </w:tcPr>
          <w:p>
            <w:pPr>
              <w:jc w:val="right"/>
              <w:spacing w:after="0"/>
              <w:rPr>
                <w:sz w:val="20"/>
                <w:szCs w:val="20"/>
                <w:color w:val="auto"/>
              </w:rPr>
            </w:pPr>
            <w:r>
              <w:rPr>
                <w:rFonts w:ascii="Arial" w:cs="Arial" w:eastAsia="Arial" w:hAnsi="Arial"/>
                <w:sz w:val="13"/>
                <w:szCs w:val="13"/>
                <w:b w:val="1"/>
                <w:bCs w:val="1"/>
                <w:color w:val="auto"/>
              </w:rPr>
              <w:t>55</w:t>
            </w:r>
          </w:p>
        </w:tc>
      </w:tr>
      <w:tr>
        <w:trPr>
          <w:trHeight w:val="257"/>
        </w:trPr>
        <w:tc>
          <w:tcPr>
            <w:tcW w:w="8440" w:type="dxa"/>
            <w:vAlign w:val="bottom"/>
            <w:gridSpan w:val="2"/>
          </w:tcPr>
          <w:p>
            <w:pPr>
              <w:spacing w:after="0"/>
              <w:rPr>
                <w:rFonts w:ascii="Arial" w:cs="Arial" w:eastAsia="Arial" w:hAnsi="Arial"/>
                <w:sz w:val="13"/>
                <w:szCs w:val="13"/>
                <w:u w:val="single" w:color="auto"/>
                <w:color w:val="0000EE"/>
              </w:rPr>
            </w:pPr>
            <w:hyperlink w:anchor="page58">
              <w:r>
                <w:rPr>
                  <w:rFonts w:ascii="Arial" w:cs="Arial" w:eastAsia="Arial" w:hAnsi="Arial"/>
                  <w:sz w:val="13"/>
                  <w:szCs w:val="13"/>
                  <w:u w:val="single" w:color="auto"/>
                  <w:color w:val="0000EE"/>
                </w:rPr>
                <w:t>Report of Independent Registered Public Accounting Firm</w:t>
              </w:r>
            </w:hyperlink>
          </w:p>
        </w:tc>
        <w:tc>
          <w:tcPr>
            <w:tcW w:w="2740" w:type="dxa"/>
            <w:vAlign w:val="bottom"/>
          </w:tcPr>
          <w:p>
            <w:pPr>
              <w:jc w:val="right"/>
              <w:spacing w:after="0"/>
              <w:rPr>
                <w:sz w:val="20"/>
                <w:szCs w:val="20"/>
                <w:color w:val="auto"/>
              </w:rPr>
            </w:pPr>
            <w:r>
              <w:rPr>
                <w:rFonts w:ascii="Arial" w:cs="Arial" w:eastAsia="Arial" w:hAnsi="Arial"/>
                <w:sz w:val="13"/>
                <w:szCs w:val="13"/>
                <w:b w:val="1"/>
                <w:bCs w:val="1"/>
                <w:color w:val="auto"/>
              </w:rPr>
              <w:t>56</w:t>
            </w:r>
          </w:p>
        </w:tc>
      </w:tr>
      <w:tr>
        <w:trPr>
          <w:trHeight w:val="257"/>
        </w:trPr>
        <w:tc>
          <w:tcPr>
            <w:tcW w:w="8440" w:type="dxa"/>
            <w:vAlign w:val="bottom"/>
            <w:gridSpan w:val="2"/>
          </w:tcPr>
          <w:p>
            <w:pPr>
              <w:spacing w:after="0"/>
              <w:rPr>
                <w:rFonts w:ascii="Arial" w:cs="Arial" w:eastAsia="Arial" w:hAnsi="Arial"/>
                <w:sz w:val="13"/>
                <w:szCs w:val="13"/>
                <w:u w:val="single" w:color="auto"/>
                <w:color w:val="0000EE"/>
              </w:rPr>
            </w:pPr>
            <w:hyperlink w:anchor="page59">
              <w:r>
                <w:rPr>
                  <w:rFonts w:ascii="Arial" w:cs="Arial" w:eastAsia="Arial" w:hAnsi="Arial"/>
                  <w:sz w:val="13"/>
                  <w:szCs w:val="13"/>
                  <w:u w:val="single" w:color="auto"/>
                  <w:color w:val="0000EE"/>
                </w:rPr>
                <w:t>Report of Independent Registered Public Accounting Firm On Internal Control Over Financial Reporting</w:t>
              </w:r>
            </w:hyperlink>
          </w:p>
        </w:tc>
        <w:tc>
          <w:tcPr>
            <w:tcW w:w="2740" w:type="dxa"/>
            <w:vAlign w:val="bottom"/>
          </w:tcPr>
          <w:p>
            <w:pPr>
              <w:jc w:val="right"/>
              <w:spacing w:after="0"/>
              <w:rPr>
                <w:sz w:val="20"/>
                <w:szCs w:val="20"/>
                <w:color w:val="auto"/>
              </w:rPr>
            </w:pPr>
            <w:r>
              <w:rPr>
                <w:rFonts w:ascii="Arial" w:cs="Arial" w:eastAsia="Arial" w:hAnsi="Arial"/>
                <w:sz w:val="13"/>
                <w:szCs w:val="13"/>
                <w:b w:val="1"/>
                <w:bCs w:val="1"/>
                <w:color w:val="auto"/>
              </w:rPr>
              <w:t>57</w:t>
            </w:r>
          </w:p>
        </w:tc>
      </w:tr>
      <w:tr>
        <w:trPr>
          <w:trHeight w:val="257"/>
        </w:trPr>
        <w:tc>
          <w:tcPr>
            <w:tcW w:w="8440" w:type="dxa"/>
            <w:vAlign w:val="bottom"/>
            <w:gridSpan w:val="2"/>
          </w:tcPr>
          <w:p>
            <w:pPr>
              <w:spacing w:after="0"/>
              <w:rPr>
                <w:rFonts w:ascii="Arial" w:cs="Arial" w:eastAsia="Arial" w:hAnsi="Arial"/>
                <w:sz w:val="13"/>
                <w:szCs w:val="13"/>
                <w:u w:val="single" w:color="auto"/>
                <w:color w:val="0000EE"/>
              </w:rPr>
            </w:pPr>
            <w:hyperlink w:anchor="page60">
              <w:r>
                <w:rPr>
                  <w:rFonts w:ascii="Arial" w:cs="Arial" w:eastAsia="Arial" w:hAnsi="Arial"/>
                  <w:sz w:val="13"/>
                  <w:szCs w:val="13"/>
                  <w:u w:val="single" w:color="auto"/>
                  <w:color w:val="0000EE"/>
                </w:rPr>
                <w:t>Consolidated Statements of Assets and Liabilities as of September 30, 2012 and 2011</w:t>
              </w:r>
            </w:hyperlink>
          </w:p>
        </w:tc>
        <w:tc>
          <w:tcPr>
            <w:tcW w:w="2740" w:type="dxa"/>
            <w:vAlign w:val="bottom"/>
          </w:tcPr>
          <w:p>
            <w:pPr>
              <w:jc w:val="right"/>
              <w:spacing w:after="0"/>
              <w:rPr>
                <w:sz w:val="20"/>
                <w:szCs w:val="20"/>
                <w:color w:val="auto"/>
              </w:rPr>
            </w:pPr>
            <w:r>
              <w:rPr>
                <w:rFonts w:ascii="Arial" w:cs="Arial" w:eastAsia="Arial" w:hAnsi="Arial"/>
                <w:sz w:val="13"/>
                <w:szCs w:val="13"/>
                <w:b w:val="1"/>
                <w:bCs w:val="1"/>
                <w:color w:val="auto"/>
              </w:rPr>
              <w:t>58</w:t>
            </w:r>
          </w:p>
        </w:tc>
      </w:tr>
      <w:tr>
        <w:trPr>
          <w:trHeight w:val="256"/>
        </w:trPr>
        <w:tc>
          <w:tcPr>
            <w:tcW w:w="8440" w:type="dxa"/>
            <w:vAlign w:val="bottom"/>
            <w:gridSpan w:val="2"/>
          </w:tcPr>
          <w:p>
            <w:pPr>
              <w:spacing w:after="0"/>
              <w:rPr>
                <w:rFonts w:ascii="Arial" w:cs="Arial" w:eastAsia="Arial" w:hAnsi="Arial"/>
                <w:sz w:val="13"/>
                <w:szCs w:val="13"/>
                <w:u w:val="single" w:color="auto"/>
                <w:color w:val="0000EE"/>
              </w:rPr>
            </w:pPr>
            <w:hyperlink w:anchor="page61">
              <w:r>
                <w:rPr>
                  <w:rFonts w:ascii="Arial" w:cs="Arial" w:eastAsia="Arial" w:hAnsi="Arial"/>
                  <w:sz w:val="13"/>
                  <w:szCs w:val="13"/>
                  <w:u w:val="single" w:color="auto"/>
                  <w:color w:val="0000EE"/>
                </w:rPr>
                <w:t>Consolidated Statements of Operations for the years ended September 30, 2012, 2011 and 2010</w:t>
              </w:r>
            </w:hyperlink>
          </w:p>
        </w:tc>
        <w:tc>
          <w:tcPr>
            <w:tcW w:w="2740" w:type="dxa"/>
            <w:vAlign w:val="bottom"/>
          </w:tcPr>
          <w:p>
            <w:pPr>
              <w:jc w:val="right"/>
              <w:spacing w:after="0"/>
              <w:rPr>
                <w:sz w:val="20"/>
                <w:szCs w:val="20"/>
                <w:color w:val="auto"/>
              </w:rPr>
            </w:pPr>
            <w:r>
              <w:rPr>
                <w:rFonts w:ascii="Arial" w:cs="Arial" w:eastAsia="Arial" w:hAnsi="Arial"/>
                <w:sz w:val="13"/>
                <w:szCs w:val="13"/>
                <w:b w:val="1"/>
                <w:bCs w:val="1"/>
                <w:color w:val="auto"/>
              </w:rPr>
              <w:t>59</w:t>
            </w:r>
          </w:p>
        </w:tc>
      </w:tr>
      <w:tr>
        <w:trPr>
          <w:trHeight w:val="257"/>
        </w:trPr>
        <w:tc>
          <w:tcPr>
            <w:tcW w:w="8440" w:type="dxa"/>
            <w:vAlign w:val="bottom"/>
            <w:gridSpan w:val="2"/>
          </w:tcPr>
          <w:p>
            <w:pPr>
              <w:spacing w:after="0"/>
              <w:rPr>
                <w:rFonts w:ascii="Arial" w:cs="Arial" w:eastAsia="Arial" w:hAnsi="Arial"/>
                <w:sz w:val="13"/>
                <w:szCs w:val="13"/>
                <w:u w:val="single" w:color="auto"/>
                <w:color w:val="0000EE"/>
              </w:rPr>
            </w:pPr>
            <w:hyperlink w:anchor="page62">
              <w:r>
                <w:rPr>
                  <w:rFonts w:ascii="Arial" w:cs="Arial" w:eastAsia="Arial" w:hAnsi="Arial"/>
                  <w:sz w:val="13"/>
                  <w:szCs w:val="13"/>
                  <w:u w:val="single" w:color="auto"/>
                  <w:color w:val="0000EE"/>
                </w:rPr>
                <w:t>Consolidated Statements of Changes in Net Assets for the years ended September 30, 2012, 2011 and 2010</w:t>
              </w:r>
            </w:hyperlink>
          </w:p>
        </w:tc>
        <w:tc>
          <w:tcPr>
            <w:tcW w:w="2740" w:type="dxa"/>
            <w:vAlign w:val="bottom"/>
          </w:tcPr>
          <w:p>
            <w:pPr>
              <w:jc w:val="right"/>
              <w:spacing w:after="0"/>
              <w:rPr>
                <w:sz w:val="20"/>
                <w:szCs w:val="20"/>
                <w:color w:val="auto"/>
              </w:rPr>
            </w:pPr>
            <w:r>
              <w:rPr>
                <w:rFonts w:ascii="Arial" w:cs="Arial" w:eastAsia="Arial" w:hAnsi="Arial"/>
                <w:sz w:val="13"/>
                <w:szCs w:val="13"/>
                <w:b w:val="1"/>
                <w:bCs w:val="1"/>
                <w:color w:val="auto"/>
              </w:rPr>
              <w:t>60</w:t>
            </w:r>
          </w:p>
        </w:tc>
      </w:tr>
      <w:tr>
        <w:trPr>
          <w:trHeight w:val="257"/>
        </w:trPr>
        <w:tc>
          <w:tcPr>
            <w:tcW w:w="8440" w:type="dxa"/>
            <w:vAlign w:val="bottom"/>
            <w:gridSpan w:val="2"/>
          </w:tcPr>
          <w:p>
            <w:pPr>
              <w:spacing w:after="0"/>
              <w:rPr>
                <w:rFonts w:ascii="Arial" w:cs="Arial" w:eastAsia="Arial" w:hAnsi="Arial"/>
                <w:sz w:val="13"/>
                <w:szCs w:val="13"/>
                <w:u w:val="single" w:color="auto"/>
                <w:color w:val="0000EE"/>
              </w:rPr>
            </w:pPr>
            <w:hyperlink w:anchor="page63">
              <w:r>
                <w:rPr>
                  <w:rFonts w:ascii="Arial" w:cs="Arial" w:eastAsia="Arial" w:hAnsi="Arial"/>
                  <w:sz w:val="13"/>
                  <w:szCs w:val="13"/>
                  <w:u w:val="single" w:color="auto"/>
                  <w:color w:val="0000EE"/>
                </w:rPr>
                <w:t>Consolidated Statements of Cash Flows for the years ended September 30, 2012, 2011 and 2010</w:t>
              </w:r>
            </w:hyperlink>
          </w:p>
        </w:tc>
        <w:tc>
          <w:tcPr>
            <w:tcW w:w="2740" w:type="dxa"/>
            <w:vAlign w:val="bottom"/>
          </w:tcPr>
          <w:p>
            <w:pPr>
              <w:jc w:val="right"/>
              <w:spacing w:after="0"/>
              <w:rPr>
                <w:sz w:val="20"/>
                <w:szCs w:val="20"/>
                <w:color w:val="auto"/>
              </w:rPr>
            </w:pPr>
            <w:r>
              <w:rPr>
                <w:rFonts w:ascii="Arial" w:cs="Arial" w:eastAsia="Arial" w:hAnsi="Arial"/>
                <w:sz w:val="13"/>
                <w:szCs w:val="13"/>
                <w:b w:val="1"/>
                <w:bCs w:val="1"/>
                <w:color w:val="auto"/>
              </w:rPr>
              <w:t>61</w:t>
            </w:r>
          </w:p>
        </w:tc>
      </w:tr>
      <w:tr>
        <w:trPr>
          <w:trHeight w:val="257"/>
        </w:trPr>
        <w:tc>
          <w:tcPr>
            <w:tcW w:w="8440" w:type="dxa"/>
            <w:vAlign w:val="bottom"/>
            <w:gridSpan w:val="2"/>
          </w:tcPr>
          <w:p>
            <w:pPr>
              <w:spacing w:after="0"/>
              <w:rPr>
                <w:rFonts w:ascii="Arial" w:cs="Arial" w:eastAsia="Arial" w:hAnsi="Arial"/>
                <w:sz w:val="13"/>
                <w:szCs w:val="13"/>
                <w:u w:val="single" w:color="auto"/>
                <w:color w:val="0000EE"/>
              </w:rPr>
            </w:pPr>
            <w:hyperlink w:anchor="page72">
              <w:r>
                <w:rPr>
                  <w:rFonts w:ascii="Arial" w:cs="Arial" w:eastAsia="Arial" w:hAnsi="Arial"/>
                  <w:sz w:val="13"/>
                  <w:szCs w:val="13"/>
                  <w:u w:val="single" w:color="auto"/>
                  <w:color w:val="0000EE"/>
                </w:rPr>
                <w:t>Notes to the Consolidated Financial Statements</w:t>
              </w:r>
            </w:hyperlink>
          </w:p>
        </w:tc>
        <w:tc>
          <w:tcPr>
            <w:tcW w:w="2740" w:type="dxa"/>
            <w:vAlign w:val="bottom"/>
          </w:tcPr>
          <w:p>
            <w:pPr>
              <w:jc w:val="right"/>
              <w:spacing w:after="0"/>
              <w:rPr>
                <w:sz w:val="20"/>
                <w:szCs w:val="20"/>
                <w:color w:val="auto"/>
              </w:rPr>
            </w:pPr>
            <w:r>
              <w:rPr>
                <w:rFonts w:ascii="Arial" w:cs="Arial" w:eastAsia="Arial" w:hAnsi="Arial"/>
                <w:sz w:val="13"/>
                <w:szCs w:val="13"/>
                <w:b w:val="1"/>
                <w:bCs w:val="1"/>
                <w:color w:val="auto"/>
              </w:rPr>
              <w:t>70</w:t>
            </w:r>
          </w:p>
        </w:tc>
      </w:tr>
      <w:tr>
        <w:trPr>
          <w:trHeight w:val="297"/>
        </w:trPr>
        <w:tc>
          <w:tcPr>
            <w:tcW w:w="780" w:type="dxa"/>
            <w:vAlign w:val="bottom"/>
          </w:tcPr>
          <w:p>
            <w:pPr>
              <w:spacing w:after="0"/>
              <w:rPr>
                <w:sz w:val="24"/>
                <w:szCs w:val="24"/>
                <w:color w:val="auto"/>
              </w:rPr>
            </w:pPr>
          </w:p>
        </w:tc>
        <w:tc>
          <w:tcPr>
            <w:tcW w:w="7660" w:type="dxa"/>
            <w:vAlign w:val="bottom"/>
          </w:tcPr>
          <w:p>
            <w:pPr>
              <w:jc w:val="right"/>
              <w:ind w:right="2673"/>
              <w:spacing w:after="0"/>
              <w:rPr>
                <w:sz w:val="20"/>
                <w:szCs w:val="20"/>
                <w:color w:val="auto"/>
              </w:rPr>
            </w:pPr>
            <w:r>
              <w:rPr>
                <w:rFonts w:ascii="Arial" w:cs="Arial" w:eastAsia="Arial" w:hAnsi="Arial"/>
                <w:sz w:val="13"/>
                <w:szCs w:val="13"/>
                <w:color w:val="auto"/>
              </w:rPr>
              <w:t>54</w:t>
            </w:r>
          </w:p>
        </w:tc>
        <w:tc>
          <w:tcPr>
            <w:tcW w:w="2740" w:type="dxa"/>
            <w:vAlign w:val="bottom"/>
          </w:tcPr>
          <w:p>
            <w:pPr>
              <w:spacing w:after="0"/>
              <w:rPr>
                <w:sz w:val="24"/>
                <w:szCs w:val="24"/>
                <w:color w:val="auto"/>
              </w:rPr>
            </w:pPr>
          </w:p>
        </w:tc>
      </w:tr>
    </w:tbl>
    <w:p>
      <w:pPr>
        <w:sectPr>
          <w:pgSz w:w="11900" w:h="16838" w:orient="portrait"/>
          <w:cols w:equalWidth="0" w:num="1">
            <w:col w:w="11180"/>
          </w:cols>
          <w:pgMar w:left="320" w:top="459" w:right="3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36"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02" w:lineRule="exact"/>
        <w:rPr>
          <w:sz w:val="20"/>
          <w:szCs w:val="20"/>
          <w:color w:val="auto"/>
        </w:rPr>
      </w:pPr>
    </w:p>
    <w:p>
      <w:pPr>
        <w:ind w:right="60" w:firstLine="562"/>
        <w:spacing w:after="0" w:line="250" w:lineRule="auto"/>
        <w:rPr>
          <w:sz w:val="20"/>
          <w:szCs w:val="20"/>
          <w:color w:val="auto"/>
        </w:rPr>
      </w:pPr>
      <w:r>
        <w:rPr>
          <w:rFonts w:ascii="Arial" w:cs="Arial" w:eastAsia="Arial" w:hAnsi="Arial"/>
          <w:sz w:val="13"/>
          <w:szCs w:val="13"/>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06"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2" w:lineRule="exact"/>
        <w:rPr>
          <w:sz w:val="20"/>
          <w:szCs w:val="20"/>
          <w:color w:val="auto"/>
        </w:rPr>
      </w:pPr>
    </w:p>
    <w:p>
      <w:pPr>
        <w:ind w:right="60" w:firstLine="562"/>
        <w:spacing w:after="0" w:line="256" w:lineRule="auto"/>
        <w:rPr>
          <w:sz w:val="20"/>
          <w:szCs w:val="20"/>
          <w:color w:val="auto"/>
        </w:rPr>
      </w:pPr>
      <w:r>
        <w:rPr>
          <w:rFonts w:ascii="Arial" w:cs="Arial" w:eastAsia="Arial" w:hAnsi="Arial"/>
          <w:sz w:val="13"/>
          <w:szCs w:val="13"/>
          <w:color w:val="auto"/>
        </w:rPr>
        <w:t xml:space="preserve">Management assessed the effectiveness of PennantPark Investment’s internal control over financial reporting as of September 30, 2012. In making this assessment, we used the criteria set forth by the Committee of Sponsoring Organizations of the Treadway Commission in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Based on the assessment management believes that, as of September 30, 2012, our internal control over financial reporting is effective based on those criteria.</w:t>
      </w:r>
    </w:p>
    <w:p>
      <w:pPr>
        <w:spacing w:after="0" w:line="102" w:lineRule="exact"/>
        <w:rPr>
          <w:sz w:val="20"/>
          <w:szCs w:val="20"/>
          <w:color w:val="auto"/>
        </w:rPr>
      </w:pPr>
    </w:p>
    <w:p>
      <w:pPr>
        <w:ind w:right="200" w:firstLine="562"/>
        <w:spacing w:after="0" w:line="274" w:lineRule="auto"/>
        <w:rPr>
          <w:sz w:val="20"/>
          <w:szCs w:val="20"/>
          <w:color w:val="auto"/>
        </w:rPr>
      </w:pPr>
      <w:r>
        <w:rPr>
          <w:rFonts w:ascii="Arial" w:cs="Arial" w:eastAsia="Arial" w:hAnsi="Arial"/>
          <w:sz w:val="13"/>
          <w:szCs w:val="13"/>
          <w:color w:val="auto"/>
        </w:rPr>
        <w:t>PennantPark Investment’s independent registered public accounting firm that audited the financial statements has issued an audit report on the effectiveness of our internal control over financial reporting as of September 30, 2012. This report appears on page 57.</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55</w:t>
      </w:r>
    </w:p>
    <w:p>
      <w:pPr>
        <w:sectPr>
          <w:pgSz w:w="11900" w:h="16838" w:orient="portrait"/>
          <w:cols w:equalWidth="0" w:num="1">
            <w:col w:w="11180"/>
          </w:cols>
          <w:pgMar w:left="320" w:top="459" w:right="3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Stockholders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PennantPark Investment Corporation and its Subsidiaries:</w:t>
      </w:r>
    </w:p>
    <w:p>
      <w:pPr>
        <w:spacing w:after="0" w:line="122" w:lineRule="exact"/>
        <w:rPr>
          <w:sz w:val="20"/>
          <w:szCs w:val="20"/>
          <w:color w:val="auto"/>
        </w:rPr>
      </w:pPr>
    </w:p>
    <w:p>
      <w:pPr>
        <w:ind w:right="60" w:firstLine="562"/>
        <w:spacing w:after="0" w:line="288" w:lineRule="auto"/>
        <w:rPr>
          <w:sz w:val="20"/>
          <w:szCs w:val="20"/>
          <w:color w:val="auto"/>
        </w:rPr>
      </w:pPr>
      <w:r>
        <w:rPr>
          <w:rFonts w:ascii="Arial" w:cs="Arial" w:eastAsia="Arial" w:hAnsi="Arial"/>
          <w:sz w:val="12"/>
          <w:szCs w:val="12"/>
          <w:color w:val="auto"/>
        </w:rPr>
        <w:t>We have audited the accompanying consolidated statements of assets and liabilities of PennantPark Investment Corporation and its Subsidiaries (the “Company”), including the consolidated schedules of investments as of September 30, 2012 and 2011, and the related consolidated statements of operations, changes in net assets, and cash flows for the years ended September 30, 2012, 2011 and 2010. These consolidated financial statements are the responsibility of the Company’s management. Our responsibility is to express an opinion on these consolidated financial statements based on our audits.</w:t>
      </w:r>
    </w:p>
    <w:p>
      <w:pPr>
        <w:spacing w:after="0" w:line="84"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2012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8" w:lineRule="exact"/>
        <w:rPr>
          <w:sz w:val="20"/>
          <w:szCs w:val="20"/>
          <w:color w:val="auto"/>
        </w:rPr>
      </w:pPr>
    </w:p>
    <w:p>
      <w:pPr>
        <w:ind w:right="80" w:firstLine="562"/>
        <w:spacing w:after="0" w:line="317" w:lineRule="auto"/>
        <w:rPr>
          <w:sz w:val="20"/>
          <w:szCs w:val="20"/>
          <w:color w:val="auto"/>
        </w:rPr>
      </w:pPr>
      <w:r>
        <w:rPr>
          <w:rFonts w:ascii="Arial" w:cs="Arial" w:eastAsia="Arial" w:hAnsi="Arial"/>
          <w:sz w:val="12"/>
          <w:szCs w:val="12"/>
          <w:color w:val="auto"/>
        </w:rPr>
        <w:t>In our opinion, the consolidated financial statements referred to above present fairly, in all material respects, the financial position of PennantPark Investment Corporation and its Subsidiaries as of September 30, 2012 and 2011, and the results of operations and cash flows for the years ended September 30, 2012, 2011 and 2010, in conformity with U.S. generally accepted accounting principles.</w:t>
      </w:r>
    </w:p>
    <w:p>
      <w:pPr>
        <w:spacing w:after="0" w:line="67" w:lineRule="exact"/>
        <w:rPr>
          <w:sz w:val="20"/>
          <w:szCs w:val="20"/>
          <w:color w:val="auto"/>
        </w:rPr>
      </w:pPr>
    </w:p>
    <w:p>
      <w:pPr>
        <w:jc w:val="both"/>
        <w:ind w:right="140" w:firstLine="562"/>
        <w:spacing w:after="0" w:line="256" w:lineRule="auto"/>
        <w:rPr>
          <w:sz w:val="20"/>
          <w:szCs w:val="20"/>
          <w:color w:val="auto"/>
        </w:rPr>
      </w:pPr>
      <w:r>
        <w:rPr>
          <w:rFonts w:ascii="Arial" w:cs="Arial" w:eastAsia="Arial" w:hAnsi="Arial"/>
          <w:sz w:val="13"/>
          <w:szCs w:val="13"/>
          <w:color w:val="auto"/>
        </w:rPr>
        <w:t xml:space="preserve">We also have audited, in accordance with the standards of the Public Company Accounting Oversight Board (United States), PennantPark Investment Corporation’s internal control over financial reporting as of September 30, 2012, based on criteria established in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issued by the Committee of Sponsoring Organizations of the Treadway Commission (COSO), and our report dated November 14, 2012 expressed an unqualified opinion on the effectiveness of the Company’s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/s/ KPMG LLP</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rPr>
          <w:sz w:val="20"/>
          <w:szCs w:val="20"/>
          <w:color w:val="auto"/>
        </w:rPr>
      </w:pPr>
      <w:r>
        <w:rPr>
          <w:rFonts w:ascii="Arial" w:cs="Arial" w:eastAsia="Arial" w:hAnsi="Arial"/>
          <w:sz w:val="13"/>
          <w:szCs w:val="13"/>
          <w:color w:val="auto"/>
        </w:rPr>
        <w:t>November 14, 2012</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56</w:t>
      </w:r>
    </w:p>
    <w:p>
      <w:pPr>
        <w:sectPr>
          <w:pgSz w:w="11900" w:h="16838" w:orient="portrait"/>
          <w:cols w:equalWidth="0" w:num="1">
            <w:col w:w="11220"/>
          </w:cols>
          <w:pgMar w:left="320" w:top="459" w:right="3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On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Stockholders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PennantPark Investment Corporation and its Subsidiaries:</w:t>
      </w:r>
    </w:p>
    <w:p>
      <w:pPr>
        <w:spacing w:after="0" w:line="122"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 xml:space="preserve">We have audited PennantPark Investment Corporation and its Subsidiaries’ (the “Company”) internal control over financial reporting as of September 30, 2012, based on criteria established in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issued by the Committee of Sponsoring Organizations of the Treadway Commission (COSO). Management of the Company is responsible for maintaining effective</w:t>
      </w:r>
      <w:r>
        <w:rPr>
          <w:rFonts w:ascii="Arial" w:cs="Arial" w:eastAsia="Arial" w:hAnsi="Arial"/>
          <w:sz w:val="13"/>
          <w:szCs w:val="13"/>
          <w:i w:val="1"/>
          <w:iCs w:val="1"/>
          <w:color w:val="auto"/>
        </w:rPr>
        <w:t xml:space="preserve"> </w:t>
      </w:r>
      <w:r>
        <w:rPr>
          <w:rFonts w:ascii="Arial" w:cs="Arial" w:eastAsia="Arial" w:hAnsi="Arial"/>
          <w:sz w:val="13"/>
          <w:szCs w:val="13"/>
          <w:color w:val="auto"/>
        </w:rPr>
        <w:t>internal control over financial reporting and for its assessment of the effectiveness of internal control over financial reporting, included on page 55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108" w:lineRule="exact"/>
        <w:rPr>
          <w:sz w:val="20"/>
          <w:szCs w:val="20"/>
          <w:color w:val="auto"/>
        </w:rPr>
      </w:pPr>
    </w:p>
    <w:p>
      <w:pPr>
        <w:jc w:val="both"/>
        <w:ind w:right="60" w:firstLine="562"/>
        <w:spacing w:after="0" w:line="250"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6"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0"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1" w:lineRule="exact"/>
        <w:rPr>
          <w:sz w:val="20"/>
          <w:szCs w:val="20"/>
          <w:color w:val="auto"/>
        </w:rPr>
      </w:pPr>
    </w:p>
    <w:p>
      <w:pPr>
        <w:ind w:right="140" w:firstLine="562"/>
        <w:spacing w:after="0" w:line="274" w:lineRule="auto"/>
        <w:rPr>
          <w:sz w:val="20"/>
          <w:szCs w:val="20"/>
          <w:color w:val="auto"/>
        </w:rPr>
      </w:pPr>
      <w:r>
        <w:rPr>
          <w:rFonts w:ascii="Arial" w:cs="Arial" w:eastAsia="Arial" w:hAnsi="Arial"/>
          <w:sz w:val="13"/>
          <w:szCs w:val="13"/>
          <w:color w:val="auto"/>
        </w:rPr>
        <w:t xml:space="preserve">In our opinion, PennantPark Investment Corporation and its Subsidiaries maintained, in all material respects, effective internal control over financial reporting as of September 30, 2012, based on criteria established in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xml:space="preserve"> issued by COSO.</w:t>
      </w:r>
    </w:p>
    <w:p>
      <w:pPr>
        <w:spacing w:after="0" w:line="91" w:lineRule="exact"/>
        <w:rPr>
          <w:sz w:val="20"/>
          <w:szCs w:val="20"/>
          <w:color w:val="auto"/>
        </w:rPr>
      </w:pPr>
    </w:p>
    <w:p>
      <w:pPr>
        <w:ind w:right="40" w:firstLine="562"/>
        <w:spacing w:after="0" w:line="256"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statements of assets and liabilities of PennantPark Investment Corporation and its Subsidiaries, including the schedules of investments as of September 30, 2012 and 2011, and the related statements of operations, changes in net assets, and cash flows for the years ended September 30, 2012, 2011 and 2010, and our report dated November 14, 2012 expressed an unqualified opinion on those financial statements.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/s/ KPMG LLP</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rPr>
          <w:sz w:val="20"/>
          <w:szCs w:val="20"/>
          <w:color w:val="auto"/>
        </w:rPr>
      </w:pPr>
      <w:r>
        <w:rPr>
          <w:rFonts w:ascii="Arial" w:cs="Arial" w:eastAsia="Arial" w:hAnsi="Arial"/>
          <w:sz w:val="13"/>
          <w:szCs w:val="13"/>
          <w:color w:val="auto"/>
        </w:rPr>
        <w:t>November 14, 2012</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57</w:t>
      </w:r>
    </w:p>
    <w:p>
      <w:pPr>
        <w:sectPr>
          <w:pgSz w:w="11900" w:h="16838" w:orient="portrait"/>
          <w:cols w:equalWidth="0" w:num="1">
            <w:col w:w="11220"/>
          </w:cols>
          <w:pgMar w:left="32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ASSETS AND LIABILITIES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3"/>
                <w:szCs w:val="13"/>
                <w:b w:val="1"/>
                <w:bCs w:val="1"/>
                <w:color w:val="auto"/>
              </w:rPr>
              <w:t>September 30,</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73"/>
              <w:spacing w:after="0" w:line="142" w:lineRule="exact"/>
              <w:rPr>
                <w:sz w:val="20"/>
                <w:szCs w:val="20"/>
                <w:color w:val="auto"/>
              </w:rPr>
            </w:pPr>
            <w:r>
              <w:rPr>
                <w:rFonts w:ascii="Arial" w:cs="Arial" w:eastAsia="Arial" w:hAnsi="Arial"/>
                <w:sz w:val="13"/>
                <w:szCs w:val="13"/>
                <w:b w:val="1"/>
                <w:bCs w:val="1"/>
                <w:color w:val="auto"/>
              </w:rPr>
              <w:t>2012</w:t>
            </w:r>
          </w:p>
        </w:tc>
        <w:tc>
          <w:tcPr>
            <w:tcW w:w="3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73"/>
              <w:spacing w:after="0" w:line="142"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3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Assets</w:t>
            </w:r>
          </w:p>
        </w:tc>
        <w:tc>
          <w:tcPr>
            <w:tcW w:w="1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rPr>
                <w:sz w:val="20"/>
                <w:szCs w:val="20"/>
                <w:color w:val="auto"/>
              </w:rPr>
            </w:pPr>
            <w:r>
              <w:rPr>
                <w:rFonts w:ascii="Arial" w:cs="Arial" w:eastAsia="Arial" w:hAnsi="Arial"/>
                <w:sz w:val="13"/>
                <w:szCs w:val="13"/>
                <w:color w:val="auto"/>
              </w:rPr>
              <w:t>Investments at fair value</w:t>
            </w: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340" w:type="dxa"/>
            <w:vAlign w:val="bottom"/>
            <w:shd w:val="clear" w:color="auto" w:fill="CCEEFF"/>
          </w:tcPr>
          <w:p>
            <w:pPr>
              <w:ind w:left="540"/>
              <w:spacing w:after="0" w:line="138" w:lineRule="exact"/>
              <w:rPr>
                <w:sz w:val="20"/>
                <w:szCs w:val="20"/>
                <w:color w:val="auto"/>
              </w:rPr>
            </w:pPr>
            <w:r>
              <w:rPr>
                <w:rFonts w:ascii="Arial" w:cs="Arial" w:eastAsia="Arial" w:hAnsi="Arial"/>
                <w:sz w:val="13"/>
                <w:szCs w:val="13"/>
                <w:color w:val="auto"/>
              </w:rPr>
              <w:t>Non-controlled, non-affiliated investments, at fair value</w:t>
            </w:r>
          </w:p>
        </w:tc>
        <w:tc>
          <w:tcPr>
            <w:tcW w:w="1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340" w:type="dxa"/>
            <w:vAlign w:val="bottom"/>
            <w:shd w:val="clear" w:color="auto" w:fill="CCEEFF"/>
          </w:tcPr>
          <w:p>
            <w:pPr>
              <w:ind w:left="820"/>
              <w:spacing w:after="0"/>
              <w:rPr>
                <w:sz w:val="20"/>
                <w:szCs w:val="20"/>
                <w:color w:val="auto"/>
              </w:rPr>
            </w:pPr>
            <w:r>
              <w:rPr>
                <w:rFonts w:ascii="Arial" w:cs="Arial" w:eastAsia="Arial" w:hAnsi="Arial"/>
                <w:sz w:val="13"/>
                <w:szCs w:val="13"/>
                <w:color w:val="auto"/>
              </w:rPr>
              <w:t>(cost—$871,867,953 and $816,078,311, respectively)</w:t>
            </w:r>
          </w:p>
        </w:tc>
        <w:tc>
          <w:tcPr>
            <w:tcW w:w="176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871,892,745</w:t>
            </w: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773,375,381</w:t>
            </w:r>
          </w:p>
        </w:tc>
        <w:tc>
          <w:tcPr>
            <w:tcW w:w="0" w:type="dxa"/>
            <w:vAlign w:val="bottom"/>
          </w:tcPr>
          <w:p>
            <w:pPr>
              <w:spacing w:after="0"/>
              <w:rPr>
                <w:sz w:val="1"/>
                <w:szCs w:val="1"/>
                <w:color w:val="auto"/>
              </w:rPr>
            </w:pPr>
          </w:p>
        </w:tc>
      </w:tr>
      <w:tr>
        <w:trPr>
          <w:trHeight w:val="138"/>
        </w:trPr>
        <w:tc>
          <w:tcPr>
            <w:tcW w:w="6340" w:type="dxa"/>
            <w:vAlign w:val="bottom"/>
          </w:tcPr>
          <w:p>
            <w:pPr>
              <w:ind w:left="540"/>
              <w:spacing w:after="0" w:line="138" w:lineRule="exact"/>
              <w:rPr>
                <w:sz w:val="20"/>
                <w:szCs w:val="20"/>
                <w:color w:val="auto"/>
              </w:rPr>
            </w:pPr>
            <w:r>
              <w:rPr>
                <w:rFonts w:ascii="Arial" w:cs="Arial" w:eastAsia="Arial" w:hAnsi="Arial"/>
                <w:sz w:val="13"/>
                <w:szCs w:val="13"/>
                <w:color w:val="auto"/>
              </w:rPr>
              <w:t>Non-controlled, affiliated investments, at fair value</w:t>
            </w:r>
          </w:p>
        </w:tc>
        <w:tc>
          <w:tcPr>
            <w:tcW w:w="1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340" w:type="dxa"/>
            <w:vAlign w:val="bottom"/>
          </w:tcPr>
          <w:p>
            <w:pPr>
              <w:ind w:left="820"/>
              <w:spacing w:after="0"/>
              <w:rPr>
                <w:sz w:val="20"/>
                <w:szCs w:val="20"/>
                <w:color w:val="auto"/>
              </w:rPr>
            </w:pPr>
            <w:r>
              <w:rPr>
                <w:rFonts w:ascii="Arial" w:cs="Arial" w:eastAsia="Arial" w:hAnsi="Arial"/>
                <w:sz w:val="13"/>
                <w:szCs w:val="13"/>
                <w:color w:val="auto"/>
              </w:rPr>
              <w:t>(cost—$72,576,858 and $36,744,425, respectively)</w:t>
            </w:r>
          </w:p>
        </w:tc>
        <w:tc>
          <w:tcPr>
            <w:tcW w:w="1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80,955,257</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40,673,133</w:t>
            </w:r>
          </w:p>
        </w:tc>
        <w:tc>
          <w:tcPr>
            <w:tcW w:w="0" w:type="dxa"/>
            <w:vAlign w:val="bottom"/>
          </w:tcPr>
          <w:p>
            <w:pPr>
              <w:spacing w:after="0"/>
              <w:rPr>
                <w:sz w:val="1"/>
                <w:szCs w:val="1"/>
                <w:color w:val="auto"/>
              </w:rPr>
            </w:pPr>
          </w:p>
        </w:tc>
      </w:tr>
      <w:tr>
        <w:trPr>
          <w:trHeight w:val="138"/>
        </w:trPr>
        <w:tc>
          <w:tcPr>
            <w:tcW w:w="6340" w:type="dxa"/>
            <w:vAlign w:val="bottom"/>
            <w:shd w:val="clear" w:color="auto" w:fill="CCEEFF"/>
          </w:tcPr>
          <w:p>
            <w:pPr>
              <w:ind w:left="540"/>
              <w:spacing w:after="0" w:line="138" w:lineRule="exact"/>
              <w:rPr>
                <w:sz w:val="20"/>
                <w:szCs w:val="20"/>
                <w:color w:val="auto"/>
              </w:rPr>
            </w:pPr>
            <w:r>
              <w:rPr>
                <w:rFonts w:ascii="Arial" w:cs="Arial" w:eastAsia="Arial" w:hAnsi="Arial"/>
                <w:sz w:val="13"/>
                <w:szCs w:val="13"/>
                <w:color w:val="auto"/>
              </w:rPr>
              <w:t>Controlled, affiliated investments, at fair value</w:t>
            </w:r>
          </w:p>
        </w:tc>
        <w:tc>
          <w:tcPr>
            <w:tcW w:w="14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340" w:type="dxa"/>
            <w:vAlign w:val="bottom"/>
            <w:shd w:val="clear" w:color="auto" w:fill="CCEEFF"/>
          </w:tcPr>
          <w:p>
            <w:pPr>
              <w:ind w:left="820"/>
              <w:spacing w:after="0"/>
              <w:rPr>
                <w:sz w:val="20"/>
                <w:szCs w:val="20"/>
                <w:color w:val="auto"/>
              </w:rPr>
            </w:pPr>
            <w:r>
              <w:rPr>
                <w:rFonts w:ascii="Arial" w:cs="Arial" w:eastAsia="Arial" w:hAnsi="Arial"/>
                <w:sz w:val="13"/>
                <w:szCs w:val="13"/>
                <w:color w:val="auto"/>
              </w:rPr>
              <w:t>(cost—$64,167,051 and $13,500,100, respectively)</w:t>
            </w:r>
          </w:p>
        </w:tc>
        <w:tc>
          <w:tcPr>
            <w:tcW w:w="1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37,631,708</w:t>
            </w:r>
          </w:p>
        </w:tc>
        <w:tc>
          <w:tcPr>
            <w:tcW w:w="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13,500,001</w:t>
            </w:r>
          </w:p>
        </w:tc>
        <w:tc>
          <w:tcPr>
            <w:tcW w:w="0" w:type="dxa"/>
            <w:vAlign w:val="bottom"/>
          </w:tcPr>
          <w:p>
            <w:pPr>
              <w:spacing w:after="0"/>
              <w:rPr>
                <w:sz w:val="1"/>
                <w:szCs w:val="1"/>
                <w:color w:val="auto"/>
              </w:rPr>
            </w:pPr>
          </w:p>
        </w:tc>
      </w:tr>
      <w:tr>
        <w:trPr>
          <w:trHeight w:val="145"/>
        </w:trPr>
        <w:tc>
          <w:tcPr>
            <w:tcW w:w="6340" w:type="dxa"/>
            <w:vAlign w:val="bottom"/>
          </w:tcPr>
          <w:p>
            <w:pPr>
              <w:ind w:left="540"/>
              <w:spacing w:after="0" w:line="145" w:lineRule="exact"/>
              <w:rPr>
                <w:sz w:val="20"/>
                <w:szCs w:val="20"/>
                <w:color w:val="auto"/>
              </w:rPr>
            </w:pPr>
            <w:r>
              <w:rPr>
                <w:rFonts w:ascii="Arial" w:cs="Arial" w:eastAsia="Arial" w:hAnsi="Arial"/>
                <w:sz w:val="13"/>
                <w:szCs w:val="13"/>
                <w:color w:val="auto"/>
              </w:rPr>
              <w:t>Total of investments, at fair value</w:t>
            </w:r>
          </w:p>
        </w:tc>
        <w:tc>
          <w:tcPr>
            <w:tcW w:w="14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340" w:type="dxa"/>
            <w:vAlign w:val="bottom"/>
          </w:tcPr>
          <w:p>
            <w:pPr>
              <w:ind w:left="820"/>
              <w:spacing w:after="0"/>
              <w:rPr>
                <w:sz w:val="20"/>
                <w:szCs w:val="20"/>
                <w:color w:val="auto"/>
              </w:rPr>
            </w:pPr>
            <w:r>
              <w:rPr>
                <w:rFonts w:ascii="Arial" w:cs="Arial" w:eastAsia="Arial" w:hAnsi="Arial"/>
                <w:sz w:val="13"/>
                <w:szCs w:val="13"/>
                <w:color w:val="auto"/>
              </w:rPr>
              <w:t>(cost – $1,008,611,862 and $866,322,836, respectively)</w:t>
            </w:r>
          </w:p>
        </w:tc>
        <w:tc>
          <w:tcPr>
            <w:tcW w:w="1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990,479,710</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827,548,515</w:t>
            </w:r>
          </w:p>
        </w:tc>
        <w:tc>
          <w:tcPr>
            <w:tcW w:w="0" w:type="dxa"/>
            <w:vAlign w:val="bottom"/>
          </w:tcPr>
          <w:p>
            <w:pPr>
              <w:spacing w:after="0"/>
              <w:rPr>
                <w:sz w:val="1"/>
                <w:szCs w:val="1"/>
                <w:color w:val="auto"/>
              </w:rPr>
            </w:pPr>
          </w:p>
        </w:tc>
      </w:tr>
      <w:tr>
        <w:trPr>
          <w:trHeight w:val="148"/>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Cash equivalents (See Note 9)</w:t>
            </w:r>
          </w:p>
        </w:tc>
        <w:tc>
          <w:tcPr>
            <w:tcW w:w="1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7,559,453</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71,604,519</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20"/>
                <w:szCs w:val="20"/>
                <w:color w:val="auto"/>
              </w:rPr>
            </w:pPr>
            <w:r>
              <w:rPr>
                <w:rFonts w:ascii="Arial" w:cs="Arial" w:eastAsia="Arial" w:hAnsi="Arial"/>
                <w:sz w:val="13"/>
                <w:szCs w:val="13"/>
                <w:color w:val="auto"/>
              </w:rPr>
              <w:t>Interest receivable</w:t>
            </w: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14,928,862</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10,878,236</w:t>
            </w:r>
          </w:p>
        </w:tc>
        <w:tc>
          <w:tcPr>
            <w:tcW w:w="0" w:type="dxa"/>
            <w:vAlign w:val="bottom"/>
          </w:tcPr>
          <w:p>
            <w:pPr>
              <w:spacing w:after="0"/>
              <w:rPr>
                <w:sz w:val="1"/>
                <w:szCs w:val="1"/>
                <w:color w:val="auto"/>
              </w:rPr>
            </w:pPr>
          </w:p>
        </w:tc>
      </w:tr>
      <w:tr>
        <w:trPr>
          <w:trHeight w:val="148"/>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Receivable for investments sold</w:t>
            </w:r>
          </w:p>
        </w:tc>
        <w:tc>
          <w:tcPr>
            <w:tcW w:w="1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878,204</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13,118,967</w:t>
            </w:r>
          </w:p>
        </w:tc>
        <w:tc>
          <w:tcPr>
            <w:tcW w:w="0" w:type="dxa"/>
            <w:vAlign w:val="bottom"/>
          </w:tcPr>
          <w:p>
            <w:pPr>
              <w:spacing w:after="0"/>
              <w:rPr>
                <w:sz w:val="1"/>
                <w:szCs w:val="1"/>
                <w:color w:val="auto"/>
              </w:rPr>
            </w:pPr>
          </w:p>
        </w:tc>
      </w:tr>
      <w:tr>
        <w:trPr>
          <w:trHeight w:val="156"/>
        </w:trPr>
        <w:tc>
          <w:tcPr>
            <w:tcW w:w="6340" w:type="dxa"/>
            <w:vAlign w:val="bottom"/>
          </w:tcPr>
          <w:p>
            <w:pPr>
              <w:spacing w:after="0"/>
              <w:rPr>
                <w:sz w:val="20"/>
                <w:szCs w:val="20"/>
                <w:color w:val="auto"/>
              </w:rPr>
            </w:pPr>
            <w:r>
              <w:rPr>
                <w:rFonts w:ascii="Arial" w:cs="Arial" w:eastAsia="Arial" w:hAnsi="Arial"/>
                <w:sz w:val="13"/>
                <w:szCs w:val="13"/>
                <w:color w:val="auto"/>
              </w:rPr>
              <w:t>Prepaid expenses and other assets</w:t>
            </w:r>
          </w:p>
        </w:tc>
        <w:tc>
          <w:tcPr>
            <w:tcW w:w="14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5,121,302</w:t>
            </w:r>
          </w:p>
        </w:tc>
        <w:tc>
          <w:tcPr>
            <w:tcW w:w="3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5,587,977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340" w:type="dxa"/>
            <w:vAlign w:val="bottom"/>
            <w:shd w:val="clear" w:color="auto" w:fill="CCEEFF"/>
          </w:tcPr>
          <w:p>
            <w:pPr>
              <w:ind w:left="1080"/>
              <w:spacing w:after="0"/>
              <w:rPr>
                <w:sz w:val="20"/>
                <w:szCs w:val="20"/>
                <w:color w:val="auto"/>
              </w:rPr>
            </w:pPr>
            <w:r>
              <w:rPr>
                <w:rFonts w:ascii="Arial" w:cs="Arial" w:eastAsia="Arial" w:hAnsi="Arial"/>
                <w:sz w:val="13"/>
                <w:szCs w:val="13"/>
                <w:b w:val="1"/>
                <w:bCs w:val="1"/>
                <w:color w:val="auto"/>
              </w:rPr>
              <w:t>Total assets</w:t>
            </w:r>
          </w:p>
        </w:tc>
        <w:tc>
          <w:tcPr>
            <w:tcW w:w="1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1,018,967,531</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928,738,214</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3"/>
                <w:szCs w:val="13"/>
                <w:b w:val="1"/>
                <w:bCs w:val="1"/>
                <w:color w:val="auto"/>
              </w:rPr>
              <w:t>Liabilities</w:t>
            </w:r>
          </w:p>
        </w:tc>
        <w:tc>
          <w:tcPr>
            <w:tcW w:w="1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40" w:type="dxa"/>
            <w:vAlign w:val="bottom"/>
            <w:vMerge w:val="continue"/>
          </w:tcPr>
          <w:p>
            <w:pPr>
              <w:spacing w:after="0"/>
              <w:rPr>
                <w:sz w:val="12"/>
                <w:szCs w:val="12"/>
                <w:color w:val="auto"/>
              </w:rPr>
            </w:pP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Distributions payable</w:t>
            </w:r>
          </w:p>
        </w:tc>
        <w:tc>
          <w:tcPr>
            <w:tcW w:w="1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15,824,061</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12,336,241</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20"/>
                <w:szCs w:val="20"/>
                <w:color w:val="auto"/>
              </w:rPr>
            </w:pPr>
            <w:r>
              <w:rPr>
                <w:rFonts w:ascii="Arial" w:cs="Arial" w:eastAsia="Arial" w:hAnsi="Arial"/>
                <w:sz w:val="13"/>
                <w:szCs w:val="13"/>
                <w:color w:val="auto"/>
              </w:rPr>
              <w:t>Payable for investments purchased</w:t>
            </w: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18,572,499</w:t>
            </w:r>
          </w:p>
        </w:tc>
        <w:tc>
          <w:tcPr>
            <w:tcW w:w="0" w:type="dxa"/>
            <w:vAlign w:val="bottom"/>
          </w:tcPr>
          <w:p>
            <w:pPr>
              <w:spacing w:after="0"/>
              <w:rPr>
                <w:sz w:val="1"/>
                <w:szCs w:val="1"/>
                <w:color w:val="auto"/>
              </w:rPr>
            </w:pPr>
          </w:p>
        </w:tc>
      </w:tr>
      <w:tr>
        <w:trPr>
          <w:trHeight w:val="148"/>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Unfunded investments</w:t>
            </w:r>
          </w:p>
        </w:tc>
        <w:tc>
          <w:tcPr>
            <w:tcW w:w="1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26,935,270</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37,132,151</w:t>
            </w:r>
          </w:p>
        </w:tc>
        <w:tc>
          <w:tcPr>
            <w:tcW w:w="0" w:type="dxa"/>
            <w:vAlign w:val="bottom"/>
          </w:tcPr>
          <w:p>
            <w:pPr>
              <w:spacing w:after="0"/>
              <w:rPr>
                <w:sz w:val="1"/>
                <w:szCs w:val="1"/>
                <w:color w:val="auto"/>
              </w:rPr>
            </w:pPr>
          </w:p>
        </w:tc>
      </w:tr>
      <w:tr>
        <w:trPr>
          <w:trHeight w:val="138"/>
        </w:trPr>
        <w:tc>
          <w:tcPr>
            <w:tcW w:w="6340" w:type="dxa"/>
            <w:vAlign w:val="bottom"/>
          </w:tcPr>
          <w:p>
            <w:pPr>
              <w:spacing w:after="0" w:line="138" w:lineRule="exact"/>
              <w:rPr>
                <w:sz w:val="20"/>
                <w:szCs w:val="20"/>
                <w:color w:val="auto"/>
              </w:rPr>
            </w:pPr>
            <w:r>
              <w:rPr>
                <w:rFonts w:ascii="Arial" w:cs="Arial" w:eastAsia="Arial" w:hAnsi="Arial"/>
                <w:sz w:val="13"/>
                <w:szCs w:val="13"/>
                <w:color w:val="auto"/>
              </w:rPr>
              <w:t>Credit Facility payable</w:t>
            </w:r>
          </w:p>
        </w:tc>
        <w:tc>
          <w:tcPr>
            <w:tcW w:w="1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340" w:type="dxa"/>
            <w:vAlign w:val="bottom"/>
          </w:tcPr>
          <w:p>
            <w:pPr>
              <w:ind w:left="220"/>
              <w:spacing w:after="0"/>
              <w:rPr>
                <w:sz w:val="20"/>
                <w:szCs w:val="20"/>
                <w:color w:val="auto"/>
              </w:rPr>
            </w:pPr>
            <w:r>
              <w:rPr>
                <w:rFonts w:ascii="Arial" w:cs="Arial" w:eastAsia="Arial" w:hAnsi="Arial"/>
                <w:sz w:val="13"/>
                <w:szCs w:val="13"/>
                <w:color w:val="auto"/>
              </w:rPr>
              <w:t>(cost—$145,000,000 and $240,900,000, respectively) (See Notes 5 and 11)</w:t>
            </w:r>
          </w:p>
        </w:tc>
        <w:tc>
          <w:tcPr>
            <w:tcW w:w="1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144,452,500</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238,792,125</w:t>
            </w:r>
          </w:p>
        </w:tc>
        <w:tc>
          <w:tcPr>
            <w:tcW w:w="0" w:type="dxa"/>
            <w:vAlign w:val="bottom"/>
          </w:tcPr>
          <w:p>
            <w:pPr>
              <w:spacing w:after="0"/>
              <w:rPr>
                <w:sz w:val="1"/>
                <w:szCs w:val="1"/>
                <w:color w:val="auto"/>
              </w:rPr>
            </w:pPr>
          </w:p>
        </w:tc>
      </w:tr>
      <w:tr>
        <w:trPr>
          <w:trHeight w:val="148"/>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SBA debentures payable (cost—$150,000,000) (See Notes 5 and 11)</w:t>
            </w:r>
          </w:p>
        </w:tc>
        <w:tc>
          <w:tcPr>
            <w:tcW w:w="1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150,000,000</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150,000,000</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20"/>
                <w:szCs w:val="20"/>
                <w:color w:val="auto"/>
              </w:rPr>
            </w:pPr>
            <w:r>
              <w:rPr>
                <w:rFonts w:ascii="Arial" w:cs="Arial" w:eastAsia="Arial" w:hAnsi="Arial"/>
                <w:sz w:val="13"/>
                <w:szCs w:val="13"/>
                <w:color w:val="auto"/>
              </w:rPr>
              <w:t>Interest payable on Credit Facility and SBA debentures</w:t>
            </w: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854,725</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687,362</w:t>
            </w:r>
          </w:p>
        </w:tc>
        <w:tc>
          <w:tcPr>
            <w:tcW w:w="0" w:type="dxa"/>
            <w:vAlign w:val="bottom"/>
          </w:tcPr>
          <w:p>
            <w:pPr>
              <w:spacing w:after="0"/>
              <w:rPr>
                <w:sz w:val="1"/>
                <w:szCs w:val="1"/>
                <w:color w:val="auto"/>
              </w:rPr>
            </w:pPr>
          </w:p>
        </w:tc>
      </w:tr>
      <w:tr>
        <w:trPr>
          <w:trHeight w:val="148"/>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Management fee payable (See Note 3)</w:t>
            </w:r>
          </w:p>
        </w:tc>
        <w:tc>
          <w:tcPr>
            <w:tcW w:w="1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4,791,913</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4,008,054</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20"/>
                <w:szCs w:val="20"/>
                <w:color w:val="auto"/>
              </w:rPr>
            </w:pPr>
            <w:r>
              <w:rPr>
                <w:rFonts w:ascii="Arial" w:cs="Arial" w:eastAsia="Arial" w:hAnsi="Arial"/>
                <w:sz w:val="13"/>
                <w:szCs w:val="13"/>
                <w:color w:val="auto"/>
              </w:rPr>
              <w:t>Performance-based incentive fee payable (See Note 3)</w:t>
            </w: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4,206,989</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3,773,829</w:t>
            </w:r>
          </w:p>
        </w:tc>
        <w:tc>
          <w:tcPr>
            <w:tcW w:w="0" w:type="dxa"/>
            <w:vAlign w:val="bottom"/>
          </w:tcPr>
          <w:p>
            <w:pPr>
              <w:spacing w:after="0"/>
              <w:rPr>
                <w:sz w:val="1"/>
                <w:szCs w:val="1"/>
                <w:color w:val="auto"/>
              </w:rPr>
            </w:pPr>
          </w:p>
        </w:tc>
      </w:tr>
      <w:tr>
        <w:trPr>
          <w:trHeight w:val="148"/>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Accrued other expenses</w:t>
            </w:r>
          </w:p>
        </w:tc>
        <w:tc>
          <w:tcPr>
            <w:tcW w:w="14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2,185,026</w:t>
            </w:r>
          </w:p>
        </w:tc>
        <w:tc>
          <w:tcPr>
            <w:tcW w:w="32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778,757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340" w:type="dxa"/>
            <w:vAlign w:val="bottom"/>
          </w:tcPr>
          <w:p>
            <w:pPr>
              <w:ind w:left="1080"/>
              <w:spacing w:after="0"/>
              <w:rPr>
                <w:sz w:val="20"/>
                <w:szCs w:val="20"/>
                <w:color w:val="auto"/>
              </w:rPr>
            </w:pPr>
            <w:r>
              <w:rPr>
                <w:rFonts w:ascii="Arial" w:cs="Arial" w:eastAsia="Arial" w:hAnsi="Arial"/>
                <w:sz w:val="13"/>
                <w:szCs w:val="13"/>
                <w:b w:val="1"/>
                <w:bCs w:val="1"/>
                <w:color w:val="auto"/>
              </w:rPr>
              <w:t>Total liabilities</w:t>
            </w:r>
          </w:p>
        </w:tc>
        <w:tc>
          <w:tcPr>
            <w:tcW w:w="1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349,250,484</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466,081,018</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4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Net Assets</w:t>
            </w:r>
          </w:p>
        </w:tc>
        <w:tc>
          <w:tcPr>
            <w:tcW w:w="1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rPr>
                <w:sz w:val="20"/>
                <w:szCs w:val="20"/>
                <w:color w:val="auto"/>
              </w:rPr>
            </w:pPr>
            <w:r>
              <w:rPr>
                <w:rFonts w:ascii="Arial" w:cs="Arial" w:eastAsia="Arial" w:hAnsi="Arial"/>
                <w:sz w:val="13"/>
                <w:szCs w:val="13"/>
                <w:color w:val="auto"/>
              </w:rPr>
              <w:t>Common stock, 65,514,503 and 45,689,781 shares are issued and outstanding, respectively.</w:t>
            </w: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Par value is $0.001 per share and 100,000,000 shares are authorized.</w:t>
            </w:r>
          </w:p>
        </w:tc>
        <w:tc>
          <w:tcPr>
            <w:tcW w:w="1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65,514</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45,690</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20"/>
                <w:szCs w:val="20"/>
                <w:color w:val="auto"/>
              </w:rPr>
            </w:pPr>
            <w:r>
              <w:rPr>
                <w:rFonts w:ascii="Arial" w:cs="Arial" w:eastAsia="Arial" w:hAnsi="Arial"/>
                <w:sz w:val="13"/>
                <w:szCs w:val="13"/>
                <w:color w:val="auto"/>
              </w:rPr>
              <w:t>Paid-in capital in excess of par value</w:t>
            </w: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744,704,825</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540,603,020</w:t>
            </w:r>
          </w:p>
        </w:tc>
        <w:tc>
          <w:tcPr>
            <w:tcW w:w="0" w:type="dxa"/>
            <w:vAlign w:val="bottom"/>
          </w:tcPr>
          <w:p>
            <w:pPr>
              <w:spacing w:after="0"/>
              <w:rPr>
                <w:sz w:val="1"/>
                <w:szCs w:val="1"/>
                <w:color w:val="auto"/>
              </w:rPr>
            </w:pPr>
          </w:p>
        </w:tc>
      </w:tr>
      <w:tr>
        <w:trPr>
          <w:trHeight w:val="149"/>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Undistributed net investment income (See Note 8)</w:t>
            </w:r>
          </w:p>
        </w:tc>
        <w:tc>
          <w:tcPr>
            <w:tcW w:w="1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2,804,397</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8,326,854</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20"/>
                <w:szCs w:val="20"/>
                <w:color w:val="auto"/>
              </w:rPr>
            </w:pPr>
            <w:r>
              <w:rPr>
                <w:rFonts w:ascii="Arial" w:cs="Arial" w:eastAsia="Arial" w:hAnsi="Arial"/>
                <w:sz w:val="13"/>
                <w:szCs w:val="13"/>
                <w:color w:val="auto"/>
              </w:rPr>
              <w:t>Accumulated net realized loss on investments (See Note 8)</w:t>
            </w:r>
          </w:p>
        </w:tc>
        <w:tc>
          <w:tcPr>
            <w:tcW w:w="1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3"/>
                <w:szCs w:val="13"/>
                <w:color w:val="auto"/>
              </w:rPr>
              <w:t>(60,273,037)</w:t>
            </w:r>
          </w:p>
        </w:tc>
        <w:tc>
          <w:tcPr>
            <w:tcW w:w="420" w:type="dxa"/>
            <w:vAlign w:val="bottom"/>
          </w:tcPr>
          <w:p>
            <w:pPr>
              <w:spacing w:after="0"/>
              <w:rPr>
                <w:sz w:val="12"/>
                <w:szCs w:val="1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3"/>
                <w:szCs w:val="13"/>
                <w:color w:val="auto"/>
              </w:rPr>
              <w:t>(49,651,922)</w:t>
            </w:r>
          </w:p>
        </w:tc>
        <w:tc>
          <w:tcPr>
            <w:tcW w:w="0" w:type="dxa"/>
            <w:vAlign w:val="bottom"/>
          </w:tcPr>
          <w:p>
            <w:pPr>
              <w:spacing w:after="0"/>
              <w:rPr>
                <w:sz w:val="1"/>
                <w:szCs w:val="1"/>
                <w:color w:val="auto"/>
              </w:rPr>
            </w:pPr>
          </w:p>
        </w:tc>
      </w:tr>
      <w:tr>
        <w:trPr>
          <w:trHeight w:val="148"/>
        </w:trPr>
        <w:tc>
          <w:tcPr>
            <w:tcW w:w="634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depreciation on investments</w:t>
            </w:r>
          </w:p>
        </w:tc>
        <w:tc>
          <w:tcPr>
            <w:tcW w:w="1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(18,132,152)</w:t>
            </w:r>
          </w:p>
        </w:tc>
        <w:tc>
          <w:tcPr>
            <w:tcW w:w="4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(38,774,321)</w:t>
            </w:r>
          </w:p>
        </w:tc>
        <w:tc>
          <w:tcPr>
            <w:tcW w:w="0" w:type="dxa"/>
            <w:vAlign w:val="bottom"/>
          </w:tcPr>
          <w:p>
            <w:pPr>
              <w:spacing w:after="0"/>
              <w:rPr>
                <w:sz w:val="1"/>
                <w:szCs w:val="1"/>
                <w:color w:val="auto"/>
              </w:rPr>
            </w:pPr>
          </w:p>
        </w:tc>
      </w:tr>
      <w:tr>
        <w:trPr>
          <w:trHeight w:val="156"/>
        </w:trPr>
        <w:tc>
          <w:tcPr>
            <w:tcW w:w="6340" w:type="dxa"/>
            <w:vAlign w:val="bottom"/>
          </w:tcPr>
          <w:p>
            <w:pPr>
              <w:spacing w:after="0"/>
              <w:rPr>
                <w:sz w:val="20"/>
                <w:szCs w:val="20"/>
                <w:color w:val="auto"/>
              </w:rPr>
            </w:pPr>
            <w:r>
              <w:rPr>
                <w:rFonts w:ascii="Arial" w:cs="Arial" w:eastAsia="Arial" w:hAnsi="Arial"/>
                <w:sz w:val="13"/>
                <w:szCs w:val="13"/>
                <w:color w:val="auto"/>
              </w:rPr>
              <w:t>Net unrealized depreciation on Credit Facility</w:t>
            </w:r>
          </w:p>
        </w:tc>
        <w:tc>
          <w:tcPr>
            <w:tcW w:w="14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547,500</w:t>
            </w:r>
          </w:p>
        </w:tc>
        <w:tc>
          <w:tcPr>
            <w:tcW w:w="3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2,107,875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340" w:type="dxa"/>
            <w:vAlign w:val="bottom"/>
            <w:shd w:val="clear" w:color="auto" w:fill="CCEEFF"/>
          </w:tcPr>
          <w:p>
            <w:pPr>
              <w:ind w:left="1080"/>
              <w:spacing w:after="0"/>
              <w:rPr>
                <w:sz w:val="20"/>
                <w:szCs w:val="20"/>
                <w:color w:val="auto"/>
              </w:rPr>
            </w:pPr>
            <w:r>
              <w:rPr>
                <w:rFonts w:ascii="Arial" w:cs="Arial" w:eastAsia="Arial" w:hAnsi="Arial"/>
                <w:sz w:val="13"/>
                <w:szCs w:val="13"/>
                <w:b w:val="1"/>
                <w:bCs w:val="1"/>
                <w:color w:val="auto"/>
              </w:rPr>
              <w:t>Total net assets</w:t>
            </w:r>
          </w:p>
        </w:tc>
        <w:tc>
          <w:tcPr>
            <w:tcW w:w="14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669,717,047</w:t>
            </w:r>
          </w:p>
        </w:tc>
        <w:tc>
          <w:tcPr>
            <w:tcW w:w="32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462,657,196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ind w:left="1080"/>
              <w:spacing w:after="0"/>
              <w:rPr>
                <w:sz w:val="20"/>
                <w:szCs w:val="20"/>
                <w:color w:val="auto"/>
              </w:rPr>
            </w:pPr>
            <w:r>
              <w:rPr>
                <w:rFonts w:ascii="Arial" w:cs="Arial" w:eastAsia="Arial" w:hAnsi="Arial"/>
                <w:sz w:val="13"/>
                <w:szCs w:val="13"/>
                <w:b w:val="1"/>
                <w:bCs w:val="1"/>
                <w:color w:val="auto"/>
              </w:rPr>
              <w:t>Total liabilities and net assets</w:t>
            </w:r>
          </w:p>
        </w:tc>
        <w:tc>
          <w:tcPr>
            <w:tcW w:w="1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40" w:type="dxa"/>
            <w:vAlign w:val="bottom"/>
            <w:vMerge w:val="continue"/>
          </w:tcPr>
          <w:p>
            <w:pPr>
              <w:spacing w:after="0"/>
              <w:rPr>
                <w:sz w:val="12"/>
                <w:szCs w:val="12"/>
                <w:color w:val="auto"/>
              </w:rPr>
            </w:pPr>
          </w:p>
        </w:tc>
        <w:tc>
          <w:tcPr>
            <w:tcW w:w="1760" w:type="dxa"/>
            <w:vAlign w:val="bottom"/>
            <w:gridSpan w:val="2"/>
          </w:tcPr>
          <w:p>
            <w:pPr>
              <w:jc w:val="right"/>
              <w:ind w:right="213"/>
              <w:spacing w:after="0" w:line="143" w:lineRule="exact"/>
              <w:rPr>
                <w:sz w:val="20"/>
                <w:szCs w:val="20"/>
                <w:color w:val="auto"/>
              </w:rPr>
            </w:pPr>
            <w:r>
              <w:rPr>
                <w:rFonts w:ascii="Arial" w:cs="Arial" w:eastAsia="Arial" w:hAnsi="Arial"/>
                <w:sz w:val="13"/>
                <w:szCs w:val="13"/>
                <w:color w:val="auto"/>
              </w:rPr>
              <w:t>$</w:t>
            </w:r>
          </w:p>
        </w:tc>
        <w:tc>
          <w:tcPr>
            <w:tcW w:w="1200" w:type="dxa"/>
            <w:vAlign w:val="bottom"/>
          </w:tcPr>
          <w:p>
            <w:pPr>
              <w:jc w:val="right"/>
              <w:spacing w:after="0" w:line="143" w:lineRule="exact"/>
              <w:rPr>
                <w:sz w:val="20"/>
                <w:szCs w:val="20"/>
                <w:color w:val="auto"/>
              </w:rPr>
            </w:pPr>
            <w:r>
              <w:rPr>
                <w:rFonts w:ascii="Arial" w:cs="Arial" w:eastAsia="Arial" w:hAnsi="Arial"/>
                <w:sz w:val="13"/>
                <w:szCs w:val="13"/>
                <w:color w:val="auto"/>
              </w:rPr>
              <w:t>1,018,967,531</w:t>
            </w:r>
          </w:p>
        </w:tc>
        <w:tc>
          <w:tcPr>
            <w:tcW w:w="320" w:type="dxa"/>
            <w:vAlign w:val="bottom"/>
          </w:tcPr>
          <w:p>
            <w:pPr>
              <w:spacing w:after="0"/>
              <w:rPr>
                <w:sz w:val="12"/>
                <w:szCs w:val="12"/>
                <w:color w:val="auto"/>
              </w:rPr>
            </w:pPr>
          </w:p>
        </w:tc>
        <w:tc>
          <w:tcPr>
            <w:tcW w:w="420" w:type="dxa"/>
            <w:vAlign w:val="bottom"/>
          </w:tcPr>
          <w:p>
            <w:pPr>
              <w:jc w:val="right"/>
              <w:ind w:right="309"/>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928,738,214</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4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Net asset value per share</w:t>
            </w:r>
          </w:p>
        </w:tc>
        <w:tc>
          <w:tcPr>
            <w:tcW w:w="1760" w:type="dxa"/>
            <w:vAlign w:val="bottom"/>
            <w:gridSpan w:val="2"/>
            <w:shd w:val="clear" w:color="auto" w:fill="CCEEFF"/>
          </w:tcPr>
          <w:p>
            <w:pPr>
              <w:jc w:val="right"/>
              <w:ind w:right="213"/>
              <w:spacing w:after="0" w:line="143"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10.22</w:t>
            </w: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10.13</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ectPr>
          <w:pgSz w:w="11900" w:h="16838" w:orient="portrait"/>
          <w:cols w:equalWidth="0" w:num="1">
            <w:col w:w="11240"/>
          </w:cols>
          <w:pgMar w:left="32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w w:val="91"/>
              </w:rPr>
              <w:t>Years ended September 30,</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593"/>
              <w:spacing w:after="0" w:line="142" w:lineRule="exact"/>
              <w:rPr>
                <w:sz w:val="20"/>
                <w:szCs w:val="20"/>
                <w:color w:val="auto"/>
              </w:rPr>
            </w:pPr>
            <w:r>
              <w:rPr>
                <w:rFonts w:ascii="Arial" w:cs="Arial" w:eastAsia="Arial" w:hAnsi="Arial"/>
                <w:sz w:val="13"/>
                <w:szCs w:val="13"/>
                <w:b w:val="1"/>
                <w:bCs w:val="1"/>
                <w:color w:val="auto"/>
              </w:rPr>
              <w:t>2011</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13"/>
              <w:spacing w:after="0" w:line="142" w:lineRule="exact"/>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8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Investment income:</w:t>
            </w: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20"/>
                <w:szCs w:val="20"/>
                <w:color w:val="auto"/>
              </w:rPr>
            </w:pPr>
            <w:r>
              <w:rPr>
                <w:rFonts w:ascii="Arial" w:cs="Arial" w:eastAsia="Arial" w:hAnsi="Arial"/>
                <w:sz w:val="13"/>
                <w:szCs w:val="13"/>
                <w:color w:val="auto"/>
              </w:rPr>
              <w:t>From non-controlled, non-affiliated investments:</w:t>
            </w: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Interest</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99,663,198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83,632,455</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57,467,862</w:t>
            </w:r>
          </w:p>
        </w:tc>
        <w:tc>
          <w:tcPr>
            <w:tcW w:w="0" w:type="dxa"/>
            <w:vAlign w:val="bottom"/>
          </w:tcPr>
          <w:p>
            <w:pPr>
              <w:spacing w:after="0"/>
              <w:rPr>
                <w:sz w:val="1"/>
                <w:szCs w:val="1"/>
                <w:color w:val="auto"/>
              </w:rPr>
            </w:pPr>
          </w:p>
        </w:tc>
      </w:tr>
      <w:tr>
        <w:trPr>
          <w:trHeight w:val="148"/>
        </w:trPr>
        <w:tc>
          <w:tcPr>
            <w:tcW w:w="5840" w:type="dxa"/>
            <w:vAlign w:val="bottom"/>
          </w:tcPr>
          <w:p>
            <w:pPr>
              <w:ind w:left="540"/>
              <w:spacing w:after="0"/>
              <w:rPr>
                <w:sz w:val="20"/>
                <w:szCs w:val="20"/>
                <w:color w:val="auto"/>
              </w:rPr>
            </w:pPr>
            <w:r>
              <w:rPr>
                <w:rFonts w:ascii="Arial" w:cs="Arial" w:eastAsia="Arial" w:hAnsi="Arial"/>
                <w:sz w:val="13"/>
                <w:szCs w:val="13"/>
                <w:color w:val="auto"/>
              </w:rPr>
              <w:t>Other</w:t>
            </w:r>
          </w:p>
        </w:tc>
        <w:tc>
          <w:tcPr>
            <w:tcW w:w="320" w:type="dxa"/>
            <w:vAlign w:val="bottom"/>
          </w:tcPr>
          <w:p>
            <w:pPr>
              <w:spacing w:after="0"/>
              <w:rPr>
                <w:sz w:val="12"/>
                <w:szCs w:val="1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8,486,387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3"/>
                <w:szCs w:val="13"/>
                <w:color w:val="auto"/>
              </w:rPr>
              <w:t>4,726,387</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1,069,514</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From non-controlled, affiliated investments:</w:t>
            </w: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ind w:left="540"/>
              <w:spacing w:after="0"/>
              <w:rPr>
                <w:sz w:val="20"/>
                <w:szCs w:val="20"/>
                <w:color w:val="auto"/>
              </w:rPr>
            </w:pPr>
            <w:r>
              <w:rPr>
                <w:rFonts w:ascii="Arial" w:cs="Arial" w:eastAsia="Arial" w:hAnsi="Arial"/>
                <w:sz w:val="13"/>
                <w:szCs w:val="13"/>
                <w:color w:val="auto"/>
              </w:rPr>
              <w:t>Interest</w:t>
            </w:r>
          </w:p>
        </w:tc>
        <w:tc>
          <w:tcPr>
            <w:tcW w:w="320" w:type="dxa"/>
            <w:vAlign w:val="bottom"/>
          </w:tcPr>
          <w:p>
            <w:pPr>
              <w:spacing w:after="0"/>
              <w:rPr>
                <w:sz w:val="12"/>
                <w:szCs w:val="1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3,542,583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3"/>
                <w:szCs w:val="13"/>
                <w:color w:val="auto"/>
              </w:rPr>
              <w:t>2,217,320</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1,392,381</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From controlled, affiliated investments:</w:t>
            </w: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ind w:left="540"/>
              <w:spacing w:after="0"/>
              <w:rPr>
                <w:sz w:val="20"/>
                <w:szCs w:val="20"/>
                <w:color w:val="auto"/>
              </w:rPr>
            </w:pPr>
            <w:r>
              <w:rPr>
                <w:rFonts w:ascii="Arial" w:cs="Arial" w:eastAsia="Arial" w:hAnsi="Arial"/>
                <w:sz w:val="13"/>
                <w:szCs w:val="13"/>
                <w:color w:val="auto"/>
              </w:rPr>
              <w:t>Interest</w:t>
            </w: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1,700,222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3"/>
                <w:szCs w:val="13"/>
                <w:color w:val="auto"/>
              </w:rPr>
              <w:t>1,162,333</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210,000</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840" w:type="dxa"/>
            <w:vAlign w:val="bottom"/>
            <w:shd w:val="clear" w:color="auto" w:fill="CCEEFF"/>
          </w:tcPr>
          <w:p>
            <w:pPr>
              <w:ind w:left="820"/>
              <w:spacing w:after="0"/>
              <w:rPr>
                <w:sz w:val="20"/>
                <w:szCs w:val="20"/>
                <w:color w:val="auto"/>
              </w:rPr>
            </w:pPr>
            <w:r>
              <w:rPr>
                <w:rFonts w:ascii="Arial" w:cs="Arial" w:eastAsia="Arial" w:hAnsi="Arial"/>
                <w:sz w:val="13"/>
                <w:szCs w:val="13"/>
                <w:b w:val="1"/>
                <w:bCs w:val="1"/>
                <w:color w:val="auto"/>
              </w:rPr>
              <w:t>Total investment income</w:t>
            </w: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113,392,390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91,738,495</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60,139,757</w:t>
            </w:r>
          </w:p>
        </w:tc>
        <w:tc>
          <w:tcPr>
            <w:tcW w:w="0" w:type="dxa"/>
            <w:vAlign w:val="bottom"/>
          </w:tcPr>
          <w:p>
            <w:pPr>
              <w:spacing w:after="0"/>
              <w:rPr>
                <w:sz w:val="1"/>
                <w:szCs w:val="1"/>
                <w:color w:val="auto"/>
              </w:rPr>
            </w:pPr>
          </w:p>
        </w:tc>
      </w:tr>
      <w:tr>
        <w:trPr>
          <w:trHeight w:val="155"/>
        </w:trPr>
        <w:tc>
          <w:tcPr>
            <w:tcW w:w="584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Base management fee (See Note 3)</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17,507,262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14,899,983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11,618,773</w:t>
            </w:r>
          </w:p>
        </w:tc>
        <w:tc>
          <w:tcPr>
            <w:tcW w:w="0" w:type="dxa"/>
            <w:vAlign w:val="bottom"/>
          </w:tcPr>
          <w:p>
            <w:pPr>
              <w:spacing w:after="0"/>
              <w:rPr>
                <w:sz w:val="1"/>
                <w:szCs w:val="1"/>
                <w:color w:val="auto"/>
              </w:rPr>
            </w:pPr>
          </w:p>
        </w:tc>
      </w:tr>
      <w:tr>
        <w:trPr>
          <w:trHeight w:val="148"/>
        </w:trPr>
        <w:tc>
          <w:tcPr>
            <w:tcW w:w="5840" w:type="dxa"/>
            <w:vAlign w:val="bottom"/>
          </w:tcPr>
          <w:p>
            <w:pPr>
              <w:ind w:left="540"/>
              <w:spacing w:after="0"/>
              <w:rPr>
                <w:sz w:val="20"/>
                <w:szCs w:val="20"/>
                <w:color w:val="auto"/>
              </w:rPr>
            </w:pPr>
            <w:r>
              <w:rPr>
                <w:rFonts w:ascii="Arial" w:cs="Arial" w:eastAsia="Arial" w:hAnsi="Arial"/>
                <w:sz w:val="13"/>
                <w:szCs w:val="13"/>
                <w:color w:val="auto"/>
              </w:rPr>
              <w:t>Performance-based incentive fee (See Note 3)</w:t>
            </w:r>
          </w:p>
        </w:tc>
        <w:tc>
          <w:tcPr>
            <w:tcW w:w="320" w:type="dxa"/>
            <w:vAlign w:val="bottom"/>
          </w:tcPr>
          <w:p>
            <w:pPr>
              <w:spacing w:after="0"/>
              <w:rPr>
                <w:sz w:val="12"/>
                <w:szCs w:val="1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14,223,777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3"/>
                <w:szCs w:val="13"/>
                <w:color w:val="auto"/>
              </w:rPr>
              <w:t>13,161,597</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8,018,309</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Interest and expenses on the Credit Facility and SBA debentures (See Note 11)</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11,680,634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5,322,231</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3,672,444</w:t>
            </w:r>
          </w:p>
        </w:tc>
        <w:tc>
          <w:tcPr>
            <w:tcW w:w="0" w:type="dxa"/>
            <w:vAlign w:val="bottom"/>
          </w:tcPr>
          <w:p>
            <w:pPr>
              <w:spacing w:after="0"/>
              <w:rPr>
                <w:sz w:val="1"/>
                <w:szCs w:val="1"/>
                <w:color w:val="auto"/>
              </w:rPr>
            </w:pPr>
          </w:p>
        </w:tc>
      </w:tr>
      <w:tr>
        <w:trPr>
          <w:trHeight w:val="148"/>
        </w:trPr>
        <w:tc>
          <w:tcPr>
            <w:tcW w:w="5840" w:type="dxa"/>
            <w:vAlign w:val="bottom"/>
          </w:tcPr>
          <w:p>
            <w:pPr>
              <w:ind w:left="540"/>
              <w:spacing w:after="0"/>
              <w:rPr>
                <w:sz w:val="20"/>
                <w:szCs w:val="20"/>
                <w:color w:val="auto"/>
              </w:rPr>
            </w:pPr>
            <w:r>
              <w:rPr>
                <w:rFonts w:ascii="Arial" w:cs="Arial" w:eastAsia="Arial" w:hAnsi="Arial"/>
                <w:sz w:val="13"/>
                <w:szCs w:val="13"/>
                <w:color w:val="auto"/>
              </w:rPr>
              <w:t>Administrative services expenses (See Note 3)</w:t>
            </w:r>
          </w:p>
        </w:tc>
        <w:tc>
          <w:tcPr>
            <w:tcW w:w="320" w:type="dxa"/>
            <w:vAlign w:val="bottom"/>
          </w:tcPr>
          <w:p>
            <w:pPr>
              <w:spacing w:after="0"/>
              <w:rPr>
                <w:sz w:val="12"/>
                <w:szCs w:val="1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3,745,741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3"/>
                <w:szCs w:val="13"/>
                <w:color w:val="auto"/>
              </w:rPr>
              <w:t>2,596,756</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2,328,210</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Other general and administrative expenses</w:t>
            </w: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3,496,326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2,884,029</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2,329,110</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Expenses before debt issuance costs and excise taxes</w:t>
            </w: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50,653,740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3"/>
                <w:szCs w:val="13"/>
                <w:color w:val="auto"/>
              </w:rPr>
              <w:t>38,864,596</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27,966,846</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Debt issuance costs</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5,361,319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5840" w:type="dxa"/>
            <w:vAlign w:val="bottom"/>
          </w:tcPr>
          <w:p>
            <w:pPr>
              <w:ind w:left="540"/>
              <w:spacing w:after="0"/>
              <w:rPr>
                <w:sz w:val="20"/>
                <w:szCs w:val="20"/>
                <w:color w:val="auto"/>
              </w:rPr>
            </w:pPr>
            <w:r>
              <w:rPr>
                <w:rFonts w:ascii="Arial" w:cs="Arial" w:eastAsia="Arial" w:hAnsi="Arial"/>
                <w:sz w:val="13"/>
                <w:szCs w:val="13"/>
                <w:color w:val="auto"/>
              </w:rPr>
              <w:t>Excise tax</w:t>
            </w:r>
          </w:p>
        </w:tc>
        <w:tc>
          <w:tcPr>
            <w:tcW w:w="3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307,990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3"/>
                <w:szCs w:val="13"/>
                <w:color w:val="auto"/>
              </w:rPr>
              <w:t>228,824</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98,294</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840" w:type="dxa"/>
            <w:vAlign w:val="bottom"/>
            <w:shd w:val="clear" w:color="auto" w:fill="CCEEFF"/>
          </w:tcPr>
          <w:p>
            <w:pPr>
              <w:ind w:left="540"/>
              <w:spacing w:after="0"/>
              <w:rPr>
                <w:sz w:val="20"/>
                <w:szCs w:val="20"/>
                <w:color w:val="auto"/>
              </w:rPr>
            </w:pPr>
            <w:r>
              <w:rPr>
                <w:rFonts w:ascii="Arial" w:cs="Arial" w:eastAsia="Arial" w:hAnsi="Arial"/>
                <w:sz w:val="13"/>
                <w:szCs w:val="13"/>
                <w:b w:val="1"/>
                <w:bCs w:val="1"/>
                <w:color w:val="auto"/>
              </w:rPr>
              <w:t>Total Expenses</w:t>
            </w: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56,323,049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39,093,420</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28,065,140</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Net investment income</w:t>
            </w: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57,069,341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3"/>
                <w:szCs w:val="13"/>
                <w:color w:val="auto"/>
              </w:rPr>
              <w:t>52,645,075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32,074,617</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Realized and unrealized gain (loss) on investments and Credit Facility:</w:t>
            </w:r>
          </w:p>
        </w:tc>
        <w:tc>
          <w:tcPr>
            <w:tcW w:w="3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20"/>
                <w:szCs w:val="20"/>
                <w:color w:val="auto"/>
              </w:rPr>
            </w:pPr>
            <w:r>
              <w:rPr>
                <w:rFonts w:ascii="Arial" w:cs="Arial" w:eastAsia="Arial" w:hAnsi="Arial"/>
                <w:sz w:val="13"/>
                <w:szCs w:val="13"/>
                <w:color w:val="auto"/>
              </w:rPr>
              <w:t>Net realized gain (loss) on non-controlled, non-affiliated investments</w:t>
            </w:r>
          </w:p>
        </w:tc>
        <w:tc>
          <w:tcPr>
            <w:tcW w:w="320" w:type="dxa"/>
            <w:vAlign w:val="bottom"/>
          </w:tcPr>
          <w:p>
            <w:pPr>
              <w:spacing w:after="0"/>
              <w:rPr>
                <w:sz w:val="12"/>
                <w:szCs w:val="1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(12,798,035)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3"/>
                <w:szCs w:val="13"/>
                <w:color w:val="auto"/>
              </w:rPr>
              <w:t>16,259,622</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3"/>
                <w:szCs w:val="13"/>
                <w:color w:val="auto"/>
              </w:rPr>
              <w:t>(15,417,097)</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Net change in unrealized appreciation (depreciation) on:</w:t>
            </w: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40" w:type="dxa"/>
            <w:vAlign w:val="bottom"/>
          </w:tcPr>
          <w:p>
            <w:pPr>
              <w:ind w:left="540"/>
              <w:spacing w:after="0"/>
              <w:rPr>
                <w:sz w:val="20"/>
                <w:szCs w:val="20"/>
                <w:color w:val="auto"/>
              </w:rPr>
            </w:pPr>
            <w:r>
              <w:rPr>
                <w:rFonts w:ascii="Arial" w:cs="Arial" w:eastAsia="Arial" w:hAnsi="Arial"/>
                <w:sz w:val="13"/>
                <w:szCs w:val="13"/>
                <w:color w:val="auto"/>
              </w:rPr>
              <w:t>Non-controlled, non-affiliated investments</w:t>
            </w:r>
          </w:p>
        </w:tc>
        <w:tc>
          <w:tcPr>
            <w:tcW w:w="320" w:type="dxa"/>
            <w:vAlign w:val="bottom"/>
          </w:tcPr>
          <w:p>
            <w:pPr>
              <w:spacing w:after="0"/>
              <w:rPr>
                <w:sz w:val="12"/>
                <w:szCs w:val="1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42,727,722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3"/>
                <w:szCs w:val="13"/>
                <w:color w:val="auto"/>
              </w:rPr>
              <w:t>(45,350,345)</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3"/>
                <w:szCs w:val="13"/>
                <w:color w:val="auto"/>
              </w:rPr>
              <w:t>36,275,341</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Non-controlled and controlled, affiliated investments</w:t>
            </w: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(22,085,553)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(1,439,878)</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(731,625)</w:t>
            </w:r>
          </w:p>
        </w:tc>
        <w:tc>
          <w:tcPr>
            <w:tcW w:w="0" w:type="dxa"/>
            <w:vAlign w:val="bottom"/>
          </w:tcPr>
          <w:p>
            <w:pPr>
              <w:spacing w:after="0"/>
              <w:rPr>
                <w:sz w:val="1"/>
                <w:szCs w:val="1"/>
                <w:color w:val="auto"/>
              </w:rPr>
            </w:pPr>
          </w:p>
        </w:tc>
      </w:tr>
      <w:tr>
        <w:trPr>
          <w:trHeight w:val="148"/>
        </w:trPr>
        <w:tc>
          <w:tcPr>
            <w:tcW w:w="5840" w:type="dxa"/>
            <w:vAlign w:val="bottom"/>
          </w:tcPr>
          <w:p>
            <w:pPr>
              <w:ind w:left="540"/>
              <w:spacing w:after="0"/>
              <w:rPr>
                <w:sz w:val="20"/>
                <w:szCs w:val="20"/>
                <w:color w:val="auto"/>
              </w:rPr>
            </w:pPr>
            <w:r>
              <w:rPr>
                <w:rFonts w:ascii="Arial" w:cs="Arial" w:eastAsia="Arial" w:hAnsi="Arial"/>
                <w:sz w:val="13"/>
                <w:szCs w:val="13"/>
                <w:color w:val="auto"/>
              </w:rPr>
              <w:t>Credit Facility appreciation (See Note 5 and 11)</w:t>
            </w:r>
          </w:p>
        </w:tc>
        <w:tc>
          <w:tcPr>
            <w:tcW w:w="320" w:type="dxa"/>
            <w:vAlign w:val="bottom"/>
          </w:tcPr>
          <w:p>
            <w:pPr>
              <w:spacing w:after="0"/>
              <w:rPr>
                <w:sz w:val="12"/>
                <w:szCs w:val="1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3"/>
                <w:szCs w:val="13"/>
                <w:color w:val="auto"/>
              </w:rPr>
              <w:t>(1,560,375)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3"/>
                <w:szCs w:val="13"/>
                <w:color w:val="auto"/>
              </w:rPr>
              <w:t>(11,851,000)</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3"/>
                <w:szCs w:val="13"/>
                <w:color w:val="auto"/>
              </w:rPr>
              <w:t>(35,665,745)</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840" w:type="dxa"/>
            <w:vAlign w:val="bottom"/>
            <w:shd w:val="clear" w:color="auto" w:fill="CCEEFF"/>
          </w:tcPr>
          <w:p>
            <w:pPr>
              <w:ind w:left="540"/>
              <w:spacing w:after="0"/>
              <w:rPr>
                <w:sz w:val="20"/>
                <w:szCs w:val="20"/>
                <w:color w:val="auto"/>
              </w:rPr>
            </w:pPr>
            <w:r>
              <w:rPr>
                <w:rFonts w:ascii="Arial" w:cs="Arial" w:eastAsia="Arial" w:hAnsi="Arial"/>
                <w:sz w:val="13"/>
                <w:szCs w:val="13"/>
                <w:b w:val="1"/>
                <w:bCs w:val="1"/>
                <w:color w:val="auto"/>
              </w:rPr>
              <w:t>Net change in unrealized appreciation (depreciation)</w:t>
            </w: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19,081,794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(58,641,223)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(122,029)</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3"/>
                <w:szCs w:val="13"/>
                <w:b w:val="1"/>
                <w:bCs w:val="1"/>
                <w:color w:val="auto"/>
              </w:rPr>
              <w:t>Net realized and unrealized gain (loss) from investments and Credit Facility</w:t>
            </w: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6,283,759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3"/>
                <w:szCs w:val="13"/>
                <w:color w:val="auto"/>
              </w:rPr>
              <w:t>(42,381,601)</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3"/>
                <w:szCs w:val="13"/>
                <w:color w:val="auto"/>
              </w:rPr>
              <w:t>(15,539,126)</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increase in net assets resulting from operations</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63,353,100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10,263,474</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16,535,491</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3"/>
                <w:szCs w:val="13"/>
                <w:color w:val="auto"/>
                <w:w w:val="99"/>
              </w:rPr>
              <w:t>Net increase in net assets resulting from operations per common share basic and diluted (See Note 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40" w:type="dxa"/>
            <w:vAlign w:val="bottom"/>
            <w:vMerge w:val="continue"/>
          </w:tcPr>
          <w:p>
            <w:pPr>
              <w:spacing w:after="0"/>
              <w:rPr>
                <w:sz w:val="12"/>
                <w:szCs w:val="12"/>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43" w:lineRule="exact"/>
              <w:rPr>
                <w:sz w:val="20"/>
                <w:szCs w:val="20"/>
                <w:color w:val="auto"/>
              </w:rPr>
            </w:pPr>
            <w:r>
              <w:rPr>
                <w:rFonts w:ascii="Arial" w:cs="Arial" w:eastAsia="Arial" w:hAnsi="Arial"/>
                <w:sz w:val="13"/>
                <w:szCs w:val="13"/>
                <w:color w:val="auto"/>
              </w:rPr>
              <w:t>1.20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700" w:type="dxa"/>
            <w:vAlign w:val="bottom"/>
            <w:gridSpan w:val="2"/>
          </w:tcPr>
          <w:p>
            <w:pPr>
              <w:jc w:val="right"/>
              <w:ind w:right="200"/>
              <w:spacing w:after="0" w:line="143" w:lineRule="exact"/>
              <w:rPr>
                <w:sz w:val="20"/>
                <w:szCs w:val="20"/>
                <w:color w:val="auto"/>
              </w:rPr>
            </w:pPr>
            <w:r>
              <w:rPr>
                <w:rFonts w:ascii="Arial" w:cs="Arial" w:eastAsia="Arial" w:hAnsi="Arial"/>
                <w:sz w:val="13"/>
                <w:szCs w:val="13"/>
                <w:color w:val="auto"/>
              </w:rPr>
              <w:t>0.24</w:t>
            </w:r>
          </w:p>
        </w:tc>
        <w:tc>
          <w:tcPr>
            <w:tcW w:w="500" w:type="dxa"/>
            <w:vAlign w:val="bottom"/>
            <w:gridSpan w:val="2"/>
          </w:tcPr>
          <w:p>
            <w:pPr>
              <w:jc w:val="right"/>
              <w:ind w:right="320"/>
              <w:spacing w:after="0" w:line="143" w:lineRule="exact"/>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100"/>
              <w:spacing w:after="0" w:line="143" w:lineRule="exact"/>
              <w:rPr>
                <w:sz w:val="20"/>
                <w:szCs w:val="20"/>
                <w:color w:val="auto"/>
              </w:rPr>
            </w:pPr>
            <w:r>
              <w:rPr>
                <w:rFonts w:ascii="Arial" w:cs="Arial" w:eastAsia="Arial" w:hAnsi="Arial"/>
                <w:sz w:val="13"/>
                <w:szCs w:val="13"/>
                <w:color w:val="auto"/>
              </w:rPr>
              <w:t>0.56</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Net investment income per common share</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1.25</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ectPr>
          <w:pgSz w:w="11900" w:h="16838" w:orient="portrait"/>
          <w:cols w:equalWidth="0" w:num="1">
            <w:col w:w="11240"/>
          </w:cols>
          <w:pgMar w:left="32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CHANGES IN NET ASSETS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3"/>
                <w:szCs w:val="13"/>
                <w:b w:val="1"/>
                <w:bCs w:val="1"/>
                <w:color w:val="auto"/>
                <w:w w:val="97"/>
              </w:rPr>
              <w:t>Years ended September 30,</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3"/>
                <w:szCs w:val="13"/>
                <w:b w:val="1"/>
                <w:bCs w:val="1"/>
                <w:color w:val="auto"/>
              </w:rPr>
              <w:t>2012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Arial" w:cs="Arial" w:eastAsia="Arial" w:hAnsi="Arial"/>
                <w:sz w:val="13"/>
                <w:szCs w:val="13"/>
                <w:b w:val="1"/>
                <w:bCs w:val="1"/>
                <w:color w:val="auto"/>
              </w:rPr>
              <w:t>2011</w:t>
            </w:r>
          </w:p>
        </w:tc>
        <w:tc>
          <w:tcPr>
            <w:tcW w:w="3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3"/>
              <w:spacing w:after="0" w:line="142" w:lineRule="exact"/>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0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increase in net assets from operations:</w:t>
            </w: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080"/>
              <w:spacing w:after="0"/>
              <w:rPr>
                <w:sz w:val="20"/>
                <w:szCs w:val="20"/>
                <w:color w:val="auto"/>
              </w:rPr>
            </w:pPr>
            <w:r>
              <w:rPr>
                <w:rFonts w:ascii="Arial" w:cs="Arial" w:eastAsia="Arial" w:hAnsi="Arial"/>
                <w:sz w:val="13"/>
                <w:szCs w:val="13"/>
                <w:color w:val="auto"/>
              </w:rPr>
              <w:t>Net investment income</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57,069,341</w:t>
            </w:r>
          </w:p>
        </w:tc>
        <w:tc>
          <w:tcPr>
            <w:tcW w:w="180" w:type="dxa"/>
            <w:vAlign w:val="bottom"/>
          </w:tcPr>
          <w:p>
            <w:pPr>
              <w:spacing w:after="0"/>
              <w:rPr>
                <w:sz w:val="12"/>
                <w:szCs w:val="12"/>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52,645,075</w:t>
            </w:r>
          </w:p>
        </w:tc>
        <w:tc>
          <w:tcPr>
            <w:tcW w:w="320" w:type="dxa"/>
            <w:vAlign w:val="bottom"/>
          </w:tcPr>
          <w:p>
            <w:pPr>
              <w:spacing w:after="0"/>
              <w:rPr>
                <w:sz w:val="12"/>
                <w:szCs w:val="12"/>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3"/>
                <w:szCs w:val="13"/>
                <w:color w:val="auto"/>
              </w:rPr>
              <w:t>32,074,617</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Net realized (loss) gain on investments</w:t>
            </w:r>
          </w:p>
        </w:tc>
        <w:tc>
          <w:tcPr>
            <w:tcW w:w="3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(12,798,035)</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16,259,622</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(15,417,097)</w:t>
            </w:r>
          </w:p>
        </w:tc>
        <w:tc>
          <w:tcPr>
            <w:tcW w:w="0" w:type="dxa"/>
            <w:vAlign w:val="bottom"/>
          </w:tcPr>
          <w:p>
            <w:pPr>
              <w:spacing w:after="0"/>
              <w:rPr>
                <w:sz w:val="1"/>
                <w:szCs w:val="1"/>
                <w:color w:val="auto"/>
              </w:rPr>
            </w:pPr>
          </w:p>
        </w:tc>
      </w:tr>
      <w:tr>
        <w:trPr>
          <w:trHeight w:val="148"/>
        </w:trPr>
        <w:tc>
          <w:tcPr>
            <w:tcW w:w="6060" w:type="dxa"/>
            <w:vAlign w:val="bottom"/>
          </w:tcPr>
          <w:p>
            <w:pPr>
              <w:ind w:left="1080"/>
              <w:spacing w:after="0"/>
              <w:rPr>
                <w:sz w:val="20"/>
                <w:szCs w:val="20"/>
                <w:color w:val="auto"/>
              </w:rPr>
            </w:pPr>
            <w:r>
              <w:rPr>
                <w:rFonts w:ascii="Arial" w:cs="Arial" w:eastAsia="Arial" w:hAnsi="Arial"/>
                <w:sz w:val="13"/>
                <w:szCs w:val="13"/>
                <w:color w:val="auto"/>
              </w:rPr>
              <w:t>Net change in unrealized appreciation (depreciation) on investments</w:t>
            </w: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20,642,169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3"/>
                <w:szCs w:val="13"/>
                <w:color w:val="auto"/>
              </w:rPr>
              <w:t>(46,790,223)</w:t>
            </w:r>
          </w:p>
        </w:tc>
        <w:tc>
          <w:tcPr>
            <w:tcW w:w="340" w:type="dxa"/>
            <w:vAlign w:val="bottom"/>
          </w:tcPr>
          <w:p>
            <w:pPr>
              <w:spacing w:after="0"/>
              <w:rPr>
                <w:sz w:val="12"/>
                <w:szCs w:val="1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color w:val="auto"/>
              </w:rPr>
              <w:t>35,543,716</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Net change in unrealized appreciation on Credit Facility</w:t>
            </w:r>
          </w:p>
        </w:tc>
        <w:tc>
          <w:tcPr>
            <w:tcW w:w="3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(1,560,375)</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(11,851,000)</w:t>
            </w:r>
          </w:p>
        </w:tc>
        <w:tc>
          <w:tcPr>
            <w:tcW w:w="3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(35,665,745)</w:t>
            </w:r>
          </w:p>
        </w:tc>
        <w:tc>
          <w:tcPr>
            <w:tcW w:w="0" w:type="dxa"/>
            <w:vAlign w:val="bottom"/>
          </w:tcPr>
          <w:p>
            <w:pPr>
              <w:spacing w:after="0"/>
              <w:rPr>
                <w:sz w:val="1"/>
                <w:szCs w:val="1"/>
                <w:color w:val="auto"/>
              </w:rPr>
            </w:pPr>
          </w:p>
        </w:tc>
      </w:tr>
      <w:tr>
        <w:trPr>
          <w:trHeight w:val="163"/>
        </w:trPr>
        <w:tc>
          <w:tcPr>
            <w:tcW w:w="6060" w:type="dxa"/>
            <w:vAlign w:val="bottom"/>
          </w:tcPr>
          <w:p>
            <w:pPr>
              <w:ind w:left="1080"/>
              <w:spacing w:after="0"/>
              <w:rPr>
                <w:sz w:val="20"/>
                <w:szCs w:val="20"/>
                <w:color w:val="auto"/>
              </w:rPr>
            </w:pPr>
            <w:r>
              <w:rPr>
                <w:rFonts w:ascii="Arial" w:cs="Arial" w:eastAsia="Arial" w:hAnsi="Arial"/>
                <w:sz w:val="13"/>
                <w:szCs w:val="13"/>
                <w:b w:val="1"/>
                <w:bCs w:val="1"/>
                <w:color w:val="auto"/>
              </w:rPr>
              <w:t>Net increase in net assets resulting from operations</w:t>
            </w: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63,353,100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10,263,474</w:t>
            </w:r>
          </w:p>
        </w:tc>
        <w:tc>
          <w:tcPr>
            <w:tcW w:w="32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16,535,491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Distributions to stockholders:</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060" w:type="dxa"/>
            <w:vAlign w:val="bottom"/>
          </w:tcPr>
          <w:p>
            <w:pPr>
              <w:ind w:left="1080"/>
              <w:spacing w:after="0"/>
              <w:rPr>
                <w:sz w:val="20"/>
                <w:szCs w:val="20"/>
                <w:color w:val="auto"/>
              </w:rPr>
            </w:pPr>
            <w:r>
              <w:rPr>
                <w:rFonts w:ascii="Arial" w:cs="Arial" w:eastAsia="Arial" w:hAnsi="Arial"/>
                <w:sz w:val="13"/>
                <w:szCs w:val="13"/>
                <w:color w:val="auto"/>
              </w:rPr>
              <w:t>Distributions</w:t>
            </w:r>
          </w:p>
        </w:tc>
        <w:tc>
          <w:tcPr>
            <w:tcW w:w="34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color w:val="auto"/>
              </w:rPr>
              <w:t>(60,137,978)</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3"/>
                <w:szCs w:val="13"/>
                <w:color w:val="auto"/>
              </w:rPr>
              <w:t>(46,347,691)</w:t>
            </w:r>
          </w:p>
        </w:tc>
        <w:tc>
          <w:tcPr>
            <w:tcW w:w="340" w:type="dxa"/>
            <w:vAlign w:val="bottom"/>
          </w:tcPr>
          <w:p>
            <w:pPr>
              <w:spacing w:after="0"/>
              <w:rPr>
                <w:sz w:val="13"/>
                <w:szCs w:val="1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3"/>
                <w:szCs w:val="13"/>
                <w:color w:val="auto"/>
              </w:rPr>
              <w:t>(32,264,036)</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Capital transactions:</w:t>
            </w:r>
          </w:p>
        </w:tc>
        <w:tc>
          <w:tcPr>
            <w:tcW w:w="3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080"/>
              <w:spacing w:after="0"/>
              <w:rPr>
                <w:sz w:val="20"/>
                <w:szCs w:val="20"/>
                <w:color w:val="auto"/>
              </w:rPr>
            </w:pPr>
            <w:r>
              <w:rPr>
                <w:rFonts w:ascii="Arial" w:cs="Arial" w:eastAsia="Arial" w:hAnsi="Arial"/>
                <w:sz w:val="13"/>
                <w:szCs w:val="13"/>
                <w:color w:val="auto"/>
              </w:rPr>
              <w:t>Public offerings</w:t>
            </w:r>
          </w:p>
        </w:tc>
        <w:tc>
          <w:tcPr>
            <w:tcW w:w="3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206,572,500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3"/>
                <w:szCs w:val="13"/>
                <w:color w:val="auto"/>
              </w:rPr>
              <w:t>114,080,000</w:t>
            </w:r>
          </w:p>
        </w:tc>
        <w:tc>
          <w:tcPr>
            <w:tcW w:w="340" w:type="dxa"/>
            <w:vAlign w:val="bottom"/>
          </w:tcPr>
          <w:p>
            <w:pPr>
              <w:spacing w:after="0"/>
              <w:rPr>
                <w:sz w:val="12"/>
                <w:szCs w:val="1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color w:val="auto"/>
              </w:rPr>
              <w:t>107,710,000</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Offerings costs</w:t>
            </w:r>
          </w:p>
        </w:tc>
        <w:tc>
          <w:tcPr>
            <w:tcW w:w="3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(7,717,300)</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(5,743,800)</w:t>
            </w:r>
          </w:p>
        </w:tc>
        <w:tc>
          <w:tcPr>
            <w:tcW w:w="3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(5,986,500)</w:t>
            </w:r>
          </w:p>
        </w:tc>
        <w:tc>
          <w:tcPr>
            <w:tcW w:w="0" w:type="dxa"/>
            <w:vAlign w:val="bottom"/>
          </w:tcPr>
          <w:p>
            <w:pPr>
              <w:spacing w:after="0"/>
              <w:rPr>
                <w:sz w:val="1"/>
                <w:szCs w:val="1"/>
                <w:color w:val="auto"/>
              </w:rPr>
            </w:pPr>
          </w:p>
        </w:tc>
      </w:tr>
      <w:tr>
        <w:trPr>
          <w:trHeight w:val="156"/>
        </w:trPr>
        <w:tc>
          <w:tcPr>
            <w:tcW w:w="6060" w:type="dxa"/>
            <w:vAlign w:val="bottom"/>
          </w:tcPr>
          <w:p>
            <w:pPr>
              <w:ind w:left="1080"/>
              <w:spacing w:after="0"/>
              <w:rPr>
                <w:sz w:val="20"/>
                <w:szCs w:val="20"/>
                <w:color w:val="auto"/>
              </w:rPr>
            </w:pPr>
            <w:r>
              <w:rPr>
                <w:rFonts w:ascii="Arial" w:cs="Arial" w:eastAsia="Arial" w:hAnsi="Arial"/>
                <w:sz w:val="13"/>
                <w:szCs w:val="13"/>
                <w:color w:val="auto"/>
              </w:rPr>
              <w:t>Reinvestment of dividends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4,989,529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3,829,990</w:t>
            </w:r>
          </w:p>
        </w:tc>
        <w:tc>
          <w:tcPr>
            <w:tcW w:w="3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increase in net assets</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207,059,851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76,081,973</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85,994,955</w:t>
            </w:r>
          </w:p>
        </w:tc>
        <w:tc>
          <w:tcPr>
            <w:tcW w:w="0" w:type="dxa"/>
            <w:vAlign w:val="bottom"/>
          </w:tcPr>
          <w:p>
            <w:pPr>
              <w:spacing w:after="0"/>
              <w:rPr>
                <w:sz w:val="1"/>
                <w:szCs w:val="1"/>
                <w:color w:val="auto"/>
              </w:rPr>
            </w:pPr>
          </w:p>
        </w:tc>
      </w:tr>
      <w:tr>
        <w:trPr>
          <w:trHeight w:val="256"/>
        </w:trPr>
        <w:tc>
          <w:tcPr>
            <w:tcW w:w="6060" w:type="dxa"/>
            <w:vAlign w:val="bottom"/>
          </w:tcPr>
          <w:p>
            <w:pPr>
              <w:spacing w:after="0"/>
              <w:rPr>
                <w:sz w:val="20"/>
                <w:szCs w:val="20"/>
                <w:color w:val="auto"/>
              </w:rPr>
            </w:pPr>
            <w:r>
              <w:rPr>
                <w:rFonts w:ascii="Arial" w:cs="Arial" w:eastAsia="Arial" w:hAnsi="Arial"/>
                <w:sz w:val="13"/>
                <w:szCs w:val="13"/>
                <w:b w:val="1"/>
                <w:bCs w:val="1"/>
                <w:color w:val="auto"/>
              </w:rPr>
              <w:t>Net Assets: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540"/>
              <w:spacing w:after="0"/>
              <w:rPr>
                <w:sz w:val="20"/>
                <w:szCs w:val="20"/>
                <w:color w:val="auto"/>
              </w:rPr>
            </w:pPr>
            <w:r>
              <w:rPr>
                <w:rFonts w:ascii="Arial" w:cs="Arial" w:eastAsia="Arial" w:hAnsi="Arial"/>
                <w:sz w:val="13"/>
                <w:szCs w:val="13"/>
                <w:color w:val="auto"/>
              </w:rPr>
              <w:t>Beginning of year</w:t>
            </w: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462,657,196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386,575,223</w:t>
            </w:r>
          </w:p>
        </w:tc>
        <w:tc>
          <w:tcPr>
            <w:tcW w:w="3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300,580,268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060" w:type="dxa"/>
            <w:vAlign w:val="bottom"/>
          </w:tcPr>
          <w:p>
            <w:pPr>
              <w:ind w:left="540"/>
              <w:spacing w:after="0"/>
              <w:rPr>
                <w:sz w:val="20"/>
                <w:szCs w:val="20"/>
                <w:color w:val="auto"/>
              </w:rPr>
            </w:pPr>
            <w:r>
              <w:rPr>
                <w:rFonts w:ascii="Arial" w:cs="Arial" w:eastAsia="Arial" w:hAnsi="Arial"/>
                <w:sz w:val="13"/>
                <w:szCs w:val="13"/>
                <w:color w:val="auto"/>
              </w:rPr>
              <w:t>End of year</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669,717,047</w:t>
            </w:r>
          </w:p>
        </w:tc>
        <w:tc>
          <w:tcPr>
            <w:tcW w:w="180" w:type="dxa"/>
            <w:vAlign w:val="bottom"/>
          </w:tcPr>
          <w:p>
            <w:pPr>
              <w:spacing w:after="0"/>
              <w:rPr>
                <w:sz w:val="13"/>
                <w:szCs w:val="13"/>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462,657,196</w:t>
            </w:r>
          </w:p>
        </w:tc>
        <w:tc>
          <w:tcPr>
            <w:tcW w:w="320" w:type="dxa"/>
            <w:vAlign w:val="bottom"/>
          </w:tcPr>
          <w:p>
            <w:pPr>
              <w:spacing w:after="0"/>
              <w:rPr>
                <w:sz w:val="13"/>
                <w:szCs w:val="13"/>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3"/>
                <w:szCs w:val="13"/>
                <w:color w:val="auto"/>
              </w:rPr>
              <w:t>386,575,223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060" w:type="dxa"/>
            <w:vAlign w:val="bottom"/>
            <w:shd w:val="clear" w:color="auto" w:fill="CCEEFF"/>
          </w:tcPr>
          <w:p>
            <w:pPr>
              <w:ind w:left="540"/>
              <w:spacing w:after="0"/>
              <w:rPr>
                <w:sz w:val="20"/>
                <w:szCs w:val="20"/>
                <w:color w:val="auto"/>
              </w:rPr>
            </w:pPr>
            <w:r>
              <w:rPr>
                <w:rFonts w:ascii="Arial" w:cs="Arial" w:eastAsia="Arial" w:hAnsi="Arial"/>
                <w:sz w:val="13"/>
                <w:szCs w:val="13"/>
                <w:color w:val="auto"/>
              </w:rPr>
              <w:t>Undistributed net investment income, at year end</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2,804,397</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8,326,854</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1,800,646</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3"/>
                <w:szCs w:val="13"/>
                <w:b w:val="1"/>
                <w:bCs w:val="1"/>
                <w:color w:val="auto"/>
              </w:rPr>
              <w:t>Capital Share Activity: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Shares issued from public offerings</w:t>
            </w: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19,350,000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9,200,000</w:t>
            </w:r>
          </w:p>
        </w:tc>
        <w:tc>
          <w:tcPr>
            <w:tcW w:w="3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10,790,000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060" w:type="dxa"/>
            <w:vAlign w:val="bottom"/>
          </w:tcPr>
          <w:p>
            <w:pPr>
              <w:ind w:left="1080"/>
              <w:spacing w:after="0"/>
              <w:rPr>
                <w:sz w:val="20"/>
                <w:szCs w:val="20"/>
                <w:color w:val="auto"/>
              </w:rPr>
            </w:pPr>
            <w:r>
              <w:rPr>
                <w:rFonts w:ascii="Arial" w:cs="Arial" w:eastAsia="Arial" w:hAnsi="Arial"/>
                <w:sz w:val="13"/>
                <w:szCs w:val="13"/>
                <w:color w:val="auto"/>
              </w:rPr>
              <w:t>Shares issued from reinvestment of dividends</w:t>
            </w: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474,722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3"/>
                <w:szCs w:val="13"/>
                <w:color w:val="auto"/>
              </w:rPr>
              <w:t>331,011</w:t>
            </w:r>
          </w:p>
        </w:tc>
        <w:tc>
          <w:tcPr>
            <w:tcW w:w="34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95"/>
              </w:rPr>
              <w:t>Years ended September 30,</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3"/>
                <w:szCs w:val="13"/>
                <w:b w:val="1"/>
                <w:bCs w:val="1"/>
                <w:color w:val="auto"/>
              </w:rPr>
              <w:t>2012</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3"/>
                <w:szCs w:val="13"/>
                <w:b w:val="1"/>
                <w:bCs w:val="1"/>
                <w:color w:val="auto"/>
              </w:rPr>
              <w:t>2011</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0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540"/>
              <w:spacing w:after="0"/>
              <w:rPr>
                <w:sz w:val="20"/>
                <w:szCs w:val="20"/>
                <w:color w:val="auto"/>
              </w:rPr>
            </w:pPr>
            <w:r>
              <w:rPr>
                <w:rFonts w:ascii="Arial" w:cs="Arial" w:eastAsia="Arial" w:hAnsi="Arial"/>
                <w:sz w:val="13"/>
                <w:szCs w:val="13"/>
                <w:color w:val="auto"/>
              </w:rPr>
              <w:t>Net increase in net assets resulting from operations</w:t>
            </w: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63,353,100</w:t>
            </w:r>
          </w:p>
        </w:tc>
        <w:tc>
          <w:tcPr>
            <w:tcW w:w="140" w:type="dxa"/>
            <w:vAlign w:val="bottom"/>
          </w:tcPr>
          <w:p>
            <w:pPr>
              <w:spacing w:after="0"/>
              <w:rPr>
                <w:sz w:val="12"/>
                <w:szCs w:val="12"/>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10,263,474</w:t>
            </w:r>
          </w:p>
        </w:tc>
        <w:tc>
          <w:tcPr>
            <w:tcW w:w="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16,535,491</w:t>
            </w:r>
          </w:p>
        </w:tc>
        <w:tc>
          <w:tcPr>
            <w:tcW w:w="0" w:type="dxa"/>
            <w:vAlign w:val="bottom"/>
          </w:tcPr>
          <w:p>
            <w:pPr>
              <w:spacing w:after="0"/>
              <w:rPr>
                <w:sz w:val="1"/>
                <w:szCs w:val="1"/>
                <w:color w:val="auto"/>
              </w:rPr>
            </w:pPr>
          </w:p>
        </w:tc>
      </w:tr>
      <w:tr>
        <w:trPr>
          <w:trHeight w:val="138"/>
        </w:trPr>
        <w:tc>
          <w:tcPr>
            <w:tcW w:w="6060" w:type="dxa"/>
            <w:vAlign w:val="bottom"/>
            <w:shd w:val="clear" w:color="auto" w:fill="CCEEFF"/>
          </w:tcPr>
          <w:p>
            <w:pPr>
              <w:ind w:left="540"/>
              <w:spacing w:after="0" w:line="138" w:lineRule="exact"/>
              <w:rPr>
                <w:sz w:val="20"/>
                <w:szCs w:val="20"/>
                <w:color w:val="auto"/>
              </w:rPr>
            </w:pPr>
            <w:r>
              <w:rPr>
                <w:rFonts w:ascii="Arial" w:cs="Arial" w:eastAsia="Arial" w:hAnsi="Arial"/>
                <w:sz w:val="13"/>
                <w:szCs w:val="13"/>
                <w:color w:val="auto"/>
                <w:w w:val="98"/>
              </w:rPr>
              <w:t>Adjustments to reconcile net increase in net assets resulting from operations to net cash used for</w:t>
            </w:r>
          </w:p>
        </w:tc>
        <w:tc>
          <w:tcPr>
            <w:tcW w:w="3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060" w:type="dxa"/>
            <w:vAlign w:val="bottom"/>
            <w:shd w:val="clear" w:color="auto" w:fill="CCEEFF"/>
          </w:tcPr>
          <w:p>
            <w:pPr>
              <w:ind w:left="820"/>
              <w:spacing w:after="0"/>
              <w:rPr>
                <w:sz w:val="20"/>
                <w:szCs w:val="20"/>
                <w:color w:val="auto"/>
              </w:rPr>
            </w:pPr>
            <w:r>
              <w:rPr>
                <w:rFonts w:ascii="Arial" w:cs="Arial" w:eastAsia="Arial" w:hAnsi="Arial"/>
                <w:sz w:val="13"/>
                <w:szCs w:val="13"/>
                <w:color w:val="auto"/>
              </w:rPr>
              <w:t>operating activities:</w:t>
            </w: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060" w:type="dxa"/>
            <w:vAlign w:val="bottom"/>
          </w:tcPr>
          <w:p>
            <w:pPr>
              <w:ind w:left="1080"/>
              <w:spacing w:after="0"/>
              <w:rPr>
                <w:sz w:val="20"/>
                <w:szCs w:val="20"/>
                <w:color w:val="auto"/>
              </w:rPr>
            </w:pPr>
            <w:r>
              <w:rPr>
                <w:rFonts w:ascii="Arial" w:cs="Arial" w:eastAsia="Arial" w:hAnsi="Arial"/>
                <w:sz w:val="13"/>
                <w:szCs w:val="13"/>
                <w:color w:val="auto"/>
              </w:rPr>
              <w:t>Net change in net unrealized (appreciation) depreciation on investments</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(20,642,169)</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46,790,223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(35,543,716)</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Net change in unrealized appreciation on Credit Facility</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1,560,375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11,851,000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35,665,745</w:t>
            </w:r>
          </w:p>
        </w:tc>
        <w:tc>
          <w:tcPr>
            <w:tcW w:w="0" w:type="dxa"/>
            <w:vAlign w:val="bottom"/>
          </w:tcPr>
          <w:p>
            <w:pPr>
              <w:spacing w:after="0"/>
              <w:rPr>
                <w:sz w:val="1"/>
                <w:szCs w:val="1"/>
                <w:color w:val="auto"/>
              </w:rPr>
            </w:pPr>
          </w:p>
        </w:tc>
      </w:tr>
      <w:tr>
        <w:trPr>
          <w:trHeight w:val="148"/>
        </w:trPr>
        <w:tc>
          <w:tcPr>
            <w:tcW w:w="6060" w:type="dxa"/>
            <w:vAlign w:val="bottom"/>
          </w:tcPr>
          <w:p>
            <w:pPr>
              <w:ind w:left="1080"/>
              <w:spacing w:after="0"/>
              <w:rPr>
                <w:sz w:val="20"/>
                <w:szCs w:val="20"/>
                <w:color w:val="auto"/>
              </w:rPr>
            </w:pPr>
            <w:r>
              <w:rPr>
                <w:rFonts w:ascii="Arial" w:cs="Arial" w:eastAsia="Arial" w:hAnsi="Arial"/>
                <w:sz w:val="13"/>
                <w:szCs w:val="13"/>
                <w:color w:val="auto"/>
              </w:rPr>
              <w:t>Net realized loss (gain) on investments</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12,798,035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(16,259,622)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15,417,097</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Net accretion of discount and amortization of premium</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(10,357,608)</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(6,745,834)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(4,203,920)</w:t>
            </w:r>
          </w:p>
        </w:tc>
        <w:tc>
          <w:tcPr>
            <w:tcW w:w="0" w:type="dxa"/>
            <w:vAlign w:val="bottom"/>
          </w:tcPr>
          <w:p>
            <w:pPr>
              <w:spacing w:after="0"/>
              <w:rPr>
                <w:sz w:val="1"/>
                <w:szCs w:val="1"/>
                <w:color w:val="auto"/>
              </w:rPr>
            </w:pPr>
          </w:p>
        </w:tc>
      </w:tr>
      <w:tr>
        <w:trPr>
          <w:trHeight w:val="148"/>
        </w:trPr>
        <w:tc>
          <w:tcPr>
            <w:tcW w:w="6060" w:type="dxa"/>
            <w:vAlign w:val="bottom"/>
          </w:tcPr>
          <w:p>
            <w:pPr>
              <w:ind w:left="1080"/>
              <w:spacing w:after="0"/>
              <w:rPr>
                <w:sz w:val="20"/>
                <w:szCs w:val="20"/>
                <w:color w:val="auto"/>
              </w:rPr>
            </w:pPr>
            <w:r>
              <w:rPr>
                <w:rFonts w:ascii="Arial" w:cs="Arial" w:eastAsia="Arial" w:hAnsi="Arial"/>
                <w:sz w:val="13"/>
                <w:szCs w:val="13"/>
                <w:color w:val="auto"/>
              </w:rPr>
              <w:t>Purchase of investments</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(328,275,329)</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(479,733,669)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(309,455,078)</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Payment-in-kind interest</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(9,065,502)</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(10,883,750)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(6,416,075)</w:t>
            </w:r>
          </w:p>
        </w:tc>
        <w:tc>
          <w:tcPr>
            <w:tcW w:w="0" w:type="dxa"/>
            <w:vAlign w:val="bottom"/>
          </w:tcPr>
          <w:p>
            <w:pPr>
              <w:spacing w:after="0"/>
              <w:rPr>
                <w:sz w:val="1"/>
                <w:szCs w:val="1"/>
                <w:color w:val="auto"/>
              </w:rPr>
            </w:pPr>
          </w:p>
        </w:tc>
      </w:tr>
      <w:tr>
        <w:trPr>
          <w:trHeight w:val="148"/>
        </w:trPr>
        <w:tc>
          <w:tcPr>
            <w:tcW w:w="6060" w:type="dxa"/>
            <w:vAlign w:val="bottom"/>
          </w:tcPr>
          <w:p>
            <w:pPr>
              <w:ind w:left="1080"/>
              <w:spacing w:after="0"/>
              <w:rPr>
                <w:sz w:val="20"/>
                <w:szCs w:val="20"/>
                <w:color w:val="auto"/>
              </w:rPr>
            </w:pPr>
            <w:r>
              <w:rPr>
                <w:rFonts w:ascii="Arial" w:cs="Arial" w:eastAsia="Arial" w:hAnsi="Arial"/>
                <w:sz w:val="13"/>
                <w:szCs w:val="13"/>
                <w:color w:val="auto"/>
              </w:rPr>
              <w:t>Proceeds from disposition of investments</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201,656,926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304,008,543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145,237,359</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(Increase) Decrease in interest receivable</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(4,050,626)</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1,935,860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(7,275,040)</w:t>
            </w:r>
          </w:p>
        </w:tc>
        <w:tc>
          <w:tcPr>
            <w:tcW w:w="0" w:type="dxa"/>
            <w:vAlign w:val="bottom"/>
          </w:tcPr>
          <w:p>
            <w:pPr>
              <w:spacing w:after="0"/>
              <w:rPr>
                <w:sz w:val="1"/>
                <w:szCs w:val="1"/>
                <w:color w:val="auto"/>
              </w:rPr>
            </w:pPr>
          </w:p>
        </w:tc>
      </w:tr>
      <w:tr>
        <w:trPr>
          <w:trHeight w:val="148"/>
        </w:trPr>
        <w:tc>
          <w:tcPr>
            <w:tcW w:w="6060" w:type="dxa"/>
            <w:vAlign w:val="bottom"/>
          </w:tcPr>
          <w:p>
            <w:pPr>
              <w:ind w:left="1080"/>
              <w:spacing w:after="0"/>
              <w:rPr>
                <w:sz w:val="20"/>
                <w:szCs w:val="20"/>
                <w:color w:val="auto"/>
              </w:rPr>
            </w:pPr>
            <w:r>
              <w:rPr>
                <w:rFonts w:ascii="Arial" w:cs="Arial" w:eastAsia="Arial" w:hAnsi="Arial"/>
                <w:sz w:val="13"/>
                <w:szCs w:val="13"/>
                <w:color w:val="auto"/>
              </w:rPr>
              <w:t>Decrease (Increase) in receivables for investments sold</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12,240,763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17,135,807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(27,528,767)</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(Decrease) Increase in payables for investments purchased</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(18,572,499)</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(34,212,501)</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33,295,475</w:t>
            </w:r>
          </w:p>
        </w:tc>
        <w:tc>
          <w:tcPr>
            <w:tcW w:w="0" w:type="dxa"/>
            <w:vAlign w:val="bottom"/>
          </w:tcPr>
          <w:p>
            <w:pPr>
              <w:spacing w:after="0"/>
              <w:rPr>
                <w:sz w:val="1"/>
                <w:szCs w:val="1"/>
                <w:color w:val="auto"/>
              </w:rPr>
            </w:pPr>
          </w:p>
        </w:tc>
      </w:tr>
      <w:tr>
        <w:trPr>
          <w:trHeight w:val="149"/>
        </w:trPr>
        <w:tc>
          <w:tcPr>
            <w:tcW w:w="6060" w:type="dxa"/>
            <w:vAlign w:val="bottom"/>
          </w:tcPr>
          <w:p>
            <w:pPr>
              <w:ind w:left="1080"/>
              <w:spacing w:after="0"/>
              <w:rPr>
                <w:sz w:val="20"/>
                <w:szCs w:val="20"/>
                <w:color w:val="auto"/>
              </w:rPr>
            </w:pPr>
            <w:r>
              <w:rPr>
                <w:rFonts w:ascii="Arial" w:cs="Arial" w:eastAsia="Arial" w:hAnsi="Arial"/>
                <w:sz w:val="13"/>
                <w:szCs w:val="13"/>
                <w:color w:val="auto"/>
              </w:rPr>
              <w:t>(Decrease) Increase in unfunded investments</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(19,242,446)</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14,928,717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15,872,049</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Increase in interest payable on Credit Facility and SBA debentures</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167,363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472,227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142,347</w:t>
            </w:r>
          </w:p>
        </w:tc>
        <w:tc>
          <w:tcPr>
            <w:tcW w:w="0" w:type="dxa"/>
            <w:vAlign w:val="bottom"/>
          </w:tcPr>
          <w:p>
            <w:pPr>
              <w:spacing w:after="0"/>
              <w:rPr>
                <w:sz w:val="1"/>
                <w:szCs w:val="1"/>
                <w:color w:val="auto"/>
              </w:rPr>
            </w:pPr>
          </w:p>
        </w:tc>
      </w:tr>
      <w:tr>
        <w:trPr>
          <w:trHeight w:val="148"/>
        </w:trPr>
        <w:tc>
          <w:tcPr>
            <w:tcW w:w="6060" w:type="dxa"/>
            <w:vAlign w:val="bottom"/>
          </w:tcPr>
          <w:p>
            <w:pPr>
              <w:ind w:left="1080"/>
              <w:spacing w:after="0"/>
              <w:rPr>
                <w:sz w:val="20"/>
                <w:szCs w:val="20"/>
                <w:color w:val="auto"/>
              </w:rPr>
            </w:pPr>
            <w:r>
              <w:rPr>
                <w:rFonts w:ascii="Arial" w:cs="Arial" w:eastAsia="Arial" w:hAnsi="Arial"/>
                <w:sz w:val="13"/>
                <w:szCs w:val="13"/>
                <w:color w:val="auto"/>
              </w:rPr>
              <w:t>Decrease (Increase) in prepaid expenses and other assets</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466,675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749,017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(90,927)</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Increase in management fees payable</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783,859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721,238</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1,066,706</w:t>
            </w:r>
          </w:p>
        </w:tc>
        <w:tc>
          <w:tcPr>
            <w:tcW w:w="0" w:type="dxa"/>
            <w:vAlign w:val="bottom"/>
          </w:tcPr>
          <w:p>
            <w:pPr>
              <w:spacing w:after="0"/>
              <w:rPr>
                <w:sz w:val="1"/>
                <w:szCs w:val="1"/>
                <w:color w:val="auto"/>
              </w:rPr>
            </w:pPr>
          </w:p>
        </w:tc>
      </w:tr>
      <w:tr>
        <w:trPr>
          <w:trHeight w:val="148"/>
        </w:trPr>
        <w:tc>
          <w:tcPr>
            <w:tcW w:w="6060" w:type="dxa"/>
            <w:vAlign w:val="bottom"/>
          </w:tcPr>
          <w:p>
            <w:pPr>
              <w:ind w:left="1080"/>
              <w:spacing w:after="0"/>
              <w:rPr>
                <w:sz w:val="20"/>
                <w:szCs w:val="20"/>
                <w:color w:val="auto"/>
              </w:rPr>
            </w:pPr>
            <w:r>
              <w:rPr>
                <w:rFonts w:ascii="Arial" w:cs="Arial" w:eastAsia="Arial" w:hAnsi="Arial"/>
                <w:sz w:val="13"/>
                <w:szCs w:val="13"/>
                <w:color w:val="auto"/>
              </w:rPr>
              <w:t>Increase in performance-based incentive fees payable</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433,160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1,534,818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730,847</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Increase (Decrease) in accrued other expenses</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1,406,285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(368,064)</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(500,423)</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1620"/>
              <w:spacing w:after="0"/>
              <w:rPr>
                <w:sz w:val="20"/>
                <w:szCs w:val="20"/>
                <w:color w:val="auto"/>
              </w:rPr>
            </w:pPr>
            <w:r>
              <w:rPr>
                <w:rFonts w:ascii="Arial" w:cs="Arial" w:eastAsia="Arial" w:hAnsi="Arial"/>
                <w:sz w:val="13"/>
                <w:szCs w:val="13"/>
                <w:color w:val="auto"/>
              </w:rPr>
              <w:t>Net cash used for operating activities</w:t>
            </w: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(115,339,638)</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(137,812,516)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(127,050,830)</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ind w:left="1080"/>
              <w:spacing w:after="0"/>
              <w:rPr>
                <w:sz w:val="20"/>
                <w:szCs w:val="20"/>
                <w:color w:val="auto"/>
              </w:rPr>
            </w:pPr>
            <w:r>
              <w:rPr>
                <w:rFonts w:ascii="Arial" w:cs="Arial" w:eastAsia="Arial" w:hAnsi="Arial"/>
                <w:sz w:val="13"/>
                <w:szCs w:val="13"/>
                <w:color w:val="auto"/>
              </w:rPr>
              <w:t>Public offerings</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206,572,500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114,080,000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107,710,000</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Offerings costs</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(7,717,300)</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(5,743,800)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(5,986,500)</w:t>
            </w:r>
          </w:p>
        </w:tc>
        <w:tc>
          <w:tcPr>
            <w:tcW w:w="0" w:type="dxa"/>
            <w:vAlign w:val="bottom"/>
          </w:tcPr>
          <w:p>
            <w:pPr>
              <w:spacing w:after="0"/>
              <w:rPr>
                <w:sz w:val="1"/>
                <w:szCs w:val="1"/>
                <w:color w:val="auto"/>
              </w:rPr>
            </w:pPr>
          </w:p>
        </w:tc>
      </w:tr>
      <w:tr>
        <w:trPr>
          <w:trHeight w:val="148"/>
        </w:trPr>
        <w:tc>
          <w:tcPr>
            <w:tcW w:w="6060" w:type="dxa"/>
            <w:vAlign w:val="bottom"/>
          </w:tcPr>
          <w:p>
            <w:pPr>
              <w:ind w:left="1080"/>
              <w:spacing w:after="0"/>
              <w:rPr>
                <w:sz w:val="20"/>
                <w:szCs w:val="20"/>
                <w:color w:val="auto"/>
              </w:rPr>
            </w:pPr>
            <w:r>
              <w:rPr>
                <w:rFonts w:ascii="Arial" w:cs="Arial" w:eastAsia="Arial" w:hAnsi="Arial"/>
                <w:sz w:val="13"/>
                <w:szCs w:val="13"/>
                <w:color w:val="auto"/>
              </w:rPr>
              <w:t>Distributions paid</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(51,660,628)</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(39,582,741)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(27,919,260)</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Borrowings under SBA debentures (See Note 11)</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135,500,000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14,500,000</w:t>
            </w:r>
          </w:p>
        </w:tc>
        <w:tc>
          <w:tcPr>
            <w:tcW w:w="0" w:type="dxa"/>
            <w:vAlign w:val="bottom"/>
          </w:tcPr>
          <w:p>
            <w:pPr>
              <w:spacing w:after="0"/>
              <w:rPr>
                <w:sz w:val="1"/>
                <w:szCs w:val="1"/>
                <w:color w:val="auto"/>
              </w:rPr>
            </w:pPr>
          </w:p>
        </w:tc>
      </w:tr>
      <w:tr>
        <w:trPr>
          <w:trHeight w:val="148"/>
        </w:trPr>
        <w:tc>
          <w:tcPr>
            <w:tcW w:w="6060" w:type="dxa"/>
            <w:vAlign w:val="bottom"/>
          </w:tcPr>
          <w:p>
            <w:pPr>
              <w:ind w:left="1080"/>
              <w:spacing w:after="0"/>
              <w:rPr>
                <w:sz w:val="20"/>
                <w:szCs w:val="20"/>
                <w:color w:val="auto"/>
              </w:rPr>
            </w:pPr>
            <w:r>
              <w:rPr>
                <w:rFonts w:ascii="Arial" w:cs="Arial" w:eastAsia="Arial" w:hAnsi="Arial"/>
                <w:sz w:val="13"/>
                <w:szCs w:val="13"/>
                <w:color w:val="auto"/>
              </w:rPr>
              <w:t>Capitalized borrowing costs</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(4,450,875)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(686,625)</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Borrowings under Credit Facility (See Note 11)</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927,900,000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701,900,000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256,000,000</w:t>
            </w:r>
          </w:p>
        </w:tc>
        <w:tc>
          <w:tcPr>
            <w:tcW w:w="0" w:type="dxa"/>
            <w:vAlign w:val="bottom"/>
          </w:tcPr>
          <w:p>
            <w:pPr>
              <w:spacing w:after="0"/>
              <w:rPr>
                <w:sz w:val="1"/>
                <w:szCs w:val="1"/>
                <w:color w:val="auto"/>
              </w:rPr>
            </w:pPr>
          </w:p>
        </w:tc>
      </w:tr>
      <w:tr>
        <w:trPr>
          <w:trHeight w:val="156"/>
        </w:trPr>
        <w:tc>
          <w:tcPr>
            <w:tcW w:w="6060" w:type="dxa"/>
            <w:vAlign w:val="bottom"/>
          </w:tcPr>
          <w:p>
            <w:pPr>
              <w:ind w:left="1080"/>
              <w:spacing w:after="0"/>
              <w:rPr>
                <w:sz w:val="20"/>
                <w:szCs w:val="20"/>
                <w:color w:val="auto"/>
              </w:rPr>
            </w:pPr>
            <w:r>
              <w:rPr>
                <w:rFonts w:ascii="Arial" w:cs="Arial" w:eastAsia="Arial" w:hAnsi="Arial"/>
                <w:sz w:val="13"/>
                <w:szCs w:val="13"/>
                <w:color w:val="auto"/>
              </w:rPr>
              <w:t>Repayments under Credit Facility (See Note 11)</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(1,023,800,000)</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(694,100,000)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(248,000,000)</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ind w:left="1620"/>
              <w:spacing w:after="0"/>
              <w:rPr>
                <w:sz w:val="20"/>
                <w:szCs w:val="20"/>
                <w:color w:val="auto"/>
              </w:rPr>
            </w:pPr>
            <w:r>
              <w:rPr>
                <w:rFonts w:ascii="Arial" w:cs="Arial" w:eastAsia="Arial" w:hAnsi="Arial"/>
                <w:sz w:val="13"/>
                <w:szCs w:val="13"/>
                <w:color w:val="auto"/>
              </w:rPr>
              <w:t>Net cash provided by financing activities</w:t>
            </w:r>
          </w:p>
        </w:tc>
        <w:tc>
          <w:tcPr>
            <w:tcW w:w="340" w:type="dxa"/>
            <w:vAlign w:val="bottom"/>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51,294,572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207,602,584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95,617,615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060" w:type="dxa"/>
            <w:vAlign w:val="bottom"/>
          </w:tcPr>
          <w:p>
            <w:pPr>
              <w:spacing w:after="0"/>
              <w:rPr>
                <w:sz w:val="20"/>
                <w:szCs w:val="20"/>
                <w:color w:val="auto"/>
              </w:rPr>
            </w:pPr>
            <w:r>
              <w:rPr>
                <w:rFonts w:ascii="Arial" w:cs="Arial" w:eastAsia="Arial" w:hAnsi="Arial"/>
                <w:sz w:val="13"/>
                <w:szCs w:val="13"/>
                <w:b w:val="1"/>
                <w:bCs w:val="1"/>
                <w:color w:val="auto"/>
              </w:rPr>
              <w:t>Net (decrease) increase in cash equivalents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color w:val="auto"/>
              </w:rPr>
              <w:t>(64,045,066)</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69,790,068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3"/>
                <w:szCs w:val="13"/>
                <w:color w:val="auto"/>
              </w:rPr>
              <w:t>(31,433,215)</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equivalents, beginning of year</w:t>
            </w:r>
          </w:p>
        </w:tc>
        <w:tc>
          <w:tcPr>
            <w:tcW w:w="34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71,604,519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1,814,451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33,247,666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060" w:type="dxa"/>
            <w:vAlign w:val="bottom"/>
          </w:tcPr>
          <w:p>
            <w:pPr>
              <w:spacing w:after="0"/>
              <w:rPr>
                <w:sz w:val="20"/>
                <w:szCs w:val="20"/>
                <w:color w:val="auto"/>
              </w:rPr>
            </w:pPr>
            <w:r>
              <w:rPr>
                <w:rFonts w:ascii="Arial" w:cs="Arial" w:eastAsia="Arial" w:hAnsi="Arial"/>
                <w:sz w:val="13"/>
                <w:szCs w:val="13"/>
                <w:b w:val="1"/>
                <w:bCs w:val="1"/>
                <w:color w:val="auto"/>
              </w:rPr>
              <w:t>Cash equivalents, end of year</w:t>
            </w: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7,559,453</w:t>
            </w:r>
          </w:p>
        </w:tc>
        <w:tc>
          <w:tcPr>
            <w:tcW w:w="140" w:type="dxa"/>
            <w:vAlign w:val="bottom"/>
          </w:tcPr>
          <w:p>
            <w:pPr>
              <w:spacing w:after="0"/>
              <w:rPr>
                <w:sz w:val="13"/>
                <w:szCs w:val="1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71,604,519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1,814,451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6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Supplemental disclosure of cash flow information and non-cash activity (See Note 5):</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060" w:type="dxa"/>
            <w:vAlign w:val="bottom"/>
          </w:tcPr>
          <w:p>
            <w:pPr>
              <w:spacing w:after="0"/>
              <w:rPr>
                <w:sz w:val="20"/>
                <w:szCs w:val="20"/>
                <w:color w:val="auto"/>
              </w:rPr>
            </w:pPr>
            <w:r>
              <w:rPr>
                <w:rFonts w:ascii="Arial" w:cs="Arial" w:eastAsia="Arial" w:hAnsi="Arial"/>
                <w:sz w:val="13"/>
                <w:szCs w:val="13"/>
                <w:color w:val="auto"/>
              </w:rPr>
              <w:t>Interest paid</w:t>
            </w: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10,643,840</w:t>
            </w:r>
          </w:p>
        </w:tc>
        <w:tc>
          <w:tcPr>
            <w:tcW w:w="140" w:type="dxa"/>
            <w:vAlign w:val="bottom"/>
          </w:tcPr>
          <w:p>
            <w:pPr>
              <w:spacing w:after="0"/>
              <w:rPr>
                <w:sz w:val="13"/>
                <w:szCs w:val="13"/>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4,149,149</w:t>
            </w:r>
          </w:p>
        </w:tc>
        <w:tc>
          <w:tcPr>
            <w:tcW w:w="4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3"/>
                <w:szCs w:val="13"/>
                <w:color w:val="auto"/>
              </w:rPr>
              <w:t>3,161,048</w:t>
            </w:r>
          </w:p>
        </w:tc>
        <w:tc>
          <w:tcPr>
            <w:tcW w:w="0" w:type="dxa"/>
            <w:vAlign w:val="bottom"/>
          </w:tcPr>
          <w:p>
            <w:pPr>
              <w:spacing w:after="0"/>
              <w:rPr>
                <w:sz w:val="1"/>
                <w:szCs w:val="1"/>
                <w:color w:val="auto"/>
              </w:rPr>
            </w:pPr>
          </w:p>
        </w:tc>
      </w:tr>
      <w:tr>
        <w:trPr>
          <w:trHeight w:val="148"/>
        </w:trPr>
        <w:tc>
          <w:tcPr>
            <w:tcW w:w="6060" w:type="dxa"/>
            <w:vAlign w:val="bottom"/>
            <w:shd w:val="clear" w:color="auto" w:fill="CCEEFF"/>
          </w:tcPr>
          <w:p>
            <w:pPr>
              <w:spacing w:after="0"/>
              <w:rPr>
                <w:sz w:val="20"/>
                <w:szCs w:val="20"/>
                <w:color w:val="auto"/>
              </w:rPr>
            </w:pPr>
            <w:r>
              <w:rPr>
                <w:rFonts w:ascii="Arial" w:cs="Arial" w:eastAsia="Arial" w:hAnsi="Arial"/>
                <w:sz w:val="13"/>
                <w:szCs w:val="13"/>
                <w:color w:val="auto"/>
              </w:rPr>
              <w:t>Excise taxes paid</w:t>
            </w:r>
          </w:p>
        </w:tc>
        <w:tc>
          <w:tcPr>
            <w:tcW w:w="340" w:type="dxa"/>
            <w:vAlign w:val="bottom"/>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258,550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123,824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98,294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060" w:type="dxa"/>
            <w:vAlign w:val="bottom"/>
          </w:tcPr>
          <w:p>
            <w:pPr>
              <w:spacing w:after="0"/>
              <w:rPr>
                <w:sz w:val="20"/>
                <w:szCs w:val="20"/>
                <w:color w:val="auto"/>
              </w:rPr>
            </w:pPr>
            <w:r>
              <w:rPr>
                <w:rFonts w:ascii="Arial" w:cs="Arial" w:eastAsia="Arial" w:hAnsi="Arial"/>
                <w:sz w:val="13"/>
                <w:szCs w:val="13"/>
                <w:color w:val="auto"/>
              </w:rPr>
              <w:t>Dividend reinvested</w:t>
            </w:r>
          </w:p>
        </w:tc>
        <w:tc>
          <w:tcPr>
            <w:tcW w:w="3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4,989,529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3,829,990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w:t>
      </w:r>
    </w:p>
    <w:p>
      <w:pPr>
        <w:jc w:val="center"/>
        <w:spacing w:after="0"/>
        <w:rPr>
          <w:sz w:val="20"/>
          <w:szCs w:val="20"/>
          <w:color w:val="auto"/>
        </w:rPr>
      </w:pPr>
      <w:r>
        <w:rPr>
          <w:rFonts w:ascii="Arial" w:cs="Arial" w:eastAsia="Arial" w:hAnsi="Arial"/>
          <w:sz w:val="13"/>
          <w:szCs w:val="13"/>
          <w:b w:val="1"/>
          <w:bCs w:val="1"/>
          <w:color w:val="auto"/>
        </w:rPr>
        <w:t>SEPTEMBER 30, 2012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5"/>
              </w:rPr>
              <w:t>Spread</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60" w:type="dxa"/>
            <w:vAlign w:val="bottom"/>
            <w:gridSpan w:val="2"/>
          </w:tcPr>
          <w:p>
            <w:pPr>
              <w:jc w:val="right"/>
              <w:ind w:right="480"/>
              <w:spacing w:after="0" w:line="134" w:lineRule="exact"/>
              <w:rPr>
                <w:sz w:val="20"/>
                <w:szCs w:val="20"/>
                <w:color w:val="auto"/>
              </w:rPr>
            </w:pPr>
            <w:r>
              <w:rPr>
                <w:rFonts w:ascii="Arial" w:cs="Arial" w:eastAsia="Arial" w:hAnsi="Arial"/>
                <w:sz w:val="13"/>
                <w:szCs w:val="13"/>
                <w:b w:val="1"/>
                <w:bCs w:val="1"/>
                <w:color w:val="auto"/>
              </w:rPr>
              <w:t>Current</w:t>
            </w:r>
          </w:p>
        </w:tc>
        <w:tc>
          <w:tcPr>
            <w:tcW w:w="6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Above</w:t>
            </w:r>
          </w:p>
        </w:tc>
        <w:tc>
          <w:tcPr>
            <w:tcW w:w="260" w:type="dxa"/>
            <w:vAlign w:val="bottom"/>
          </w:tcPr>
          <w:p>
            <w:pPr>
              <w:spacing w:after="0"/>
              <w:rPr>
                <w:sz w:val="11"/>
                <w:szCs w:val="11"/>
                <w:color w:val="auto"/>
              </w:rPr>
            </w:pPr>
          </w:p>
        </w:tc>
        <w:tc>
          <w:tcPr>
            <w:tcW w:w="74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rPr>
              <w:t>Par/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7"/>
              </w:rPr>
              <w:t xml:space="preserve">Fair Value </w:t>
            </w:r>
            <w:r>
              <w:rPr>
                <w:rFonts w:ascii="Arial" w:cs="Arial" w:eastAsia="Arial" w:hAnsi="Arial"/>
                <w:sz w:val="22"/>
                <w:szCs w:val="22"/>
                <w:b w:val="1"/>
                <w:bCs w:val="1"/>
                <w:color w:val="auto"/>
                <w:w w:val="97"/>
                <w:vertAlign w:val="superscript"/>
              </w:rPr>
              <w:t>(3)</w:t>
            </w:r>
          </w:p>
        </w:tc>
        <w:tc>
          <w:tcPr>
            <w:tcW w:w="0" w:type="dxa"/>
            <w:vAlign w:val="bottom"/>
          </w:tcPr>
          <w:p>
            <w:pPr>
              <w:spacing w:after="0"/>
              <w:rPr>
                <w:sz w:val="1"/>
                <w:szCs w:val="1"/>
                <w:color w:val="auto"/>
              </w:rPr>
            </w:pPr>
          </w:p>
        </w:tc>
      </w:tr>
      <w:tr>
        <w:trPr>
          <w:trHeight w:val="176"/>
        </w:trPr>
        <w:tc>
          <w:tcPr>
            <w:tcW w:w="326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360" w:type="dxa"/>
            <w:vAlign w:val="bottom"/>
          </w:tcPr>
          <w:p>
            <w:pPr>
              <w:jc w:val="right"/>
              <w:ind w:right="93"/>
              <w:spacing w:after="0"/>
              <w:rPr>
                <w:sz w:val="20"/>
                <w:szCs w:val="20"/>
                <w:color w:val="auto"/>
              </w:rPr>
            </w:pPr>
            <w:r>
              <w:rPr>
                <w:rFonts w:ascii="Arial" w:cs="Arial" w:eastAsia="Arial" w:hAnsi="Arial"/>
                <w:sz w:val="13"/>
                <w:szCs w:val="13"/>
                <w:b w:val="1"/>
                <w:bCs w:val="1"/>
                <w:color w:val="auto"/>
              </w:rPr>
              <w:t>Maturity</w:t>
            </w:r>
          </w:p>
        </w:tc>
        <w:tc>
          <w:tcPr>
            <w:tcW w:w="2100" w:type="dxa"/>
            <w:vAlign w:val="bottom"/>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0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Coupon</w:t>
            </w:r>
          </w:p>
        </w:tc>
        <w:tc>
          <w:tcPr>
            <w:tcW w:w="64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(4)</w:t>
            </w:r>
          </w:p>
        </w:tc>
        <w:tc>
          <w:tcPr>
            <w:tcW w:w="26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Shares</w:t>
            </w:r>
          </w:p>
        </w:tc>
        <w:tc>
          <w:tcPr>
            <w:tcW w:w="8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Cost</w:t>
            </w: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2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Investments in Non-Controlled, Non-Affiliated Portfolio Companies—130.3% </w:t>
            </w:r>
            <w:r>
              <w:rPr>
                <w:rFonts w:ascii="Arial" w:cs="Arial" w:eastAsia="Arial" w:hAnsi="Arial"/>
                <w:sz w:val="16"/>
                <w:szCs w:val="16"/>
                <w:b w:val="1"/>
                <w:bCs w:val="1"/>
                <w:color w:val="auto"/>
                <w:vertAlign w:val="superscript"/>
              </w:rPr>
              <w:t>(1),(2)</w:t>
            </w:r>
          </w:p>
        </w:tc>
        <w:tc>
          <w:tcPr>
            <w:tcW w:w="6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260" w:type="dxa"/>
            <w:vAlign w:val="bottom"/>
          </w:tcPr>
          <w:p>
            <w:pPr>
              <w:spacing w:after="0"/>
              <w:rPr>
                <w:sz w:val="20"/>
                <w:szCs w:val="20"/>
                <w:color w:val="auto"/>
              </w:rPr>
            </w:pPr>
            <w:r>
              <w:rPr>
                <w:rFonts w:ascii="Arial" w:cs="Arial" w:eastAsia="Arial" w:hAnsi="Arial"/>
                <w:sz w:val="13"/>
                <w:szCs w:val="13"/>
                <w:b w:val="1"/>
                <w:bCs w:val="1"/>
                <w:color w:val="auto"/>
              </w:rPr>
              <w:t>First Lien Secured Debt—41.7%</w:t>
            </w:r>
          </w:p>
        </w:tc>
        <w:tc>
          <w:tcPr>
            <w:tcW w:w="13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gridSpan w:val="2"/>
            <w:vMerge w:val="restart"/>
          </w:tcPr>
          <w:p>
            <w:pPr>
              <w:jc w:val="right"/>
              <w:ind w:right="84"/>
              <w:spacing w:after="0"/>
              <w:rPr>
                <w:sz w:val="20"/>
                <w:szCs w:val="20"/>
                <w:color w:val="auto"/>
              </w:rPr>
            </w:pPr>
            <w:r>
              <w:rPr>
                <w:rFonts w:ascii="Arial" w:cs="Arial" w:eastAsia="Arial" w:hAnsi="Arial"/>
                <w:sz w:val="13"/>
                <w:szCs w:val="13"/>
                <w:color w:val="auto"/>
              </w:rPr>
              <w:t>L+975</w:t>
            </w:r>
            <w:r>
              <w:rPr>
                <w:rFonts w:ascii="Arial" w:cs="Arial" w:eastAsia="Arial" w:hAnsi="Arial"/>
                <w:sz w:val="22"/>
                <w:szCs w:val="22"/>
                <w:color w:val="auto"/>
                <w:vertAlign w:val="superscript"/>
              </w:rPr>
              <w:t>(8)</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260" w:type="dxa"/>
            <w:vAlign w:val="bottom"/>
          </w:tcPr>
          <w:p>
            <w:pPr>
              <w:spacing w:after="0"/>
              <w:rPr>
                <w:sz w:val="20"/>
                <w:szCs w:val="20"/>
                <w:color w:val="auto"/>
              </w:rPr>
            </w:pPr>
            <w:r>
              <w:rPr>
                <w:rFonts w:ascii="Arial" w:cs="Arial" w:eastAsia="Arial" w:hAnsi="Arial"/>
                <w:sz w:val="13"/>
                <w:szCs w:val="13"/>
                <w:color w:val="auto"/>
              </w:rPr>
              <w:t>Aircell Business Aviation Services LLC</w:t>
            </w:r>
          </w:p>
        </w:tc>
        <w:tc>
          <w:tcPr>
            <w:tcW w:w="1360" w:type="dxa"/>
            <w:vAlign w:val="bottom"/>
          </w:tcPr>
          <w:p>
            <w:pPr>
              <w:jc w:val="right"/>
              <w:ind w:right="13"/>
              <w:spacing w:after="0"/>
              <w:rPr>
                <w:sz w:val="20"/>
                <w:szCs w:val="20"/>
                <w:color w:val="auto"/>
              </w:rPr>
            </w:pPr>
            <w:r>
              <w:rPr>
                <w:rFonts w:ascii="Arial" w:cs="Arial" w:eastAsia="Arial" w:hAnsi="Arial"/>
                <w:sz w:val="13"/>
                <w:szCs w:val="13"/>
                <w:color w:val="auto"/>
              </w:rPr>
              <w:t>06/21/2017</w:t>
            </w:r>
          </w:p>
        </w:tc>
        <w:tc>
          <w:tcPr>
            <w:tcW w:w="2100" w:type="dxa"/>
            <w:vAlign w:val="bottom"/>
          </w:tcPr>
          <w:p>
            <w:pPr>
              <w:jc w:val="center"/>
              <w:spacing w:after="0"/>
              <w:rPr>
                <w:sz w:val="20"/>
                <w:szCs w:val="20"/>
                <w:color w:val="auto"/>
              </w:rPr>
            </w:pPr>
            <w:r>
              <w:rPr>
                <w:rFonts w:ascii="Arial" w:cs="Arial" w:eastAsia="Arial" w:hAnsi="Arial"/>
                <w:sz w:val="13"/>
                <w:szCs w:val="13"/>
                <w:color w:val="auto"/>
                <w:w w:val="94"/>
              </w:rPr>
              <w:t>Communications</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11.25%</w:t>
            </w:r>
          </w:p>
        </w:tc>
        <w:tc>
          <w:tcPr>
            <w:tcW w:w="900" w:type="dxa"/>
            <w:vAlign w:val="bottom"/>
            <w:gridSpan w:val="2"/>
            <w:vMerge w:val="continue"/>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14,906,250</w:t>
            </w:r>
          </w:p>
        </w:tc>
        <w:tc>
          <w:tcPr>
            <w:tcW w:w="8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$ 14,332,682</w:t>
            </w:r>
          </w:p>
        </w:tc>
        <w:tc>
          <w:tcPr>
            <w:tcW w:w="780" w:type="dxa"/>
            <w:vAlign w:val="bottom"/>
          </w:tcPr>
          <w:p>
            <w:pPr>
              <w:jc w:val="right"/>
              <w:spacing w:after="0"/>
              <w:rPr>
                <w:sz w:val="20"/>
                <w:szCs w:val="20"/>
                <w:color w:val="auto"/>
              </w:rPr>
            </w:pPr>
            <w:r>
              <w:rPr>
                <w:rFonts w:ascii="Arial" w:cs="Arial" w:eastAsia="Arial" w:hAnsi="Arial"/>
                <w:sz w:val="13"/>
                <w:szCs w:val="13"/>
                <w:color w:val="auto"/>
                <w:w w:val="95"/>
              </w:rPr>
              <w:t>$  14,906,250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60" w:type="dxa"/>
            <w:vAlign w:val="bottom"/>
          </w:tcPr>
          <w:p>
            <w:pPr>
              <w:spacing w:after="0"/>
              <w:rPr>
                <w:sz w:val="20"/>
                <w:szCs w:val="20"/>
                <w:color w:val="auto"/>
              </w:rPr>
            </w:pPr>
            <w:r>
              <w:rPr>
                <w:rFonts w:ascii="Arial" w:cs="Arial" w:eastAsia="Arial" w:hAnsi="Arial"/>
                <w:sz w:val="13"/>
                <w:szCs w:val="13"/>
                <w:color w:val="auto"/>
              </w:rPr>
              <w:t>American Surgical Holdings, Inc.</w:t>
            </w:r>
          </w:p>
        </w:tc>
        <w:tc>
          <w:tcPr>
            <w:tcW w:w="1360" w:type="dxa"/>
            <w:vAlign w:val="bottom"/>
          </w:tcPr>
          <w:p>
            <w:pPr>
              <w:jc w:val="right"/>
              <w:ind w:right="13"/>
              <w:spacing w:after="0"/>
              <w:rPr>
                <w:sz w:val="20"/>
                <w:szCs w:val="20"/>
                <w:color w:val="auto"/>
              </w:rPr>
            </w:pPr>
            <w:r>
              <w:rPr>
                <w:rFonts w:ascii="Arial" w:cs="Arial" w:eastAsia="Arial" w:hAnsi="Arial"/>
                <w:sz w:val="13"/>
                <w:szCs w:val="13"/>
                <w:color w:val="auto"/>
              </w:rPr>
              <w:t>03/23/2015</w:t>
            </w:r>
          </w:p>
        </w:tc>
        <w:tc>
          <w:tcPr>
            <w:tcW w:w="2100" w:type="dxa"/>
            <w:vAlign w:val="bottom"/>
          </w:tcPr>
          <w:p>
            <w:pPr>
              <w:jc w:val="center"/>
              <w:spacing w:after="0"/>
              <w:rPr>
                <w:sz w:val="20"/>
                <w:szCs w:val="20"/>
                <w:color w:val="auto"/>
              </w:rPr>
            </w:pPr>
            <w:r>
              <w:rPr>
                <w:rFonts w:ascii="Arial" w:cs="Arial" w:eastAsia="Arial" w:hAnsi="Arial"/>
                <w:sz w:val="13"/>
                <w:szCs w:val="13"/>
                <w:color w:val="auto"/>
                <w:w w:val="92"/>
              </w:rPr>
              <w:t>Healthcare, Education and</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14.00%</w:t>
            </w:r>
          </w:p>
        </w:tc>
        <w:tc>
          <w:tcPr>
            <w:tcW w:w="900" w:type="dxa"/>
            <w:vAlign w:val="bottom"/>
            <w:gridSpan w:val="2"/>
          </w:tcPr>
          <w:p>
            <w:pPr>
              <w:jc w:val="right"/>
              <w:ind w:right="84"/>
              <w:spacing w:after="0" w:line="164" w:lineRule="exact"/>
              <w:rPr>
                <w:sz w:val="20"/>
                <w:szCs w:val="20"/>
                <w:color w:val="auto"/>
              </w:rPr>
            </w:pPr>
            <w:r>
              <w:rPr>
                <w:rFonts w:ascii="Arial" w:cs="Arial" w:eastAsia="Arial" w:hAnsi="Arial"/>
                <w:sz w:val="12"/>
                <w:szCs w:val="12"/>
                <w:color w:val="auto"/>
              </w:rPr>
              <w:t>L+1,000</w:t>
            </w:r>
            <w:r>
              <w:rPr>
                <w:rFonts w:ascii="Arial" w:cs="Arial" w:eastAsia="Arial" w:hAnsi="Arial"/>
                <w:sz w:val="19"/>
                <w:szCs w:val="19"/>
                <w:color w:val="auto"/>
                <w:vertAlign w:val="superscript"/>
              </w:rPr>
              <w:t>(8)</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w w:val="98"/>
              </w:rPr>
              <w:t>17,811,828</w:t>
            </w: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17,441,366</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17,811,828</w:t>
            </w:r>
          </w:p>
        </w:tc>
        <w:tc>
          <w:tcPr>
            <w:tcW w:w="0" w:type="dxa"/>
            <w:vAlign w:val="bottom"/>
          </w:tcPr>
          <w:p>
            <w:pPr>
              <w:spacing w:after="0"/>
              <w:rPr>
                <w:sz w:val="1"/>
                <w:szCs w:val="1"/>
                <w:color w:val="auto"/>
              </w:rPr>
            </w:pPr>
          </w:p>
        </w:tc>
      </w:tr>
      <w:tr>
        <w:trPr>
          <w:trHeight w:val="172"/>
        </w:trPr>
        <w:tc>
          <w:tcPr>
            <w:tcW w:w="3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98"/>
              </w:rPr>
              <w:t>Childcare</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32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02/07/2014</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Energy/Utilities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3.68%</w:t>
            </w:r>
          </w:p>
        </w:tc>
        <w:tc>
          <w:tcPr>
            <w:tcW w:w="900" w:type="dxa"/>
            <w:vAlign w:val="bottom"/>
            <w:gridSpan w:val="2"/>
            <w:shd w:val="clear" w:color="auto" w:fill="CCEEFF"/>
          </w:tcPr>
          <w:p>
            <w:pPr>
              <w:jc w:val="right"/>
              <w:ind w:right="204"/>
              <w:spacing w:after="0"/>
              <w:rPr>
                <w:sz w:val="20"/>
                <w:szCs w:val="20"/>
                <w:color w:val="auto"/>
              </w:rPr>
            </w:pPr>
            <w:r>
              <w:rPr>
                <w:rFonts w:ascii="Arial" w:cs="Arial" w:eastAsia="Arial" w:hAnsi="Arial"/>
                <w:sz w:val="13"/>
                <w:szCs w:val="13"/>
                <w:color w:val="auto"/>
              </w:rPr>
              <w:t>L+325</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1,757,029</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1,973,334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1360" w:type="dxa"/>
            <w:vAlign w:val="bottom"/>
          </w:tcPr>
          <w:p>
            <w:pPr>
              <w:jc w:val="right"/>
              <w:ind w:right="13"/>
              <w:spacing w:after="0"/>
              <w:rPr>
                <w:sz w:val="20"/>
                <w:szCs w:val="20"/>
                <w:color w:val="auto"/>
              </w:rPr>
            </w:pPr>
            <w:r>
              <w:rPr>
                <w:rFonts w:ascii="Arial" w:cs="Arial" w:eastAsia="Arial" w:hAnsi="Arial"/>
                <w:sz w:val="13"/>
                <w:szCs w:val="13"/>
                <w:color w:val="auto"/>
              </w:rPr>
              <w:t>10/01/2016</w:t>
            </w:r>
          </w:p>
        </w:tc>
        <w:tc>
          <w:tcPr>
            <w:tcW w:w="2100" w:type="dxa"/>
            <w:vAlign w:val="bottom"/>
          </w:tcPr>
          <w:p>
            <w:pPr>
              <w:jc w:val="center"/>
              <w:spacing w:after="0"/>
              <w:rPr>
                <w:sz w:val="20"/>
                <w:szCs w:val="20"/>
                <w:color w:val="auto"/>
              </w:rPr>
            </w:pPr>
            <w:r>
              <w:rPr>
                <w:rFonts w:ascii="Arial" w:cs="Arial" w:eastAsia="Arial" w:hAnsi="Arial"/>
                <w:sz w:val="13"/>
                <w:szCs w:val="13"/>
                <w:color w:val="auto"/>
                <w:w w:val="92"/>
              </w:rPr>
              <w:t>Cargo Transport</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11.63%</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7,500,000</w:t>
            </w:r>
          </w:p>
        </w:tc>
        <w:tc>
          <w:tcPr>
            <w:tcW w:w="8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7,355,237</w:t>
            </w:r>
          </w:p>
        </w:tc>
        <w:tc>
          <w:tcPr>
            <w:tcW w:w="780" w:type="dxa"/>
            <w:vAlign w:val="bottom"/>
          </w:tcPr>
          <w:p>
            <w:pPr>
              <w:jc w:val="right"/>
              <w:spacing w:after="0"/>
              <w:rPr>
                <w:sz w:val="20"/>
                <w:szCs w:val="20"/>
                <w:color w:val="auto"/>
              </w:rPr>
            </w:pPr>
            <w:r>
              <w:rPr>
                <w:rFonts w:ascii="Arial" w:cs="Arial" w:eastAsia="Arial" w:hAnsi="Arial"/>
                <w:sz w:val="13"/>
                <w:szCs w:val="13"/>
                <w:color w:val="auto"/>
              </w:rPr>
              <w:t>7,687,500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04/01/2018</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Cargo Transport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11.50%</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990,089</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line="149" w:lineRule="exact"/>
              <w:rPr>
                <w:sz w:val="20"/>
                <w:szCs w:val="20"/>
                <w:color w:val="auto"/>
              </w:rPr>
            </w:pPr>
            <w:r>
              <w:rPr>
                <w:rFonts w:ascii="Arial" w:cs="Arial" w:eastAsia="Arial" w:hAnsi="Arial"/>
                <w:sz w:val="11"/>
                <w:szCs w:val="11"/>
                <w:color w:val="auto"/>
              </w:rPr>
              <w:t xml:space="preserve">Columbus International, Inc. </w:t>
            </w:r>
            <w:r>
              <w:rPr>
                <w:rFonts w:ascii="Arial" w:cs="Arial" w:eastAsia="Arial" w:hAnsi="Arial"/>
                <w:sz w:val="17"/>
                <w:szCs w:val="17"/>
                <w:color w:val="auto"/>
                <w:vertAlign w:val="superscript"/>
              </w:rPr>
              <w:t>(5), (10)</w:t>
            </w:r>
          </w:p>
        </w:tc>
        <w:tc>
          <w:tcPr>
            <w:tcW w:w="1360" w:type="dxa"/>
            <w:vAlign w:val="bottom"/>
          </w:tcPr>
          <w:p>
            <w:pPr>
              <w:jc w:val="right"/>
              <w:ind w:right="13"/>
              <w:spacing w:after="0"/>
              <w:rPr>
                <w:sz w:val="20"/>
                <w:szCs w:val="20"/>
                <w:color w:val="auto"/>
              </w:rPr>
            </w:pPr>
            <w:r>
              <w:rPr>
                <w:rFonts w:ascii="Arial" w:cs="Arial" w:eastAsia="Arial" w:hAnsi="Arial"/>
                <w:sz w:val="13"/>
                <w:szCs w:val="13"/>
                <w:color w:val="auto"/>
              </w:rPr>
              <w:t>11/20/2014</w:t>
            </w:r>
          </w:p>
        </w:tc>
        <w:tc>
          <w:tcPr>
            <w:tcW w:w="2100" w:type="dxa"/>
            <w:vAlign w:val="bottom"/>
          </w:tcPr>
          <w:p>
            <w:pPr>
              <w:jc w:val="center"/>
              <w:spacing w:after="0"/>
              <w:rPr>
                <w:sz w:val="20"/>
                <w:szCs w:val="20"/>
                <w:color w:val="auto"/>
              </w:rPr>
            </w:pPr>
            <w:r>
              <w:rPr>
                <w:rFonts w:ascii="Arial" w:cs="Arial" w:eastAsia="Arial" w:hAnsi="Arial"/>
                <w:sz w:val="13"/>
                <w:szCs w:val="13"/>
                <w:color w:val="auto"/>
                <w:w w:val="94"/>
              </w:rPr>
              <w:t>Communications</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11.50%</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10,000,000</w:t>
            </w:r>
          </w:p>
        </w:tc>
        <w:tc>
          <w:tcPr>
            <w:tcW w:w="8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10,000,000</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11,100,000</w:t>
            </w: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Good Sam Enterprises, LLC </w:t>
            </w:r>
            <w:r>
              <w:rPr>
                <w:rFonts w:ascii="Arial" w:cs="Arial" w:eastAsia="Arial" w:hAnsi="Arial"/>
                <w:sz w:val="17"/>
                <w:szCs w:val="17"/>
                <w:color w:val="auto"/>
                <w:vertAlign w:val="superscript"/>
              </w:rPr>
              <w:t>(5)</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12/01/2016</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11.50%</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12,000,000</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11,795,443</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Arial" w:cs="Arial" w:eastAsia="Arial" w:hAnsi="Arial"/>
                <w:sz w:val="13"/>
                <w:szCs w:val="13"/>
                <w:color w:val="auto"/>
              </w:rPr>
              <w:t>Hanley-Wood, L.L.C.</w:t>
            </w:r>
          </w:p>
        </w:tc>
        <w:tc>
          <w:tcPr>
            <w:tcW w:w="1360" w:type="dxa"/>
            <w:vAlign w:val="bottom"/>
          </w:tcPr>
          <w:p>
            <w:pPr>
              <w:jc w:val="right"/>
              <w:ind w:right="13"/>
              <w:spacing w:after="0" w:line="122" w:lineRule="exact"/>
              <w:rPr>
                <w:sz w:val="20"/>
                <w:szCs w:val="20"/>
                <w:color w:val="auto"/>
              </w:rPr>
            </w:pPr>
            <w:r>
              <w:rPr>
                <w:rFonts w:ascii="Arial" w:cs="Arial" w:eastAsia="Arial" w:hAnsi="Arial"/>
                <w:sz w:val="13"/>
                <w:szCs w:val="13"/>
                <w:color w:val="auto"/>
              </w:rPr>
              <w:t>01/13/2017</w:t>
            </w:r>
          </w:p>
        </w:tc>
        <w:tc>
          <w:tcPr>
            <w:tcW w:w="2100" w:type="dxa"/>
            <w:vAlign w:val="bottom"/>
          </w:tcPr>
          <w:p>
            <w:pPr>
              <w:jc w:val="center"/>
              <w:spacing w:after="0" w:line="122" w:lineRule="exact"/>
              <w:rPr>
                <w:sz w:val="20"/>
                <w:szCs w:val="20"/>
                <w:color w:val="auto"/>
              </w:rPr>
            </w:pPr>
            <w:r>
              <w:rPr>
                <w:rFonts w:ascii="Arial" w:cs="Arial" w:eastAsia="Arial" w:hAnsi="Arial"/>
                <w:sz w:val="13"/>
                <w:szCs w:val="13"/>
                <w:color w:val="auto"/>
                <w:w w:val="97"/>
              </w:rPr>
              <w:t>Other Media</w:t>
            </w:r>
          </w:p>
        </w:tc>
        <w:tc>
          <w:tcPr>
            <w:tcW w:w="1060" w:type="dxa"/>
            <w:vAlign w:val="bottom"/>
            <w:gridSpan w:val="2"/>
          </w:tcPr>
          <w:p>
            <w:pPr>
              <w:jc w:val="right"/>
              <w:ind w:right="280"/>
              <w:spacing w:after="0" w:line="122" w:lineRule="exact"/>
              <w:rPr>
                <w:sz w:val="20"/>
                <w:szCs w:val="20"/>
                <w:color w:val="auto"/>
              </w:rPr>
            </w:pPr>
            <w:r>
              <w:rPr>
                <w:rFonts w:ascii="Arial" w:cs="Arial" w:eastAsia="Arial" w:hAnsi="Arial"/>
                <w:sz w:val="13"/>
                <w:szCs w:val="13"/>
                <w:color w:val="auto"/>
              </w:rPr>
              <w:t>8.00%</w:t>
            </w:r>
          </w:p>
        </w:tc>
        <w:tc>
          <w:tcPr>
            <w:tcW w:w="900" w:type="dxa"/>
            <w:vAlign w:val="bottom"/>
            <w:gridSpan w:val="2"/>
          </w:tcPr>
          <w:p>
            <w:pPr>
              <w:jc w:val="right"/>
              <w:ind w:right="84"/>
              <w:spacing w:after="0" w:line="122" w:lineRule="exact"/>
              <w:rPr>
                <w:sz w:val="20"/>
                <w:szCs w:val="20"/>
                <w:color w:val="auto"/>
              </w:rPr>
            </w:pPr>
            <w:r>
              <w:rPr>
                <w:rFonts w:ascii="Arial" w:cs="Arial" w:eastAsia="Arial" w:hAnsi="Arial"/>
                <w:sz w:val="9"/>
                <w:szCs w:val="9"/>
                <w:color w:val="auto"/>
              </w:rPr>
              <w:t>L+650</w:t>
            </w:r>
            <w:r>
              <w:rPr>
                <w:rFonts w:ascii="Arial" w:cs="Arial" w:eastAsia="Arial" w:hAnsi="Arial"/>
                <w:sz w:val="14"/>
                <w:szCs w:val="14"/>
                <w:color w:val="auto"/>
                <w:vertAlign w:val="superscript"/>
              </w:rPr>
              <w:t>(8)</w:t>
            </w: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1,752,896</w:t>
            </w:r>
          </w:p>
        </w:tc>
        <w:tc>
          <w:tcPr>
            <w:tcW w:w="80" w:type="dxa"/>
            <w:vAlign w:val="bottom"/>
          </w:tcPr>
          <w:p>
            <w:pPr>
              <w:spacing w:after="0"/>
              <w:rPr>
                <w:sz w:val="10"/>
                <w:szCs w:val="10"/>
                <w:color w:val="auto"/>
              </w:rPr>
            </w:pPr>
          </w:p>
        </w:tc>
        <w:tc>
          <w:tcPr>
            <w:tcW w:w="980" w:type="dxa"/>
            <w:vAlign w:val="bottom"/>
            <w:gridSpan w:val="3"/>
          </w:tcPr>
          <w:p>
            <w:pPr>
              <w:jc w:val="right"/>
              <w:ind w:right="160"/>
              <w:spacing w:after="0" w:line="122" w:lineRule="exact"/>
              <w:rPr>
                <w:sz w:val="20"/>
                <w:szCs w:val="20"/>
                <w:color w:val="auto"/>
              </w:rPr>
            </w:pPr>
            <w:r>
              <w:rPr>
                <w:rFonts w:ascii="Arial" w:cs="Arial" w:eastAsia="Arial" w:hAnsi="Arial"/>
                <w:sz w:val="13"/>
                <w:szCs w:val="13"/>
                <w:color w:val="auto"/>
              </w:rPr>
              <w:t>1,752,896</w:t>
            </w:r>
          </w:p>
        </w:tc>
        <w:tc>
          <w:tcPr>
            <w:tcW w:w="780" w:type="dxa"/>
            <w:vAlign w:val="bottom"/>
          </w:tcPr>
          <w:p>
            <w:pPr>
              <w:jc w:val="right"/>
              <w:spacing w:after="0" w:line="122" w:lineRule="exact"/>
              <w:rPr>
                <w:sz w:val="20"/>
                <w:szCs w:val="20"/>
                <w:color w:val="auto"/>
              </w:rPr>
            </w:pPr>
            <w:r>
              <w:rPr>
                <w:rFonts w:ascii="Arial" w:cs="Arial" w:eastAsia="Arial" w:hAnsi="Arial"/>
                <w:sz w:val="13"/>
                <w:szCs w:val="13"/>
                <w:color w:val="auto"/>
              </w:rPr>
              <w:t>1,752,896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line="176" w:lineRule="exact"/>
              <w:rPr>
                <w:sz w:val="20"/>
                <w:szCs w:val="20"/>
                <w:color w:val="auto"/>
              </w:rPr>
            </w:pPr>
            <w:r>
              <w:rPr>
                <w:rFonts w:ascii="Arial" w:cs="Arial" w:eastAsia="Arial" w:hAnsi="Arial"/>
                <w:sz w:val="12"/>
                <w:szCs w:val="12"/>
                <w:color w:val="auto"/>
              </w:rPr>
              <w:t xml:space="preserve">IDQ Holdings, Inc. </w:t>
            </w:r>
            <w:r>
              <w:rPr>
                <w:rFonts w:ascii="Arial" w:cs="Arial" w:eastAsia="Arial" w:hAnsi="Arial"/>
                <w:sz w:val="20"/>
                <w:szCs w:val="20"/>
                <w:color w:val="auto"/>
                <w:vertAlign w:val="superscript"/>
              </w:rPr>
              <w:t>(5)</w:t>
            </w:r>
          </w:p>
        </w:tc>
        <w:tc>
          <w:tcPr>
            <w:tcW w:w="1360" w:type="dxa"/>
            <w:vAlign w:val="bottom"/>
          </w:tcPr>
          <w:p>
            <w:pPr>
              <w:jc w:val="right"/>
              <w:ind w:right="13"/>
              <w:spacing w:after="0"/>
              <w:rPr>
                <w:sz w:val="20"/>
                <w:szCs w:val="20"/>
                <w:color w:val="auto"/>
              </w:rPr>
            </w:pPr>
            <w:r>
              <w:rPr>
                <w:rFonts w:ascii="Arial" w:cs="Arial" w:eastAsia="Arial" w:hAnsi="Arial"/>
                <w:sz w:val="13"/>
                <w:szCs w:val="13"/>
                <w:color w:val="auto"/>
              </w:rPr>
              <w:t>04/01/2017</w:t>
            </w:r>
          </w:p>
        </w:tc>
        <w:tc>
          <w:tcPr>
            <w:tcW w:w="2100" w:type="dxa"/>
            <w:vAlign w:val="bottom"/>
          </w:tcPr>
          <w:p>
            <w:pPr>
              <w:jc w:val="center"/>
              <w:spacing w:after="0"/>
              <w:rPr>
                <w:sz w:val="20"/>
                <w:szCs w:val="20"/>
                <w:color w:val="auto"/>
              </w:rPr>
            </w:pPr>
            <w:r>
              <w:rPr>
                <w:rFonts w:ascii="Arial" w:cs="Arial" w:eastAsia="Arial" w:hAnsi="Arial"/>
                <w:sz w:val="13"/>
                <w:szCs w:val="13"/>
                <w:color w:val="auto"/>
                <w:w w:val="97"/>
              </w:rPr>
              <w:t>Auto Sector</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11.50%</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jc w:val="right"/>
              <w:ind w:right="84"/>
              <w:spacing w:after="0"/>
              <w:rPr>
                <w:sz w:val="20"/>
                <w:szCs w:val="20"/>
                <w:color w:val="auto"/>
              </w:rPr>
            </w:pPr>
            <w:r>
              <w:rPr>
                <w:rFonts w:ascii="Arial" w:cs="Arial" w:eastAsia="Arial" w:hAnsi="Arial"/>
                <w:sz w:val="11"/>
                <w:szCs w:val="11"/>
                <w:color w:val="auto"/>
                <w:w w:val="74"/>
              </w:rPr>
              <w:t>(8)</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w w:val="98"/>
              </w:rPr>
              <w:t>11,500,000</w:t>
            </w: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11,288,165</w:t>
            </w:r>
          </w:p>
        </w:tc>
        <w:tc>
          <w:tcPr>
            <w:tcW w:w="780" w:type="dxa"/>
            <w:vAlign w:val="bottom"/>
          </w:tcPr>
          <w:p>
            <w:pPr>
              <w:jc w:val="right"/>
              <w:spacing w:after="0"/>
              <w:rPr>
                <w:sz w:val="20"/>
                <w:szCs w:val="20"/>
                <w:color w:val="auto"/>
              </w:rPr>
            </w:pPr>
            <w:r>
              <w:rPr>
                <w:rFonts w:ascii="Arial" w:cs="Arial" w:eastAsia="Arial" w:hAnsi="Arial"/>
                <w:sz w:val="13"/>
                <w:szCs w:val="13"/>
                <w:color w:val="auto"/>
              </w:rPr>
              <w:t>12,218,750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260" w:type="dxa"/>
            <w:vAlign w:val="bottom"/>
            <w:vMerge w:val="restart"/>
          </w:tcPr>
          <w:p>
            <w:pPr>
              <w:spacing w:after="0" w:line="122" w:lineRule="exact"/>
              <w:rPr>
                <w:sz w:val="20"/>
                <w:szCs w:val="20"/>
                <w:color w:val="auto"/>
              </w:rPr>
            </w:pPr>
            <w:r>
              <w:rPr>
                <w:rFonts w:ascii="Arial" w:cs="Arial" w:eastAsia="Arial" w:hAnsi="Arial"/>
                <w:sz w:val="13"/>
                <w:szCs w:val="13"/>
                <w:color w:val="auto"/>
              </w:rPr>
              <w:t>Instant Web, Inc.</w:t>
            </w:r>
          </w:p>
        </w:tc>
        <w:tc>
          <w:tcPr>
            <w:tcW w:w="1360" w:type="dxa"/>
            <w:vAlign w:val="bottom"/>
            <w:vMerge w:val="restart"/>
          </w:tcPr>
          <w:p>
            <w:pPr>
              <w:jc w:val="right"/>
              <w:ind w:right="13"/>
              <w:spacing w:after="0" w:line="122" w:lineRule="exact"/>
              <w:rPr>
                <w:sz w:val="20"/>
                <w:szCs w:val="20"/>
                <w:color w:val="auto"/>
              </w:rPr>
            </w:pPr>
            <w:r>
              <w:rPr>
                <w:rFonts w:ascii="Arial" w:cs="Arial" w:eastAsia="Arial" w:hAnsi="Arial"/>
                <w:sz w:val="13"/>
                <w:szCs w:val="13"/>
                <w:color w:val="auto"/>
              </w:rPr>
              <w:t>08/07/2014</w:t>
            </w:r>
          </w:p>
        </w:tc>
        <w:tc>
          <w:tcPr>
            <w:tcW w:w="2100" w:type="dxa"/>
            <w:vAlign w:val="bottom"/>
            <w:vMerge w:val="restart"/>
          </w:tcPr>
          <w:p>
            <w:pPr>
              <w:jc w:val="center"/>
              <w:spacing w:after="0" w:line="122" w:lineRule="exact"/>
              <w:rPr>
                <w:sz w:val="20"/>
                <w:szCs w:val="20"/>
                <w:color w:val="auto"/>
              </w:rPr>
            </w:pPr>
            <w:r>
              <w:rPr>
                <w:rFonts w:ascii="Arial" w:cs="Arial" w:eastAsia="Arial" w:hAnsi="Arial"/>
                <w:sz w:val="13"/>
                <w:szCs w:val="13"/>
                <w:color w:val="auto"/>
                <w:w w:val="94"/>
              </w:rPr>
              <w:t>Printing and Publishing</w:t>
            </w:r>
          </w:p>
        </w:tc>
        <w:tc>
          <w:tcPr>
            <w:tcW w:w="1060" w:type="dxa"/>
            <w:vAlign w:val="bottom"/>
            <w:gridSpan w:val="2"/>
            <w:vMerge w:val="restart"/>
          </w:tcPr>
          <w:p>
            <w:pPr>
              <w:jc w:val="right"/>
              <w:ind w:right="280"/>
              <w:spacing w:after="0" w:line="122" w:lineRule="exact"/>
              <w:rPr>
                <w:sz w:val="20"/>
                <w:szCs w:val="20"/>
                <w:color w:val="auto"/>
              </w:rPr>
            </w:pPr>
            <w:r>
              <w:rPr>
                <w:rFonts w:ascii="Arial" w:cs="Arial" w:eastAsia="Arial" w:hAnsi="Arial"/>
                <w:sz w:val="13"/>
                <w:szCs w:val="13"/>
                <w:color w:val="auto"/>
              </w:rPr>
              <w:t>14.50%</w:t>
            </w:r>
          </w:p>
        </w:tc>
        <w:tc>
          <w:tcPr>
            <w:tcW w:w="64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740" w:type="dxa"/>
            <w:vAlign w:val="bottom"/>
            <w:gridSpan w:val="2"/>
            <w:vMerge w:val="restart"/>
          </w:tcPr>
          <w:p>
            <w:pPr>
              <w:jc w:val="right"/>
              <w:ind w:right="80"/>
              <w:spacing w:after="0" w:line="122" w:lineRule="exact"/>
              <w:rPr>
                <w:sz w:val="20"/>
                <w:szCs w:val="20"/>
                <w:color w:val="auto"/>
              </w:rPr>
            </w:pPr>
            <w:r>
              <w:rPr>
                <w:rFonts w:ascii="Arial" w:cs="Arial" w:eastAsia="Arial" w:hAnsi="Arial"/>
                <w:sz w:val="13"/>
                <w:szCs w:val="13"/>
                <w:color w:val="auto"/>
                <w:w w:val="98"/>
              </w:rPr>
              <w:t>24,115,645</w:t>
            </w:r>
          </w:p>
        </w:tc>
        <w:tc>
          <w:tcPr>
            <w:tcW w:w="980" w:type="dxa"/>
            <w:vAlign w:val="bottom"/>
            <w:gridSpan w:val="3"/>
            <w:vMerge w:val="restart"/>
          </w:tcPr>
          <w:p>
            <w:pPr>
              <w:jc w:val="right"/>
              <w:ind w:right="160"/>
              <w:spacing w:after="0" w:line="122" w:lineRule="exact"/>
              <w:rPr>
                <w:sz w:val="20"/>
                <w:szCs w:val="20"/>
                <w:color w:val="auto"/>
              </w:rPr>
            </w:pPr>
            <w:r>
              <w:rPr>
                <w:rFonts w:ascii="Arial" w:cs="Arial" w:eastAsia="Arial" w:hAnsi="Arial"/>
                <w:sz w:val="13"/>
                <w:szCs w:val="13"/>
                <w:color w:val="auto"/>
              </w:rPr>
              <w:t>23,829,738</w:t>
            </w:r>
          </w:p>
        </w:tc>
        <w:tc>
          <w:tcPr>
            <w:tcW w:w="780" w:type="dxa"/>
            <w:vAlign w:val="bottom"/>
            <w:vMerge w:val="restart"/>
          </w:tcPr>
          <w:p>
            <w:pPr>
              <w:jc w:val="right"/>
              <w:spacing w:after="0" w:line="122" w:lineRule="exact"/>
              <w:rPr>
                <w:sz w:val="20"/>
                <w:szCs w:val="20"/>
                <w:color w:val="auto"/>
              </w:rPr>
            </w:pPr>
            <w:r>
              <w:rPr>
                <w:rFonts w:ascii="Arial" w:cs="Arial" w:eastAsia="Arial" w:hAnsi="Arial"/>
                <w:sz w:val="13"/>
                <w:szCs w:val="13"/>
                <w:color w:val="auto"/>
              </w:rPr>
              <w:t>23,802,142</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26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210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00" w:type="dxa"/>
            <w:vAlign w:val="bottom"/>
            <w:gridSpan w:val="2"/>
          </w:tcPr>
          <w:p>
            <w:pPr>
              <w:jc w:val="right"/>
              <w:ind w:right="204"/>
              <w:spacing w:after="0" w:line="68" w:lineRule="exact"/>
              <w:rPr>
                <w:sz w:val="20"/>
                <w:szCs w:val="20"/>
                <w:color w:val="auto"/>
              </w:rPr>
            </w:pPr>
            <w:r>
              <w:rPr>
                <w:rFonts w:ascii="Arial" w:cs="Arial" w:eastAsia="Arial" w:hAnsi="Arial"/>
                <w:sz w:val="7"/>
                <w:szCs w:val="7"/>
                <w:color w:val="auto"/>
              </w:rPr>
              <w:t>L+950</w:t>
            </w:r>
          </w:p>
        </w:tc>
        <w:tc>
          <w:tcPr>
            <w:tcW w:w="740" w:type="dxa"/>
            <w:vAlign w:val="bottom"/>
            <w:gridSpan w:val="2"/>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3260" w:type="dxa"/>
            <w:vAlign w:val="bottom"/>
          </w:tcPr>
          <w:p>
            <w:pPr>
              <w:spacing w:after="0"/>
              <w:rPr>
                <w:sz w:val="20"/>
                <w:szCs w:val="20"/>
                <w:color w:val="auto"/>
              </w:rPr>
            </w:pPr>
            <w:r>
              <w:rPr>
                <w:rFonts w:ascii="Arial" w:cs="Arial" w:eastAsia="Arial" w:hAnsi="Arial"/>
                <w:sz w:val="13"/>
                <w:szCs w:val="13"/>
                <w:color w:val="auto"/>
              </w:rPr>
              <w:t>Interactive Health Solutions, Inc.</w:t>
            </w:r>
          </w:p>
        </w:tc>
        <w:tc>
          <w:tcPr>
            <w:tcW w:w="1360" w:type="dxa"/>
            <w:vAlign w:val="bottom"/>
          </w:tcPr>
          <w:p>
            <w:pPr>
              <w:jc w:val="right"/>
              <w:ind w:right="13"/>
              <w:spacing w:after="0"/>
              <w:rPr>
                <w:sz w:val="20"/>
                <w:szCs w:val="20"/>
                <w:color w:val="auto"/>
              </w:rPr>
            </w:pPr>
            <w:r>
              <w:rPr>
                <w:rFonts w:ascii="Arial" w:cs="Arial" w:eastAsia="Arial" w:hAnsi="Arial"/>
                <w:sz w:val="13"/>
                <w:szCs w:val="13"/>
                <w:color w:val="auto"/>
              </w:rPr>
              <w:t>10/04/2016</w:t>
            </w:r>
          </w:p>
        </w:tc>
        <w:tc>
          <w:tcPr>
            <w:tcW w:w="2100" w:type="dxa"/>
            <w:vAlign w:val="bottom"/>
          </w:tcPr>
          <w:p>
            <w:pPr>
              <w:jc w:val="center"/>
              <w:spacing w:after="0"/>
              <w:rPr>
                <w:sz w:val="20"/>
                <w:szCs w:val="20"/>
                <w:color w:val="auto"/>
              </w:rPr>
            </w:pPr>
            <w:r>
              <w:rPr>
                <w:rFonts w:ascii="Arial" w:cs="Arial" w:eastAsia="Arial" w:hAnsi="Arial"/>
                <w:sz w:val="13"/>
                <w:szCs w:val="13"/>
                <w:color w:val="auto"/>
                <w:w w:val="92"/>
              </w:rPr>
              <w:t>Healthcare, Education and</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11.50%</w:t>
            </w:r>
          </w:p>
        </w:tc>
        <w:tc>
          <w:tcPr>
            <w:tcW w:w="900" w:type="dxa"/>
            <w:vAlign w:val="bottom"/>
            <w:gridSpan w:val="2"/>
          </w:tcPr>
          <w:p>
            <w:pPr>
              <w:jc w:val="right"/>
              <w:ind w:right="84"/>
              <w:spacing w:after="0" w:line="164" w:lineRule="exact"/>
              <w:rPr>
                <w:sz w:val="20"/>
                <w:szCs w:val="20"/>
                <w:color w:val="auto"/>
              </w:rPr>
            </w:pPr>
            <w:r>
              <w:rPr>
                <w:rFonts w:ascii="Arial" w:cs="Arial" w:eastAsia="Arial" w:hAnsi="Arial"/>
                <w:sz w:val="12"/>
                <w:szCs w:val="12"/>
                <w:color w:val="auto"/>
              </w:rPr>
              <w:t>L+950</w:t>
            </w:r>
            <w:r>
              <w:rPr>
                <w:rFonts w:ascii="Arial" w:cs="Arial" w:eastAsia="Arial" w:hAnsi="Arial"/>
                <w:sz w:val="19"/>
                <w:szCs w:val="19"/>
                <w:color w:val="auto"/>
                <w:vertAlign w:val="superscript"/>
              </w:rPr>
              <w:t>(8)</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18,525,000</w:t>
            </w:r>
          </w:p>
        </w:tc>
        <w:tc>
          <w:tcPr>
            <w:tcW w:w="8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18,165,492</w:t>
            </w:r>
          </w:p>
        </w:tc>
        <w:tc>
          <w:tcPr>
            <w:tcW w:w="780" w:type="dxa"/>
            <w:vAlign w:val="bottom"/>
          </w:tcPr>
          <w:p>
            <w:pPr>
              <w:jc w:val="right"/>
              <w:spacing w:after="0"/>
              <w:rPr>
                <w:sz w:val="20"/>
                <w:szCs w:val="20"/>
                <w:color w:val="auto"/>
              </w:rPr>
            </w:pPr>
            <w:r>
              <w:rPr>
                <w:rFonts w:ascii="Arial" w:cs="Arial" w:eastAsia="Arial" w:hAnsi="Arial"/>
                <w:sz w:val="13"/>
                <w:szCs w:val="13"/>
                <w:color w:val="auto"/>
              </w:rPr>
              <w:t>18,571,313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98"/>
              </w:rPr>
              <w:t>Childcare</w:t>
            </w: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260" w:type="dxa"/>
            <w:vAlign w:val="bottom"/>
          </w:tcPr>
          <w:p>
            <w:pPr>
              <w:spacing w:after="0" w:line="138" w:lineRule="exact"/>
              <w:rPr>
                <w:sz w:val="20"/>
                <w:szCs w:val="20"/>
                <w:color w:val="auto"/>
              </w:rPr>
            </w:pPr>
            <w:r>
              <w:rPr>
                <w:rFonts w:ascii="Arial" w:cs="Arial" w:eastAsia="Arial" w:hAnsi="Arial"/>
                <w:sz w:val="13"/>
                <w:szCs w:val="13"/>
                <w:color w:val="auto"/>
              </w:rPr>
              <w:t>Jacuzzi Brands Corp.</w:t>
            </w:r>
          </w:p>
        </w:tc>
        <w:tc>
          <w:tcPr>
            <w:tcW w:w="13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02/07/2014</w:t>
            </w:r>
          </w:p>
        </w:tc>
        <w:tc>
          <w:tcPr>
            <w:tcW w:w="2100" w:type="dxa"/>
            <w:vAlign w:val="bottom"/>
          </w:tcPr>
          <w:p>
            <w:pPr>
              <w:jc w:val="center"/>
              <w:spacing w:after="0" w:line="138" w:lineRule="exact"/>
              <w:rPr>
                <w:sz w:val="20"/>
                <w:szCs w:val="20"/>
                <w:color w:val="auto"/>
              </w:rPr>
            </w:pPr>
            <w:r>
              <w:rPr>
                <w:rFonts w:ascii="Arial" w:cs="Arial" w:eastAsia="Arial" w:hAnsi="Arial"/>
                <w:sz w:val="13"/>
                <w:szCs w:val="13"/>
                <w:color w:val="auto"/>
                <w:w w:val="95"/>
              </w:rPr>
              <w:t>Home and Office Furnishings,</w:t>
            </w:r>
          </w:p>
        </w:tc>
        <w:tc>
          <w:tcPr>
            <w:tcW w:w="1060" w:type="dxa"/>
            <w:vAlign w:val="bottom"/>
            <w:gridSpan w:val="2"/>
          </w:tcPr>
          <w:p>
            <w:pPr>
              <w:jc w:val="right"/>
              <w:ind w:right="280"/>
              <w:spacing w:after="0" w:line="138" w:lineRule="exact"/>
              <w:rPr>
                <w:sz w:val="20"/>
                <w:szCs w:val="20"/>
                <w:color w:val="auto"/>
              </w:rPr>
            </w:pPr>
            <w:r>
              <w:rPr>
                <w:rFonts w:ascii="Arial" w:cs="Arial" w:eastAsia="Arial" w:hAnsi="Arial"/>
                <w:sz w:val="13"/>
                <w:szCs w:val="13"/>
                <w:color w:val="auto"/>
              </w:rPr>
              <w:t>2.28%</w:t>
            </w:r>
          </w:p>
        </w:tc>
        <w:tc>
          <w:tcPr>
            <w:tcW w:w="900" w:type="dxa"/>
            <w:vAlign w:val="bottom"/>
            <w:gridSpan w:val="2"/>
          </w:tcPr>
          <w:p>
            <w:pPr>
              <w:jc w:val="right"/>
              <w:ind w:right="204"/>
              <w:spacing w:after="0" w:line="138" w:lineRule="exact"/>
              <w:rPr>
                <w:sz w:val="20"/>
                <w:szCs w:val="20"/>
                <w:color w:val="auto"/>
              </w:rPr>
            </w:pPr>
            <w:r>
              <w:rPr>
                <w:rFonts w:ascii="Arial" w:cs="Arial" w:eastAsia="Arial" w:hAnsi="Arial"/>
                <w:sz w:val="13"/>
                <w:szCs w:val="13"/>
                <w:color w:val="auto"/>
              </w:rPr>
              <w:t>L+225</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9,598,649</w:t>
            </w:r>
          </w:p>
        </w:tc>
        <w:tc>
          <w:tcPr>
            <w:tcW w:w="80" w:type="dxa"/>
            <w:vAlign w:val="bottom"/>
          </w:tcPr>
          <w:p>
            <w:pPr>
              <w:spacing w:after="0"/>
              <w:rPr>
                <w:sz w:val="11"/>
                <w:szCs w:val="11"/>
                <w:color w:val="auto"/>
              </w:rPr>
            </w:pPr>
          </w:p>
        </w:tc>
        <w:tc>
          <w:tcPr>
            <w:tcW w:w="98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9,598,649</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6,371,103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92"/>
              </w:rPr>
              <w:t>Housewares and Durable Consumer</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89"/>
              </w:rPr>
              <w:t>Products</w:t>
            </w: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gridSpan w:val="2"/>
            <w:vMerge w:val="restart"/>
          </w:tcPr>
          <w:p>
            <w:pPr>
              <w:jc w:val="right"/>
              <w:ind w:right="84"/>
              <w:spacing w:after="0"/>
              <w:rPr>
                <w:sz w:val="20"/>
                <w:szCs w:val="20"/>
                <w:color w:val="auto"/>
              </w:rPr>
            </w:pPr>
            <w:r>
              <w:rPr>
                <w:rFonts w:ascii="Arial" w:cs="Arial" w:eastAsia="Arial" w:hAnsi="Arial"/>
                <w:sz w:val="13"/>
                <w:szCs w:val="13"/>
                <w:color w:val="auto"/>
              </w:rPr>
              <w:t>L+775</w:t>
            </w:r>
            <w:r>
              <w:rPr>
                <w:rFonts w:ascii="Arial" w:cs="Arial" w:eastAsia="Arial" w:hAnsi="Arial"/>
                <w:sz w:val="22"/>
                <w:szCs w:val="22"/>
                <w:color w:val="auto"/>
                <w:vertAlign w:val="superscript"/>
              </w:rPr>
              <w:t>(8)</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Arial" w:cs="Arial" w:eastAsia="Arial" w:hAnsi="Arial"/>
                <w:sz w:val="13"/>
                <w:szCs w:val="13"/>
                <w:color w:val="auto"/>
              </w:rPr>
              <w:t>K2 Pure Solutions NoCal, L.P.</w:t>
            </w:r>
          </w:p>
        </w:tc>
        <w:tc>
          <w:tcPr>
            <w:tcW w:w="1360" w:type="dxa"/>
            <w:vAlign w:val="bottom"/>
          </w:tcPr>
          <w:p>
            <w:pPr>
              <w:jc w:val="right"/>
              <w:ind w:right="13"/>
              <w:spacing w:after="0" w:line="122" w:lineRule="exact"/>
              <w:rPr>
                <w:sz w:val="20"/>
                <w:szCs w:val="20"/>
                <w:color w:val="auto"/>
              </w:rPr>
            </w:pPr>
            <w:r>
              <w:rPr>
                <w:rFonts w:ascii="Arial" w:cs="Arial" w:eastAsia="Arial" w:hAnsi="Arial"/>
                <w:sz w:val="13"/>
                <w:szCs w:val="13"/>
                <w:color w:val="auto"/>
              </w:rPr>
              <w:t>09/10/2015</w:t>
            </w:r>
          </w:p>
        </w:tc>
        <w:tc>
          <w:tcPr>
            <w:tcW w:w="2100" w:type="dxa"/>
            <w:vAlign w:val="bottom"/>
          </w:tcPr>
          <w:p>
            <w:pPr>
              <w:jc w:val="center"/>
              <w:spacing w:after="0" w:line="122" w:lineRule="exact"/>
              <w:rPr>
                <w:sz w:val="20"/>
                <w:szCs w:val="20"/>
                <w:color w:val="auto"/>
              </w:rPr>
            </w:pPr>
            <w:r>
              <w:rPr>
                <w:rFonts w:ascii="Arial" w:cs="Arial" w:eastAsia="Arial" w:hAnsi="Arial"/>
                <w:sz w:val="13"/>
                <w:szCs w:val="13"/>
                <w:color w:val="auto"/>
                <w:w w:val="92"/>
              </w:rPr>
              <w:t>Chemicals, Plastics and Rubber</w:t>
            </w:r>
          </w:p>
        </w:tc>
        <w:tc>
          <w:tcPr>
            <w:tcW w:w="1060" w:type="dxa"/>
            <w:vAlign w:val="bottom"/>
            <w:gridSpan w:val="2"/>
          </w:tcPr>
          <w:p>
            <w:pPr>
              <w:jc w:val="right"/>
              <w:ind w:right="280"/>
              <w:spacing w:after="0" w:line="122" w:lineRule="exact"/>
              <w:rPr>
                <w:sz w:val="20"/>
                <w:szCs w:val="20"/>
                <w:color w:val="auto"/>
              </w:rPr>
            </w:pPr>
            <w:r>
              <w:rPr>
                <w:rFonts w:ascii="Arial" w:cs="Arial" w:eastAsia="Arial" w:hAnsi="Arial"/>
                <w:sz w:val="13"/>
                <w:szCs w:val="13"/>
                <w:color w:val="auto"/>
              </w:rPr>
              <w:t>10.00%</w:t>
            </w:r>
          </w:p>
        </w:tc>
        <w:tc>
          <w:tcPr>
            <w:tcW w:w="900" w:type="dxa"/>
            <w:vAlign w:val="bottom"/>
            <w:gridSpan w:val="2"/>
            <w:vMerge w:val="continue"/>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w w:val="98"/>
              </w:rPr>
              <w:t>18,952,500</w:t>
            </w:r>
          </w:p>
        </w:tc>
        <w:tc>
          <w:tcPr>
            <w:tcW w:w="80" w:type="dxa"/>
            <w:vAlign w:val="bottom"/>
          </w:tcPr>
          <w:p>
            <w:pPr>
              <w:spacing w:after="0"/>
              <w:rPr>
                <w:sz w:val="10"/>
                <w:szCs w:val="10"/>
                <w:color w:val="auto"/>
              </w:rPr>
            </w:pPr>
          </w:p>
        </w:tc>
        <w:tc>
          <w:tcPr>
            <w:tcW w:w="980" w:type="dxa"/>
            <w:vAlign w:val="bottom"/>
            <w:gridSpan w:val="3"/>
          </w:tcPr>
          <w:p>
            <w:pPr>
              <w:jc w:val="right"/>
              <w:ind w:right="160"/>
              <w:spacing w:after="0" w:line="122" w:lineRule="exact"/>
              <w:rPr>
                <w:sz w:val="20"/>
                <w:szCs w:val="20"/>
                <w:color w:val="auto"/>
              </w:rPr>
            </w:pPr>
            <w:r>
              <w:rPr>
                <w:rFonts w:ascii="Arial" w:cs="Arial" w:eastAsia="Arial" w:hAnsi="Arial"/>
                <w:sz w:val="13"/>
                <w:szCs w:val="13"/>
                <w:color w:val="auto"/>
              </w:rPr>
              <w:t>18,216,865</w:t>
            </w:r>
          </w:p>
        </w:tc>
        <w:tc>
          <w:tcPr>
            <w:tcW w:w="780" w:type="dxa"/>
            <w:vAlign w:val="bottom"/>
          </w:tcPr>
          <w:p>
            <w:pPr>
              <w:jc w:val="right"/>
              <w:spacing w:after="0" w:line="122" w:lineRule="exact"/>
              <w:rPr>
                <w:sz w:val="20"/>
                <w:szCs w:val="20"/>
                <w:color w:val="auto"/>
              </w:rPr>
            </w:pPr>
            <w:r>
              <w:rPr>
                <w:rFonts w:ascii="Arial" w:cs="Arial" w:eastAsia="Arial" w:hAnsi="Arial"/>
                <w:sz w:val="13"/>
                <w:szCs w:val="13"/>
                <w:color w:val="auto"/>
              </w:rPr>
              <w:t>19,236,788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60" w:type="dxa"/>
            <w:vAlign w:val="bottom"/>
          </w:tcPr>
          <w:p>
            <w:pPr>
              <w:spacing w:after="0"/>
              <w:rPr>
                <w:sz w:val="20"/>
                <w:szCs w:val="20"/>
                <w:color w:val="auto"/>
              </w:rPr>
            </w:pPr>
            <w:r>
              <w:rPr>
                <w:rFonts w:ascii="Arial" w:cs="Arial" w:eastAsia="Arial" w:hAnsi="Arial"/>
                <w:sz w:val="13"/>
                <w:szCs w:val="13"/>
                <w:color w:val="auto"/>
              </w:rPr>
              <w:t>Kadmon Pharmaceuticals, LLC</w:t>
            </w:r>
          </w:p>
        </w:tc>
        <w:tc>
          <w:tcPr>
            <w:tcW w:w="1360" w:type="dxa"/>
            <w:vAlign w:val="bottom"/>
          </w:tcPr>
          <w:p>
            <w:pPr>
              <w:jc w:val="right"/>
              <w:ind w:right="13"/>
              <w:spacing w:after="0"/>
              <w:rPr>
                <w:sz w:val="20"/>
                <w:szCs w:val="20"/>
                <w:color w:val="auto"/>
              </w:rPr>
            </w:pPr>
            <w:r>
              <w:rPr>
                <w:rFonts w:ascii="Arial" w:cs="Arial" w:eastAsia="Arial" w:hAnsi="Arial"/>
                <w:sz w:val="13"/>
                <w:szCs w:val="13"/>
                <w:color w:val="auto"/>
              </w:rPr>
              <w:t>10/31/2012</w:t>
            </w:r>
          </w:p>
        </w:tc>
        <w:tc>
          <w:tcPr>
            <w:tcW w:w="2100" w:type="dxa"/>
            <w:vAlign w:val="bottom"/>
          </w:tcPr>
          <w:p>
            <w:pPr>
              <w:jc w:val="center"/>
              <w:spacing w:after="0"/>
              <w:rPr>
                <w:sz w:val="20"/>
                <w:szCs w:val="20"/>
                <w:color w:val="auto"/>
              </w:rPr>
            </w:pPr>
            <w:r>
              <w:rPr>
                <w:rFonts w:ascii="Arial" w:cs="Arial" w:eastAsia="Arial" w:hAnsi="Arial"/>
                <w:sz w:val="13"/>
                <w:szCs w:val="13"/>
                <w:color w:val="auto"/>
                <w:w w:val="92"/>
              </w:rPr>
              <w:t>Healthcare, Education and</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15.00%</w:t>
            </w:r>
          </w:p>
        </w:tc>
        <w:tc>
          <w:tcPr>
            <w:tcW w:w="900" w:type="dxa"/>
            <w:vAlign w:val="bottom"/>
            <w:gridSpan w:val="2"/>
          </w:tcPr>
          <w:p>
            <w:pPr>
              <w:jc w:val="right"/>
              <w:ind w:right="84"/>
              <w:spacing w:after="0" w:line="164" w:lineRule="exact"/>
              <w:rPr>
                <w:sz w:val="20"/>
                <w:szCs w:val="20"/>
                <w:color w:val="auto"/>
              </w:rPr>
            </w:pPr>
            <w:r>
              <w:rPr>
                <w:rFonts w:ascii="Arial" w:cs="Arial" w:eastAsia="Arial" w:hAnsi="Arial"/>
                <w:sz w:val="12"/>
                <w:szCs w:val="12"/>
                <w:color w:val="auto"/>
              </w:rPr>
              <w:t>L+1,300</w:t>
            </w:r>
            <w:r>
              <w:rPr>
                <w:rFonts w:ascii="Arial" w:cs="Arial" w:eastAsia="Arial" w:hAnsi="Arial"/>
                <w:sz w:val="19"/>
                <w:szCs w:val="19"/>
                <w:color w:val="auto"/>
                <w:vertAlign w:val="superscript"/>
              </w:rPr>
              <w:t>(8)</w:t>
            </w:r>
          </w:p>
        </w:tc>
        <w:tc>
          <w:tcPr>
            <w:tcW w:w="660" w:type="dxa"/>
            <w:vAlign w:val="bottom"/>
          </w:tcPr>
          <w:p>
            <w:pPr>
              <w:jc w:val="right"/>
              <w:spacing w:after="0"/>
              <w:rPr>
                <w:sz w:val="20"/>
                <w:szCs w:val="20"/>
                <w:color w:val="auto"/>
              </w:rPr>
            </w:pPr>
            <w:r>
              <w:rPr>
                <w:rFonts w:ascii="Arial" w:cs="Arial" w:eastAsia="Arial" w:hAnsi="Arial"/>
                <w:sz w:val="13"/>
                <w:szCs w:val="13"/>
                <w:color w:val="auto"/>
              </w:rPr>
              <w:t>4,931,494</w:t>
            </w:r>
          </w:p>
        </w:tc>
        <w:tc>
          <w:tcPr>
            <w:tcW w:w="8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4,992,740</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5,110,409</w:t>
            </w:r>
          </w:p>
        </w:tc>
        <w:tc>
          <w:tcPr>
            <w:tcW w:w="0" w:type="dxa"/>
            <w:vAlign w:val="bottom"/>
          </w:tcPr>
          <w:p>
            <w:pPr>
              <w:spacing w:after="0"/>
              <w:rPr>
                <w:sz w:val="1"/>
                <w:szCs w:val="1"/>
                <w:color w:val="auto"/>
              </w:rPr>
            </w:pPr>
          </w:p>
        </w:tc>
      </w:tr>
      <w:tr>
        <w:trPr>
          <w:trHeight w:val="159"/>
        </w:trPr>
        <w:tc>
          <w:tcPr>
            <w:tcW w:w="3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98"/>
              </w:rPr>
              <w:t>Childcare</w:t>
            </w: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20"/>
                <w:szCs w:val="20"/>
                <w:color w:val="auto"/>
              </w:rPr>
            </w:pPr>
            <w:r>
              <w:rPr>
                <w:rFonts w:ascii="Arial" w:cs="Arial" w:eastAsia="Arial" w:hAnsi="Arial"/>
                <w:sz w:val="13"/>
                <w:szCs w:val="13"/>
                <w:color w:val="auto"/>
              </w:rPr>
              <w:t>Learning Care Group, Inc.</w:t>
            </w:r>
          </w:p>
        </w:tc>
        <w:tc>
          <w:tcPr>
            <w:tcW w:w="1360" w:type="dxa"/>
            <w:vAlign w:val="bottom"/>
          </w:tcPr>
          <w:p>
            <w:pPr>
              <w:jc w:val="right"/>
              <w:ind w:right="13"/>
              <w:spacing w:after="0"/>
              <w:rPr>
                <w:sz w:val="20"/>
                <w:szCs w:val="20"/>
                <w:color w:val="auto"/>
              </w:rPr>
            </w:pPr>
            <w:r>
              <w:rPr>
                <w:rFonts w:ascii="Arial" w:cs="Arial" w:eastAsia="Arial" w:hAnsi="Arial"/>
                <w:sz w:val="13"/>
                <w:szCs w:val="13"/>
                <w:color w:val="auto"/>
              </w:rPr>
              <w:t>04/27/2016</w:t>
            </w:r>
          </w:p>
        </w:tc>
        <w:tc>
          <w:tcPr>
            <w:tcW w:w="2100" w:type="dxa"/>
            <w:vAlign w:val="bottom"/>
          </w:tcPr>
          <w:p>
            <w:pPr>
              <w:jc w:val="center"/>
              <w:spacing w:after="0"/>
              <w:rPr>
                <w:sz w:val="20"/>
                <w:szCs w:val="20"/>
                <w:color w:val="auto"/>
              </w:rPr>
            </w:pPr>
            <w:r>
              <w:rPr>
                <w:rFonts w:ascii="Arial" w:cs="Arial" w:eastAsia="Arial" w:hAnsi="Arial"/>
                <w:sz w:val="13"/>
                <w:szCs w:val="13"/>
                <w:color w:val="auto"/>
                <w:w w:val="93"/>
              </w:rPr>
              <w:t>Education</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12.00%</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84"/>
              <w:spacing w:after="0"/>
              <w:rPr>
                <w:sz w:val="20"/>
                <w:szCs w:val="20"/>
                <w:color w:val="auto"/>
              </w:rPr>
            </w:pPr>
            <w:r>
              <w:rPr>
                <w:rFonts w:ascii="Arial" w:cs="Arial" w:eastAsia="Arial" w:hAnsi="Arial"/>
                <w:sz w:val="11"/>
                <w:szCs w:val="11"/>
                <w:color w:val="auto"/>
                <w:w w:val="74"/>
              </w:rPr>
              <w:t>(8)</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26,052,632</w:t>
            </w:r>
          </w:p>
        </w:tc>
        <w:tc>
          <w:tcPr>
            <w:tcW w:w="8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25,640,832</w:t>
            </w:r>
          </w:p>
        </w:tc>
        <w:tc>
          <w:tcPr>
            <w:tcW w:w="780" w:type="dxa"/>
            <w:vAlign w:val="bottom"/>
          </w:tcPr>
          <w:p>
            <w:pPr>
              <w:jc w:val="right"/>
              <w:spacing w:after="0"/>
              <w:rPr>
                <w:sz w:val="20"/>
                <w:szCs w:val="20"/>
                <w:color w:val="auto"/>
              </w:rPr>
            </w:pPr>
            <w:r>
              <w:rPr>
                <w:rFonts w:ascii="Arial" w:cs="Arial" w:eastAsia="Arial" w:hAnsi="Arial"/>
                <w:sz w:val="13"/>
                <w:szCs w:val="13"/>
                <w:color w:val="auto"/>
              </w:rPr>
              <w:t>25,857,237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260" w:type="dxa"/>
            <w:vAlign w:val="bottom"/>
          </w:tcPr>
          <w:p>
            <w:pPr>
              <w:spacing w:after="0" w:line="138" w:lineRule="exact"/>
              <w:rPr>
                <w:sz w:val="20"/>
                <w:szCs w:val="20"/>
                <w:color w:val="auto"/>
              </w:rPr>
            </w:pPr>
            <w:r>
              <w:rPr>
                <w:rFonts w:ascii="Arial" w:cs="Arial" w:eastAsia="Arial" w:hAnsi="Arial"/>
                <w:sz w:val="13"/>
                <w:szCs w:val="13"/>
                <w:color w:val="auto"/>
              </w:rPr>
              <w:t>Penton Media, Inc.</w:t>
            </w:r>
          </w:p>
        </w:tc>
        <w:tc>
          <w:tcPr>
            <w:tcW w:w="13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08/01/2014</w:t>
            </w:r>
          </w:p>
        </w:tc>
        <w:tc>
          <w:tcPr>
            <w:tcW w:w="2100" w:type="dxa"/>
            <w:vAlign w:val="bottom"/>
          </w:tcPr>
          <w:p>
            <w:pPr>
              <w:jc w:val="center"/>
              <w:spacing w:after="0" w:line="138" w:lineRule="exact"/>
              <w:rPr>
                <w:sz w:val="20"/>
                <w:szCs w:val="20"/>
                <w:color w:val="auto"/>
              </w:rPr>
            </w:pPr>
            <w:r>
              <w:rPr>
                <w:rFonts w:ascii="Arial" w:cs="Arial" w:eastAsia="Arial" w:hAnsi="Arial"/>
                <w:sz w:val="13"/>
                <w:szCs w:val="13"/>
                <w:color w:val="auto"/>
                <w:w w:val="97"/>
              </w:rPr>
              <w:t>Other Media</w:t>
            </w:r>
          </w:p>
        </w:tc>
        <w:tc>
          <w:tcPr>
            <w:tcW w:w="1060" w:type="dxa"/>
            <w:vAlign w:val="bottom"/>
            <w:gridSpan w:val="2"/>
          </w:tcPr>
          <w:p>
            <w:pPr>
              <w:jc w:val="right"/>
              <w:ind w:right="280"/>
              <w:spacing w:after="0" w:line="138" w:lineRule="exact"/>
              <w:rPr>
                <w:sz w:val="20"/>
                <w:szCs w:val="20"/>
                <w:color w:val="auto"/>
              </w:rPr>
            </w:pPr>
            <w:r>
              <w:rPr>
                <w:rFonts w:ascii="Arial" w:cs="Arial" w:eastAsia="Arial" w:hAnsi="Arial"/>
                <w:sz w:val="13"/>
                <w:szCs w:val="13"/>
                <w:color w:val="auto"/>
              </w:rPr>
              <w:t>5.00%</w:t>
            </w:r>
          </w:p>
        </w:tc>
        <w:tc>
          <w:tcPr>
            <w:tcW w:w="900" w:type="dxa"/>
            <w:vAlign w:val="bottom"/>
            <w:gridSpan w:val="2"/>
          </w:tcPr>
          <w:p>
            <w:pPr>
              <w:jc w:val="right"/>
              <w:ind w:right="204"/>
              <w:spacing w:after="0" w:line="138" w:lineRule="exact"/>
              <w:rPr>
                <w:sz w:val="20"/>
                <w:szCs w:val="20"/>
                <w:color w:val="auto"/>
              </w:rPr>
            </w:pPr>
            <w:r>
              <w:rPr>
                <w:rFonts w:ascii="Arial" w:cs="Arial" w:eastAsia="Arial" w:hAnsi="Arial"/>
                <w:sz w:val="13"/>
                <w:szCs w:val="13"/>
                <w:color w:val="auto"/>
              </w:rPr>
              <w:t>L+400</w:t>
            </w: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37,775,294</w:t>
            </w:r>
          </w:p>
        </w:tc>
        <w:tc>
          <w:tcPr>
            <w:tcW w:w="80" w:type="dxa"/>
            <w:vAlign w:val="bottom"/>
          </w:tcPr>
          <w:p>
            <w:pPr>
              <w:spacing w:after="0"/>
              <w:rPr>
                <w:sz w:val="11"/>
                <w:szCs w:val="11"/>
                <w:color w:val="auto"/>
              </w:rPr>
            </w:pPr>
          </w:p>
        </w:tc>
        <w:tc>
          <w:tcPr>
            <w:tcW w:w="98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33,971,917</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30,503,550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(PIK 1.00%)</w:t>
            </w:r>
          </w:p>
        </w:tc>
        <w:tc>
          <w:tcPr>
            <w:tcW w:w="900" w:type="dxa"/>
            <w:vAlign w:val="bottom"/>
            <w:gridSpan w:val="2"/>
            <w:vMerge w:val="restart"/>
          </w:tcPr>
          <w:p>
            <w:pPr>
              <w:jc w:val="right"/>
              <w:ind w:right="84"/>
              <w:spacing w:after="0"/>
              <w:rPr>
                <w:sz w:val="20"/>
                <w:szCs w:val="20"/>
                <w:color w:val="auto"/>
              </w:rPr>
            </w:pPr>
            <w:r>
              <w:rPr>
                <w:rFonts w:ascii="Arial" w:cs="Arial" w:eastAsia="Arial" w:hAnsi="Arial"/>
                <w:sz w:val="13"/>
                <w:szCs w:val="13"/>
                <w:color w:val="auto"/>
              </w:rPr>
              <w:t>L+600</w:t>
            </w:r>
            <w:r>
              <w:rPr>
                <w:rFonts w:ascii="Arial" w:cs="Arial" w:eastAsia="Arial" w:hAnsi="Arial"/>
                <w:sz w:val="22"/>
                <w:szCs w:val="22"/>
                <w:color w:val="auto"/>
                <w:vertAlign w:val="superscript"/>
              </w:rPr>
              <w:t>(8)</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260" w:type="dxa"/>
            <w:vAlign w:val="bottom"/>
          </w:tcPr>
          <w:p>
            <w:pPr>
              <w:spacing w:after="0" w:line="138" w:lineRule="exact"/>
              <w:rPr>
                <w:sz w:val="20"/>
                <w:szCs w:val="20"/>
                <w:color w:val="auto"/>
              </w:rPr>
            </w:pPr>
            <w:r>
              <w:rPr>
                <w:rFonts w:ascii="Arial" w:cs="Arial" w:eastAsia="Arial" w:hAnsi="Arial"/>
                <w:sz w:val="13"/>
                <w:szCs w:val="13"/>
                <w:color w:val="auto"/>
              </w:rPr>
              <w:t>Pre-Paid Legal Services, Inc., Tranche A</w:t>
            </w:r>
          </w:p>
        </w:tc>
        <w:tc>
          <w:tcPr>
            <w:tcW w:w="13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12/30/2016</w:t>
            </w:r>
          </w:p>
        </w:tc>
        <w:tc>
          <w:tcPr>
            <w:tcW w:w="2100" w:type="dxa"/>
            <w:vAlign w:val="bottom"/>
          </w:tcPr>
          <w:p>
            <w:pPr>
              <w:jc w:val="center"/>
              <w:spacing w:after="0" w:line="138" w:lineRule="exact"/>
              <w:rPr>
                <w:sz w:val="20"/>
                <w:szCs w:val="20"/>
                <w:color w:val="auto"/>
              </w:rPr>
            </w:pPr>
            <w:r>
              <w:rPr>
                <w:rFonts w:ascii="Arial" w:cs="Arial" w:eastAsia="Arial" w:hAnsi="Arial"/>
                <w:sz w:val="13"/>
                <w:szCs w:val="13"/>
                <w:color w:val="auto"/>
                <w:w w:val="91"/>
              </w:rPr>
              <w:t>Personal, Food and</w:t>
            </w:r>
          </w:p>
        </w:tc>
        <w:tc>
          <w:tcPr>
            <w:tcW w:w="1060" w:type="dxa"/>
            <w:vAlign w:val="bottom"/>
            <w:gridSpan w:val="2"/>
          </w:tcPr>
          <w:p>
            <w:pPr>
              <w:jc w:val="right"/>
              <w:ind w:right="280"/>
              <w:spacing w:after="0" w:line="138" w:lineRule="exact"/>
              <w:rPr>
                <w:sz w:val="20"/>
                <w:szCs w:val="20"/>
                <w:color w:val="auto"/>
              </w:rPr>
            </w:pPr>
            <w:r>
              <w:rPr>
                <w:rFonts w:ascii="Arial" w:cs="Arial" w:eastAsia="Arial" w:hAnsi="Arial"/>
                <w:sz w:val="13"/>
                <w:szCs w:val="13"/>
                <w:color w:val="auto"/>
              </w:rPr>
              <w:t>7.50%</w:t>
            </w:r>
          </w:p>
        </w:tc>
        <w:tc>
          <w:tcPr>
            <w:tcW w:w="900" w:type="dxa"/>
            <w:vAlign w:val="bottom"/>
            <w:gridSpan w:val="2"/>
            <w:vMerge w:val="continue"/>
          </w:tcPr>
          <w:p>
            <w:pPr>
              <w:spacing w:after="0"/>
              <w:rPr>
                <w:sz w:val="12"/>
                <w:szCs w:val="12"/>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rPr>
              <w:t>1,552,846</w:t>
            </w:r>
          </w:p>
        </w:tc>
        <w:tc>
          <w:tcPr>
            <w:tcW w:w="80" w:type="dxa"/>
            <w:vAlign w:val="bottom"/>
          </w:tcPr>
          <w:p>
            <w:pPr>
              <w:spacing w:after="0"/>
              <w:rPr>
                <w:sz w:val="12"/>
                <w:szCs w:val="12"/>
                <w:color w:val="auto"/>
              </w:rPr>
            </w:pPr>
          </w:p>
        </w:tc>
        <w:tc>
          <w:tcPr>
            <w:tcW w:w="98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1,533,687</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1,556,728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92"/>
              </w:rPr>
              <w:t>Miscellaneous Services</w:t>
            </w: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gridSpan w:val="2"/>
            <w:vMerge w:val="restart"/>
          </w:tcPr>
          <w:p>
            <w:pPr>
              <w:jc w:val="right"/>
              <w:ind w:right="84"/>
              <w:spacing w:after="0"/>
              <w:rPr>
                <w:sz w:val="20"/>
                <w:szCs w:val="20"/>
                <w:color w:val="auto"/>
              </w:rPr>
            </w:pPr>
            <w:r>
              <w:rPr>
                <w:rFonts w:ascii="Arial" w:cs="Arial" w:eastAsia="Arial" w:hAnsi="Arial"/>
                <w:sz w:val="13"/>
                <w:szCs w:val="13"/>
                <w:color w:val="auto"/>
              </w:rPr>
              <w:t>L+950</w:t>
            </w:r>
            <w:r>
              <w:rPr>
                <w:rFonts w:ascii="Arial" w:cs="Arial" w:eastAsia="Arial" w:hAnsi="Arial"/>
                <w:sz w:val="22"/>
                <w:szCs w:val="22"/>
                <w:color w:val="auto"/>
                <w:vertAlign w:val="superscript"/>
              </w:rPr>
              <w:t>(8)</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260" w:type="dxa"/>
            <w:vAlign w:val="bottom"/>
          </w:tcPr>
          <w:p>
            <w:pPr>
              <w:spacing w:after="0" w:line="138" w:lineRule="exact"/>
              <w:rPr>
                <w:sz w:val="20"/>
                <w:szCs w:val="20"/>
                <w:color w:val="auto"/>
              </w:rPr>
            </w:pPr>
            <w:r>
              <w:rPr>
                <w:rFonts w:ascii="Arial" w:cs="Arial" w:eastAsia="Arial" w:hAnsi="Arial"/>
                <w:sz w:val="13"/>
                <w:szCs w:val="13"/>
                <w:color w:val="auto"/>
              </w:rPr>
              <w:t>Pre-Paid Legal Services, Inc., Tranche B</w:t>
            </w:r>
          </w:p>
        </w:tc>
        <w:tc>
          <w:tcPr>
            <w:tcW w:w="13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12/30/2016</w:t>
            </w:r>
          </w:p>
        </w:tc>
        <w:tc>
          <w:tcPr>
            <w:tcW w:w="2100" w:type="dxa"/>
            <w:vAlign w:val="bottom"/>
          </w:tcPr>
          <w:p>
            <w:pPr>
              <w:jc w:val="center"/>
              <w:spacing w:after="0" w:line="138" w:lineRule="exact"/>
              <w:rPr>
                <w:sz w:val="20"/>
                <w:szCs w:val="20"/>
                <w:color w:val="auto"/>
              </w:rPr>
            </w:pPr>
            <w:r>
              <w:rPr>
                <w:rFonts w:ascii="Arial" w:cs="Arial" w:eastAsia="Arial" w:hAnsi="Arial"/>
                <w:sz w:val="13"/>
                <w:szCs w:val="13"/>
                <w:color w:val="auto"/>
                <w:w w:val="91"/>
              </w:rPr>
              <w:t>Personal, Food and</w:t>
            </w:r>
          </w:p>
        </w:tc>
        <w:tc>
          <w:tcPr>
            <w:tcW w:w="1060" w:type="dxa"/>
            <w:vAlign w:val="bottom"/>
            <w:gridSpan w:val="2"/>
          </w:tcPr>
          <w:p>
            <w:pPr>
              <w:jc w:val="right"/>
              <w:ind w:right="280"/>
              <w:spacing w:after="0" w:line="138" w:lineRule="exact"/>
              <w:rPr>
                <w:sz w:val="20"/>
                <w:szCs w:val="20"/>
                <w:color w:val="auto"/>
              </w:rPr>
            </w:pPr>
            <w:r>
              <w:rPr>
                <w:rFonts w:ascii="Arial" w:cs="Arial" w:eastAsia="Arial" w:hAnsi="Arial"/>
                <w:sz w:val="13"/>
                <w:szCs w:val="13"/>
                <w:color w:val="auto"/>
              </w:rPr>
              <w:t>11.00%</w:t>
            </w:r>
          </w:p>
        </w:tc>
        <w:tc>
          <w:tcPr>
            <w:tcW w:w="900" w:type="dxa"/>
            <w:vAlign w:val="bottom"/>
            <w:gridSpan w:val="2"/>
            <w:vMerge w:val="continue"/>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35,000,000</w:t>
            </w:r>
          </w:p>
        </w:tc>
        <w:tc>
          <w:tcPr>
            <w:tcW w:w="80" w:type="dxa"/>
            <w:vAlign w:val="bottom"/>
          </w:tcPr>
          <w:p>
            <w:pPr>
              <w:spacing w:after="0"/>
              <w:rPr>
                <w:sz w:val="11"/>
                <w:szCs w:val="11"/>
                <w:color w:val="auto"/>
              </w:rPr>
            </w:pPr>
          </w:p>
        </w:tc>
        <w:tc>
          <w:tcPr>
            <w:tcW w:w="98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34,118,800</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35,350,000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60" w:type="dxa"/>
            <w:vAlign w:val="bottom"/>
            <w:vMerge w:val="restart"/>
          </w:tcPr>
          <w:p>
            <w:pPr>
              <w:spacing w:after="0"/>
              <w:rPr>
                <w:sz w:val="20"/>
                <w:szCs w:val="20"/>
                <w:color w:val="auto"/>
              </w:rPr>
            </w:pPr>
            <w:r>
              <w:rPr>
                <w:rFonts w:ascii="Arial" w:cs="Arial" w:eastAsia="Arial" w:hAnsi="Arial"/>
                <w:sz w:val="13"/>
                <w:szCs w:val="13"/>
                <w:color w:val="auto"/>
              </w:rPr>
              <w:t xml:space="preserve">Questex Media Group LLC </w:t>
            </w:r>
            <w:r>
              <w:rPr>
                <w:rFonts w:ascii="Arial" w:cs="Arial" w:eastAsia="Arial" w:hAnsi="Arial"/>
                <w:sz w:val="22"/>
                <w:szCs w:val="22"/>
                <w:color w:val="auto"/>
                <w:vertAlign w:val="superscript"/>
              </w:rPr>
              <w:t>(9)</w:t>
            </w:r>
          </w:p>
        </w:tc>
        <w:tc>
          <w:tcPr>
            <w:tcW w:w="136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92"/>
              </w:rPr>
              <w:t>Miscellaneous Services</w:t>
            </w: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60" w:type="dxa"/>
            <w:vAlign w:val="bottom"/>
            <w:vMerge w:val="continue"/>
          </w:tcPr>
          <w:p>
            <w:pPr>
              <w:spacing w:after="0"/>
              <w:rPr>
                <w:sz w:val="12"/>
                <w:szCs w:val="12"/>
                <w:color w:val="auto"/>
              </w:rPr>
            </w:pPr>
          </w:p>
        </w:tc>
        <w:tc>
          <w:tcPr>
            <w:tcW w:w="1360" w:type="dxa"/>
            <w:vAlign w:val="bottom"/>
          </w:tcPr>
          <w:p>
            <w:pPr>
              <w:jc w:val="right"/>
              <w:ind w:right="13"/>
              <w:spacing w:after="0"/>
              <w:rPr>
                <w:sz w:val="20"/>
                <w:szCs w:val="20"/>
                <w:color w:val="auto"/>
              </w:rPr>
            </w:pPr>
            <w:r>
              <w:rPr>
                <w:rFonts w:ascii="Arial" w:cs="Arial" w:eastAsia="Arial" w:hAnsi="Arial"/>
                <w:sz w:val="13"/>
                <w:szCs w:val="13"/>
                <w:color w:val="auto"/>
              </w:rPr>
              <w:t>12/16/2012</w:t>
            </w:r>
          </w:p>
        </w:tc>
        <w:tc>
          <w:tcPr>
            <w:tcW w:w="2100" w:type="dxa"/>
            <w:vAlign w:val="bottom"/>
          </w:tcPr>
          <w:p>
            <w:pPr>
              <w:jc w:val="center"/>
              <w:spacing w:after="0"/>
              <w:rPr>
                <w:sz w:val="20"/>
                <w:szCs w:val="20"/>
                <w:color w:val="auto"/>
              </w:rPr>
            </w:pPr>
            <w:r>
              <w:rPr>
                <w:rFonts w:ascii="Arial" w:cs="Arial" w:eastAsia="Arial" w:hAnsi="Arial"/>
                <w:sz w:val="13"/>
                <w:szCs w:val="13"/>
                <w:color w:val="auto"/>
                <w:w w:val="97"/>
              </w:rPr>
              <w:t>Other Media</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1.36%</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jc w:val="right"/>
              <w:ind w:right="84"/>
              <w:spacing w:after="0"/>
              <w:rPr>
                <w:sz w:val="20"/>
                <w:szCs w:val="20"/>
                <w:color w:val="auto"/>
              </w:rPr>
            </w:pPr>
            <w:r>
              <w:rPr>
                <w:rFonts w:ascii="Arial" w:cs="Arial" w:eastAsia="Arial" w:hAnsi="Arial"/>
                <w:sz w:val="11"/>
                <w:szCs w:val="11"/>
                <w:color w:val="auto"/>
                <w:w w:val="74"/>
              </w:rPr>
              <w:t>(8)</w:t>
            </w:r>
          </w:p>
        </w:tc>
        <w:tc>
          <w:tcPr>
            <w:tcW w:w="660" w:type="dxa"/>
            <w:vAlign w:val="bottom"/>
          </w:tcPr>
          <w:p>
            <w:pPr>
              <w:jc w:val="right"/>
              <w:spacing w:after="0"/>
              <w:rPr>
                <w:sz w:val="20"/>
                <w:szCs w:val="20"/>
                <w:color w:val="auto"/>
              </w:rPr>
            </w:pPr>
            <w:r>
              <w:rPr>
                <w:rFonts w:ascii="Arial" w:cs="Arial" w:eastAsia="Arial" w:hAnsi="Arial"/>
                <w:sz w:val="13"/>
                <w:szCs w:val="13"/>
                <w:color w:val="auto"/>
              </w:rPr>
              <w:t>133,603</w:t>
            </w:r>
          </w:p>
        </w:tc>
        <w:tc>
          <w:tcPr>
            <w:tcW w:w="8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133,603</w:t>
            </w:r>
          </w:p>
        </w:tc>
        <w:tc>
          <w:tcPr>
            <w:tcW w:w="780" w:type="dxa"/>
            <w:vAlign w:val="bottom"/>
          </w:tcPr>
          <w:p>
            <w:pPr>
              <w:jc w:val="right"/>
              <w:spacing w:after="0"/>
              <w:rPr>
                <w:sz w:val="20"/>
                <w:szCs w:val="20"/>
                <w:color w:val="auto"/>
              </w:rPr>
            </w:pPr>
            <w:r>
              <w:rPr>
                <w:rFonts w:ascii="Arial" w:cs="Arial" w:eastAsia="Arial" w:hAnsi="Arial"/>
                <w:sz w:val="13"/>
                <w:szCs w:val="13"/>
                <w:color w:val="auto"/>
              </w:rPr>
              <w:t>133,603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260" w:type="dxa"/>
            <w:vAlign w:val="bottom"/>
            <w:vMerge w:val="restart"/>
          </w:tcPr>
          <w:p>
            <w:pPr>
              <w:spacing w:after="0" w:line="122" w:lineRule="exact"/>
              <w:rPr>
                <w:sz w:val="20"/>
                <w:szCs w:val="20"/>
                <w:color w:val="auto"/>
              </w:rPr>
            </w:pPr>
            <w:r>
              <w:rPr>
                <w:rFonts w:ascii="Arial" w:cs="Arial" w:eastAsia="Arial" w:hAnsi="Arial"/>
                <w:sz w:val="13"/>
                <w:szCs w:val="13"/>
                <w:color w:val="auto"/>
              </w:rPr>
              <w:t>Tekelec Global Inc. (First Out)</w:t>
            </w:r>
          </w:p>
        </w:tc>
        <w:tc>
          <w:tcPr>
            <w:tcW w:w="1360" w:type="dxa"/>
            <w:vAlign w:val="bottom"/>
            <w:vMerge w:val="restart"/>
          </w:tcPr>
          <w:p>
            <w:pPr>
              <w:jc w:val="right"/>
              <w:ind w:right="13"/>
              <w:spacing w:after="0" w:line="122" w:lineRule="exact"/>
              <w:rPr>
                <w:sz w:val="20"/>
                <w:szCs w:val="20"/>
                <w:color w:val="auto"/>
              </w:rPr>
            </w:pPr>
            <w:r>
              <w:rPr>
                <w:rFonts w:ascii="Arial" w:cs="Arial" w:eastAsia="Arial" w:hAnsi="Arial"/>
                <w:sz w:val="13"/>
                <w:szCs w:val="13"/>
                <w:color w:val="auto"/>
              </w:rPr>
              <w:t>01/29/2018</w:t>
            </w:r>
          </w:p>
        </w:tc>
        <w:tc>
          <w:tcPr>
            <w:tcW w:w="2100" w:type="dxa"/>
            <w:vAlign w:val="bottom"/>
            <w:vMerge w:val="restart"/>
          </w:tcPr>
          <w:p>
            <w:pPr>
              <w:jc w:val="center"/>
              <w:spacing w:after="0" w:line="122" w:lineRule="exact"/>
              <w:rPr>
                <w:sz w:val="20"/>
                <w:szCs w:val="20"/>
                <w:color w:val="auto"/>
              </w:rPr>
            </w:pPr>
            <w:r>
              <w:rPr>
                <w:rFonts w:ascii="Arial" w:cs="Arial" w:eastAsia="Arial" w:hAnsi="Arial"/>
                <w:sz w:val="13"/>
                <w:szCs w:val="13"/>
                <w:color w:val="auto"/>
                <w:w w:val="93"/>
              </w:rPr>
              <w:t>Telecommunications</w:t>
            </w:r>
          </w:p>
        </w:tc>
        <w:tc>
          <w:tcPr>
            <w:tcW w:w="1060" w:type="dxa"/>
            <w:vAlign w:val="bottom"/>
            <w:gridSpan w:val="2"/>
            <w:vMerge w:val="restart"/>
          </w:tcPr>
          <w:p>
            <w:pPr>
              <w:jc w:val="right"/>
              <w:ind w:right="280"/>
              <w:spacing w:after="0" w:line="122" w:lineRule="exact"/>
              <w:rPr>
                <w:sz w:val="20"/>
                <w:szCs w:val="20"/>
                <w:color w:val="auto"/>
              </w:rPr>
            </w:pPr>
            <w:r>
              <w:rPr>
                <w:rFonts w:ascii="Arial" w:cs="Arial" w:eastAsia="Arial" w:hAnsi="Arial"/>
                <w:sz w:val="13"/>
                <w:szCs w:val="13"/>
                <w:color w:val="auto"/>
              </w:rPr>
              <w:t>9.00%</w:t>
            </w:r>
          </w:p>
        </w:tc>
        <w:tc>
          <w:tcPr>
            <w:tcW w:w="64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660" w:type="dxa"/>
            <w:vAlign w:val="bottom"/>
            <w:vMerge w:val="restart"/>
          </w:tcPr>
          <w:p>
            <w:pPr>
              <w:jc w:val="right"/>
              <w:spacing w:after="0" w:line="122" w:lineRule="exact"/>
              <w:rPr>
                <w:sz w:val="20"/>
                <w:szCs w:val="20"/>
                <w:color w:val="auto"/>
              </w:rPr>
            </w:pPr>
            <w:r>
              <w:rPr>
                <w:rFonts w:ascii="Arial" w:cs="Arial" w:eastAsia="Arial" w:hAnsi="Arial"/>
                <w:sz w:val="13"/>
                <w:szCs w:val="13"/>
                <w:color w:val="auto"/>
              </w:rPr>
              <w:t>850,000</w:t>
            </w:r>
          </w:p>
        </w:tc>
        <w:tc>
          <w:tcPr>
            <w:tcW w:w="80" w:type="dxa"/>
            <w:vAlign w:val="bottom"/>
          </w:tcPr>
          <w:p>
            <w:pPr>
              <w:spacing w:after="0"/>
              <w:rPr>
                <w:sz w:val="4"/>
                <w:szCs w:val="4"/>
                <w:color w:val="auto"/>
              </w:rPr>
            </w:pPr>
          </w:p>
        </w:tc>
        <w:tc>
          <w:tcPr>
            <w:tcW w:w="980" w:type="dxa"/>
            <w:vAlign w:val="bottom"/>
            <w:gridSpan w:val="3"/>
            <w:vMerge w:val="restart"/>
          </w:tcPr>
          <w:p>
            <w:pPr>
              <w:jc w:val="right"/>
              <w:ind w:right="160"/>
              <w:spacing w:after="0" w:line="122" w:lineRule="exact"/>
              <w:rPr>
                <w:sz w:val="20"/>
                <w:szCs w:val="20"/>
                <w:color w:val="auto"/>
              </w:rPr>
            </w:pPr>
            <w:r>
              <w:rPr>
                <w:rFonts w:ascii="Arial" w:cs="Arial" w:eastAsia="Arial" w:hAnsi="Arial"/>
                <w:sz w:val="13"/>
                <w:szCs w:val="13"/>
                <w:color w:val="auto"/>
              </w:rPr>
              <w:t>838,369</w:t>
            </w:r>
          </w:p>
        </w:tc>
        <w:tc>
          <w:tcPr>
            <w:tcW w:w="780" w:type="dxa"/>
            <w:vAlign w:val="bottom"/>
            <w:vMerge w:val="restart"/>
          </w:tcPr>
          <w:p>
            <w:pPr>
              <w:jc w:val="right"/>
              <w:spacing w:after="0" w:line="122" w:lineRule="exact"/>
              <w:rPr>
                <w:sz w:val="20"/>
                <w:szCs w:val="20"/>
                <w:color w:val="auto"/>
              </w:rPr>
            </w:pPr>
            <w:r>
              <w:rPr>
                <w:rFonts w:ascii="Arial" w:cs="Arial" w:eastAsia="Arial" w:hAnsi="Arial"/>
                <w:sz w:val="13"/>
                <w:szCs w:val="13"/>
                <w:color w:val="auto"/>
              </w:rPr>
              <w:t>850,000</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326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210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00" w:type="dxa"/>
            <w:vAlign w:val="bottom"/>
            <w:gridSpan w:val="2"/>
          </w:tcPr>
          <w:p>
            <w:pPr>
              <w:jc w:val="right"/>
              <w:ind w:right="204"/>
              <w:spacing w:after="0" w:line="68" w:lineRule="exact"/>
              <w:rPr>
                <w:sz w:val="20"/>
                <w:szCs w:val="20"/>
                <w:color w:val="auto"/>
              </w:rPr>
            </w:pPr>
            <w:r>
              <w:rPr>
                <w:rFonts w:ascii="Arial" w:cs="Arial" w:eastAsia="Arial" w:hAnsi="Arial"/>
                <w:sz w:val="7"/>
                <w:szCs w:val="7"/>
                <w:color w:val="auto"/>
              </w:rPr>
              <w:t>L+750</w:t>
            </w: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20"/>
                <w:szCs w:val="20"/>
                <w:color w:val="auto"/>
              </w:rPr>
            </w:pPr>
            <w:r>
              <w:rPr>
                <w:rFonts w:ascii="Arial" w:cs="Arial" w:eastAsia="Arial" w:hAnsi="Arial"/>
                <w:sz w:val="13"/>
                <w:szCs w:val="13"/>
                <w:color w:val="auto"/>
              </w:rPr>
              <w:t>Tekelec Global Inc. (Second Out)</w:t>
            </w:r>
          </w:p>
        </w:tc>
        <w:tc>
          <w:tcPr>
            <w:tcW w:w="1360" w:type="dxa"/>
            <w:vAlign w:val="bottom"/>
          </w:tcPr>
          <w:p>
            <w:pPr>
              <w:jc w:val="right"/>
              <w:ind w:right="13"/>
              <w:spacing w:after="0"/>
              <w:rPr>
                <w:sz w:val="20"/>
                <w:szCs w:val="20"/>
                <w:color w:val="auto"/>
              </w:rPr>
            </w:pPr>
            <w:r>
              <w:rPr>
                <w:rFonts w:ascii="Arial" w:cs="Arial" w:eastAsia="Arial" w:hAnsi="Arial"/>
                <w:sz w:val="13"/>
                <w:szCs w:val="13"/>
                <w:color w:val="auto"/>
              </w:rPr>
              <w:t>01/29/2018</w:t>
            </w:r>
          </w:p>
        </w:tc>
        <w:tc>
          <w:tcPr>
            <w:tcW w:w="2100" w:type="dxa"/>
            <w:vAlign w:val="bottom"/>
          </w:tcPr>
          <w:p>
            <w:pPr>
              <w:jc w:val="center"/>
              <w:spacing w:after="0"/>
              <w:rPr>
                <w:sz w:val="20"/>
                <w:szCs w:val="20"/>
                <w:color w:val="auto"/>
              </w:rPr>
            </w:pPr>
            <w:r>
              <w:rPr>
                <w:rFonts w:ascii="Arial" w:cs="Arial" w:eastAsia="Arial" w:hAnsi="Arial"/>
                <w:sz w:val="13"/>
                <w:szCs w:val="13"/>
                <w:color w:val="auto"/>
                <w:w w:val="93"/>
              </w:rPr>
              <w:t>Telecommunications</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13.50%</w:t>
            </w:r>
          </w:p>
        </w:tc>
        <w:tc>
          <w:tcPr>
            <w:tcW w:w="900" w:type="dxa"/>
            <w:vAlign w:val="bottom"/>
            <w:gridSpan w:val="2"/>
          </w:tcPr>
          <w:p>
            <w:pPr>
              <w:jc w:val="right"/>
              <w:ind w:right="84"/>
              <w:spacing w:after="0" w:line="149" w:lineRule="exact"/>
              <w:rPr>
                <w:sz w:val="20"/>
                <w:szCs w:val="20"/>
                <w:color w:val="auto"/>
              </w:rPr>
            </w:pPr>
            <w:r>
              <w:rPr>
                <w:rFonts w:ascii="Arial" w:cs="Arial" w:eastAsia="Arial" w:hAnsi="Arial"/>
                <w:sz w:val="11"/>
                <w:szCs w:val="11"/>
                <w:color w:val="auto"/>
              </w:rPr>
              <w:t>L+1,200</w:t>
            </w:r>
            <w:r>
              <w:rPr>
                <w:rFonts w:ascii="Arial" w:cs="Arial" w:eastAsia="Arial" w:hAnsi="Arial"/>
                <w:sz w:val="17"/>
                <w:szCs w:val="17"/>
                <w:color w:val="auto"/>
                <w:vertAlign w:val="superscript"/>
              </w:rPr>
              <w:t>(8)</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10,625,000</w:t>
            </w:r>
          </w:p>
        </w:tc>
        <w:tc>
          <w:tcPr>
            <w:tcW w:w="8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10,338,450</w:t>
            </w:r>
          </w:p>
        </w:tc>
        <w:tc>
          <w:tcPr>
            <w:tcW w:w="780" w:type="dxa"/>
            <w:vAlign w:val="bottom"/>
          </w:tcPr>
          <w:p>
            <w:pPr>
              <w:jc w:val="right"/>
              <w:spacing w:after="0"/>
              <w:rPr>
                <w:sz w:val="20"/>
                <w:szCs w:val="20"/>
                <w:color w:val="auto"/>
              </w:rPr>
            </w:pPr>
            <w:r>
              <w:rPr>
                <w:rFonts w:ascii="Arial" w:cs="Arial" w:eastAsia="Arial" w:hAnsi="Arial"/>
                <w:sz w:val="13"/>
                <w:szCs w:val="13"/>
                <w:color w:val="auto"/>
              </w:rPr>
              <w:t>10,848,126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20"/>
                <w:szCs w:val="20"/>
                <w:color w:val="auto"/>
              </w:rPr>
            </w:pPr>
            <w:r>
              <w:rPr>
                <w:rFonts w:ascii="Arial" w:cs="Arial" w:eastAsia="Arial" w:hAnsi="Arial"/>
                <w:sz w:val="13"/>
                <w:szCs w:val="13"/>
                <w:color w:val="auto"/>
              </w:rPr>
              <w:t>Worley Claims Services, LLC</w:t>
            </w:r>
          </w:p>
        </w:tc>
        <w:tc>
          <w:tcPr>
            <w:tcW w:w="1360" w:type="dxa"/>
            <w:vAlign w:val="bottom"/>
          </w:tcPr>
          <w:p>
            <w:pPr>
              <w:jc w:val="right"/>
              <w:ind w:right="13"/>
              <w:spacing w:after="0"/>
              <w:rPr>
                <w:sz w:val="20"/>
                <w:szCs w:val="20"/>
                <w:color w:val="auto"/>
              </w:rPr>
            </w:pPr>
            <w:r>
              <w:rPr>
                <w:rFonts w:ascii="Arial" w:cs="Arial" w:eastAsia="Arial" w:hAnsi="Arial"/>
                <w:sz w:val="13"/>
                <w:szCs w:val="13"/>
                <w:color w:val="auto"/>
              </w:rPr>
              <w:t>07/06/2017</w:t>
            </w:r>
          </w:p>
        </w:tc>
        <w:tc>
          <w:tcPr>
            <w:tcW w:w="2100" w:type="dxa"/>
            <w:vAlign w:val="bottom"/>
          </w:tcPr>
          <w:p>
            <w:pPr>
              <w:jc w:val="center"/>
              <w:spacing w:after="0"/>
              <w:rPr>
                <w:sz w:val="20"/>
                <w:szCs w:val="20"/>
                <w:color w:val="auto"/>
              </w:rPr>
            </w:pPr>
            <w:r>
              <w:rPr>
                <w:rFonts w:ascii="Arial" w:cs="Arial" w:eastAsia="Arial" w:hAnsi="Arial"/>
                <w:sz w:val="13"/>
                <w:szCs w:val="13"/>
                <w:color w:val="auto"/>
                <w:w w:val="94"/>
              </w:rPr>
              <w:t>Insurance</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12.50%</w:t>
            </w:r>
          </w:p>
        </w:tc>
        <w:tc>
          <w:tcPr>
            <w:tcW w:w="900" w:type="dxa"/>
            <w:vAlign w:val="bottom"/>
            <w:gridSpan w:val="2"/>
          </w:tcPr>
          <w:p>
            <w:pPr>
              <w:jc w:val="right"/>
              <w:ind w:right="84"/>
              <w:spacing w:after="0" w:line="176" w:lineRule="exact"/>
              <w:rPr>
                <w:sz w:val="20"/>
                <w:szCs w:val="20"/>
                <w:color w:val="auto"/>
              </w:rPr>
            </w:pPr>
            <w:r>
              <w:rPr>
                <w:rFonts w:ascii="Arial" w:cs="Arial" w:eastAsia="Arial" w:hAnsi="Arial"/>
                <w:sz w:val="12"/>
                <w:szCs w:val="12"/>
                <w:color w:val="auto"/>
              </w:rPr>
              <w:t>L+1,100</w:t>
            </w:r>
            <w:r>
              <w:rPr>
                <w:rFonts w:ascii="Arial" w:cs="Arial" w:eastAsia="Arial" w:hAnsi="Arial"/>
                <w:sz w:val="20"/>
                <w:szCs w:val="20"/>
                <w:color w:val="auto"/>
                <w:vertAlign w:val="superscript"/>
              </w:rPr>
              <w:t>(8)</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14,934,000</w:t>
            </w:r>
          </w:p>
        </w:tc>
        <w:tc>
          <w:tcPr>
            <w:tcW w:w="8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14,934,000</w:t>
            </w:r>
          </w:p>
        </w:tc>
        <w:tc>
          <w:tcPr>
            <w:tcW w:w="780" w:type="dxa"/>
            <w:vAlign w:val="bottom"/>
          </w:tcPr>
          <w:p>
            <w:pPr>
              <w:jc w:val="right"/>
              <w:spacing w:after="0"/>
              <w:rPr>
                <w:sz w:val="20"/>
                <w:szCs w:val="20"/>
                <w:color w:val="auto"/>
              </w:rPr>
            </w:pPr>
            <w:r>
              <w:rPr>
                <w:rFonts w:ascii="Arial" w:cs="Arial" w:eastAsia="Arial" w:hAnsi="Arial"/>
                <w:sz w:val="13"/>
                <w:szCs w:val="13"/>
                <w:color w:val="auto"/>
              </w:rPr>
              <w:t>14,859,330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 </w:t>
            </w:r>
            <w:r>
              <w:rPr>
                <w:rFonts w:ascii="Arial" w:cs="Arial" w:eastAsia="Arial" w:hAnsi="Arial"/>
                <w:sz w:val="17"/>
                <w:szCs w:val="17"/>
                <w:color w:val="auto"/>
                <w:vertAlign w:val="superscript"/>
              </w:rPr>
              <w:t>(5)</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07/15/2016</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Hotels, Motels, Inns and Gaming</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11.38%</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4,401,515</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3"/>
                <w:szCs w:val="13"/>
                <w:b w:val="1"/>
                <w:bCs w:val="1"/>
                <w:color w:val="auto"/>
              </w:rPr>
              <w:t>Total First Lien Secured Debt</w:t>
            </w:r>
          </w:p>
        </w:tc>
        <w:tc>
          <w:tcPr>
            <w:tcW w:w="1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6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w w:val="99"/>
              </w:rPr>
              <w:t>277,427,564</w:t>
            </w:r>
          </w:p>
        </w:tc>
        <w:tc>
          <w:tcPr>
            <w:tcW w:w="780" w:type="dxa"/>
            <w:vAlign w:val="bottom"/>
          </w:tcPr>
          <w:p>
            <w:pPr>
              <w:jc w:val="right"/>
              <w:spacing w:after="0"/>
              <w:rPr>
                <w:sz w:val="20"/>
                <w:szCs w:val="20"/>
                <w:color w:val="auto"/>
              </w:rPr>
            </w:pPr>
            <w:r>
              <w:rPr>
                <w:rFonts w:ascii="Arial" w:cs="Arial" w:eastAsia="Arial" w:hAnsi="Arial"/>
                <w:sz w:val="13"/>
                <w:szCs w:val="13"/>
                <w:color w:val="auto"/>
              </w:rPr>
              <w:t>278,960,887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Debt—25.3%</w:t>
            </w:r>
          </w:p>
        </w:tc>
        <w:tc>
          <w:tcPr>
            <w:tcW w:w="136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60" w:type="dxa"/>
            <w:vAlign w:val="bottom"/>
          </w:tcPr>
          <w:p>
            <w:pPr>
              <w:spacing w:after="0" w:line="138" w:lineRule="exact"/>
              <w:rPr>
                <w:sz w:val="20"/>
                <w:szCs w:val="20"/>
                <w:color w:val="auto"/>
              </w:rPr>
            </w:pPr>
            <w:r>
              <w:rPr>
                <w:rFonts w:ascii="Arial" w:cs="Arial" w:eastAsia="Arial" w:hAnsi="Arial"/>
                <w:sz w:val="10"/>
                <w:szCs w:val="10"/>
                <w:color w:val="auto"/>
              </w:rPr>
              <w:t xml:space="preserve">American Gilsonite Company </w:t>
            </w:r>
            <w:r>
              <w:rPr>
                <w:rFonts w:ascii="Arial" w:cs="Arial" w:eastAsia="Arial" w:hAnsi="Arial"/>
                <w:sz w:val="15"/>
                <w:szCs w:val="15"/>
                <w:color w:val="auto"/>
                <w:vertAlign w:val="superscript"/>
              </w:rPr>
              <w:t>(5)</w:t>
            </w:r>
          </w:p>
        </w:tc>
        <w:tc>
          <w:tcPr>
            <w:tcW w:w="13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09/01/2017</w:t>
            </w:r>
          </w:p>
        </w:tc>
        <w:tc>
          <w:tcPr>
            <w:tcW w:w="2100" w:type="dxa"/>
            <w:vAlign w:val="bottom"/>
          </w:tcPr>
          <w:p>
            <w:pPr>
              <w:jc w:val="center"/>
              <w:spacing w:after="0" w:line="138" w:lineRule="exact"/>
              <w:rPr>
                <w:sz w:val="20"/>
                <w:szCs w:val="20"/>
                <w:color w:val="auto"/>
              </w:rPr>
            </w:pPr>
            <w:r>
              <w:rPr>
                <w:rFonts w:ascii="Arial" w:cs="Arial" w:eastAsia="Arial" w:hAnsi="Arial"/>
                <w:sz w:val="13"/>
                <w:szCs w:val="13"/>
                <w:color w:val="auto"/>
                <w:w w:val="94"/>
              </w:rPr>
              <w:t>Diversified Natural Resources,</w:t>
            </w:r>
          </w:p>
        </w:tc>
        <w:tc>
          <w:tcPr>
            <w:tcW w:w="1060" w:type="dxa"/>
            <w:vAlign w:val="bottom"/>
            <w:gridSpan w:val="2"/>
          </w:tcPr>
          <w:p>
            <w:pPr>
              <w:jc w:val="right"/>
              <w:ind w:right="280"/>
              <w:spacing w:after="0" w:line="138" w:lineRule="exact"/>
              <w:rPr>
                <w:sz w:val="20"/>
                <w:szCs w:val="20"/>
                <w:color w:val="auto"/>
              </w:rPr>
            </w:pPr>
            <w:r>
              <w:rPr>
                <w:rFonts w:ascii="Arial" w:cs="Arial" w:eastAsia="Arial" w:hAnsi="Arial"/>
                <w:sz w:val="13"/>
                <w:szCs w:val="13"/>
                <w:color w:val="auto"/>
              </w:rPr>
              <w:t>11.50%</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25,400,000</w:t>
            </w:r>
          </w:p>
        </w:tc>
        <w:tc>
          <w:tcPr>
            <w:tcW w:w="80" w:type="dxa"/>
            <w:vAlign w:val="bottom"/>
          </w:tcPr>
          <w:p>
            <w:pPr>
              <w:spacing w:after="0"/>
              <w:rPr>
                <w:sz w:val="11"/>
                <w:szCs w:val="11"/>
                <w:color w:val="auto"/>
              </w:rPr>
            </w:pPr>
          </w:p>
        </w:tc>
        <w:tc>
          <w:tcPr>
            <w:tcW w:w="98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25,400,000</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26,098,500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94"/>
              </w:rPr>
              <w:t>Precious Metals and Minerals</w:t>
            </w: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02/07/2015</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Energy/Utilities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6.33%</w:t>
            </w:r>
          </w:p>
        </w:tc>
        <w:tc>
          <w:tcPr>
            <w:tcW w:w="900" w:type="dxa"/>
            <w:vAlign w:val="bottom"/>
            <w:gridSpan w:val="2"/>
            <w:shd w:val="clear" w:color="auto" w:fill="CCEEFF"/>
          </w:tcPr>
          <w:p>
            <w:pPr>
              <w:jc w:val="right"/>
              <w:ind w:right="204"/>
              <w:spacing w:after="0"/>
              <w:rPr>
                <w:sz w:val="20"/>
                <w:szCs w:val="20"/>
                <w:color w:val="auto"/>
              </w:rPr>
            </w:pPr>
            <w:r>
              <w:rPr>
                <w:rFonts w:ascii="Arial" w:cs="Arial" w:eastAsia="Arial" w:hAnsi="Arial"/>
                <w:sz w:val="13"/>
                <w:szCs w:val="13"/>
                <w:color w:val="auto"/>
              </w:rPr>
              <w:t>L+600</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13,600,000</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13,378,432</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12,729,600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20"/>
                <w:szCs w:val="20"/>
                <w:color w:val="auto"/>
              </w:rPr>
            </w:pPr>
            <w:r>
              <w:rPr>
                <w:rFonts w:ascii="Arial" w:cs="Arial" w:eastAsia="Arial" w:hAnsi="Arial"/>
                <w:sz w:val="13"/>
                <w:szCs w:val="13"/>
                <w:color w:val="auto"/>
              </w:rPr>
              <w:t>Brand Energy and Infrastructure Services, Inc.</w:t>
            </w:r>
          </w:p>
        </w:tc>
        <w:tc>
          <w:tcPr>
            <w:tcW w:w="1360" w:type="dxa"/>
            <w:vAlign w:val="bottom"/>
          </w:tcPr>
          <w:p>
            <w:pPr>
              <w:jc w:val="right"/>
              <w:ind w:right="13"/>
              <w:spacing w:after="0"/>
              <w:rPr>
                <w:sz w:val="20"/>
                <w:szCs w:val="20"/>
                <w:color w:val="auto"/>
              </w:rPr>
            </w:pPr>
            <w:r>
              <w:rPr>
                <w:rFonts w:ascii="Arial" w:cs="Arial" w:eastAsia="Arial" w:hAnsi="Arial"/>
                <w:sz w:val="13"/>
                <w:szCs w:val="13"/>
                <w:color w:val="auto"/>
              </w:rPr>
              <w:t>02/07/2015</w:t>
            </w:r>
          </w:p>
        </w:tc>
        <w:tc>
          <w:tcPr>
            <w:tcW w:w="2100" w:type="dxa"/>
            <w:vAlign w:val="bottom"/>
          </w:tcPr>
          <w:p>
            <w:pPr>
              <w:jc w:val="center"/>
              <w:spacing w:after="0"/>
              <w:rPr>
                <w:sz w:val="20"/>
                <w:szCs w:val="20"/>
                <w:color w:val="auto"/>
              </w:rPr>
            </w:pPr>
            <w:r>
              <w:rPr>
                <w:rFonts w:ascii="Arial" w:cs="Arial" w:eastAsia="Arial" w:hAnsi="Arial"/>
                <w:sz w:val="13"/>
                <w:szCs w:val="13"/>
                <w:color w:val="auto"/>
                <w:w w:val="99"/>
              </w:rPr>
              <w:t>Energy/Utilities</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7.36%</w:t>
            </w:r>
          </w:p>
        </w:tc>
        <w:tc>
          <w:tcPr>
            <w:tcW w:w="900" w:type="dxa"/>
            <w:vAlign w:val="bottom"/>
            <w:gridSpan w:val="2"/>
          </w:tcPr>
          <w:p>
            <w:pPr>
              <w:jc w:val="right"/>
              <w:ind w:right="204"/>
              <w:spacing w:after="0"/>
              <w:rPr>
                <w:sz w:val="20"/>
                <w:szCs w:val="20"/>
                <w:color w:val="auto"/>
              </w:rPr>
            </w:pPr>
            <w:r>
              <w:rPr>
                <w:rFonts w:ascii="Arial" w:cs="Arial" w:eastAsia="Arial" w:hAnsi="Arial"/>
                <w:sz w:val="13"/>
                <w:szCs w:val="13"/>
                <w:color w:val="auto"/>
              </w:rPr>
              <w:t>L+700</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12,000,000</w:t>
            </w:r>
          </w:p>
        </w:tc>
        <w:tc>
          <w:tcPr>
            <w:tcW w:w="8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11,866,485</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11,232,000</w:t>
            </w: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 (6)</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02/01/2017</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12.00%</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34,000,000</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31,964,822</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60" w:type="dxa"/>
            <w:vAlign w:val="bottom"/>
          </w:tcPr>
          <w:p>
            <w:pPr>
              <w:spacing w:after="0" w:line="122" w:lineRule="exact"/>
              <w:rPr>
                <w:sz w:val="20"/>
                <w:szCs w:val="20"/>
                <w:color w:val="auto"/>
              </w:rPr>
            </w:pPr>
            <w:r>
              <w:rPr>
                <w:rFonts w:ascii="Arial" w:cs="Arial" w:eastAsia="Arial" w:hAnsi="Arial"/>
                <w:sz w:val="13"/>
                <w:szCs w:val="13"/>
                <w:color w:val="auto"/>
              </w:rPr>
              <w:t>Eureka Hunter Pipeline, LLC</w:t>
            </w:r>
          </w:p>
        </w:tc>
        <w:tc>
          <w:tcPr>
            <w:tcW w:w="1360" w:type="dxa"/>
            <w:vAlign w:val="bottom"/>
          </w:tcPr>
          <w:p>
            <w:pPr>
              <w:jc w:val="right"/>
              <w:ind w:right="13"/>
              <w:spacing w:after="0" w:line="122" w:lineRule="exact"/>
              <w:rPr>
                <w:sz w:val="20"/>
                <w:szCs w:val="20"/>
                <w:color w:val="auto"/>
              </w:rPr>
            </w:pPr>
            <w:r>
              <w:rPr>
                <w:rFonts w:ascii="Arial" w:cs="Arial" w:eastAsia="Arial" w:hAnsi="Arial"/>
                <w:sz w:val="13"/>
                <w:szCs w:val="13"/>
                <w:color w:val="auto"/>
              </w:rPr>
              <w:t>08/16/2018</w:t>
            </w:r>
          </w:p>
        </w:tc>
        <w:tc>
          <w:tcPr>
            <w:tcW w:w="2100" w:type="dxa"/>
            <w:vAlign w:val="bottom"/>
          </w:tcPr>
          <w:p>
            <w:pPr>
              <w:jc w:val="center"/>
              <w:spacing w:after="0" w:line="122" w:lineRule="exact"/>
              <w:rPr>
                <w:sz w:val="20"/>
                <w:szCs w:val="20"/>
                <w:color w:val="auto"/>
              </w:rPr>
            </w:pPr>
            <w:r>
              <w:rPr>
                <w:rFonts w:ascii="Arial" w:cs="Arial" w:eastAsia="Arial" w:hAnsi="Arial"/>
                <w:sz w:val="13"/>
                <w:szCs w:val="13"/>
                <w:color w:val="auto"/>
                <w:w w:val="99"/>
              </w:rPr>
              <w:t>Energy/Utilities</w:t>
            </w:r>
          </w:p>
        </w:tc>
        <w:tc>
          <w:tcPr>
            <w:tcW w:w="1060" w:type="dxa"/>
            <w:vAlign w:val="bottom"/>
            <w:gridSpan w:val="2"/>
          </w:tcPr>
          <w:p>
            <w:pPr>
              <w:jc w:val="right"/>
              <w:ind w:right="280"/>
              <w:spacing w:after="0" w:line="122" w:lineRule="exact"/>
              <w:rPr>
                <w:sz w:val="20"/>
                <w:szCs w:val="20"/>
                <w:color w:val="auto"/>
              </w:rPr>
            </w:pPr>
            <w:r>
              <w:rPr>
                <w:rFonts w:ascii="Arial" w:cs="Arial" w:eastAsia="Arial" w:hAnsi="Arial"/>
                <w:sz w:val="13"/>
                <w:szCs w:val="13"/>
                <w:color w:val="auto"/>
              </w:rPr>
              <w:t>12.50%</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w w:val="98"/>
              </w:rPr>
              <w:t>45,000,000</w:t>
            </w:r>
          </w:p>
        </w:tc>
        <w:tc>
          <w:tcPr>
            <w:tcW w:w="80" w:type="dxa"/>
            <w:vAlign w:val="bottom"/>
          </w:tcPr>
          <w:p>
            <w:pPr>
              <w:spacing w:after="0"/>
              <w:rPr>
                <w:sz w:val="10"/>
                <w:szCs w:val="10"/>
                <w:color w:val="auto"/>
              </w:rPr>
            </w:pPr>
          </w:p>
        </w:tc>
        <w:tc>
          <w:tcPr>
            <w:tcW w:w="980" w:type="dxa"/>
            <w:vAlign w:val="bottom"/>
            <w:gridSpan w:val="3"/>
          </w:tcPr>
          <w:p>
            <w:pPr>
              <w:jc w:val="right"/>
              <w:ind w:right="160"/>
              <w:spacing w:after="0" w:line="122" w:lineRule="exact"/>
              <w:rPr>
                <w:sz w:val="20"/>
                <w:szCs w:val="20"/>
                <w:color w:val="auto"/>
              </w:rPr>
            </w:pPr>
            <w:r>
              <w:rPr>
                <w:rFonts w:ascii="Arial" w:cs="Arial" w:eastAsia="Arial" w:hAnsi="Arial"/>
                <w:sz w:val="13"/>
                <w:szCs w:val="13"/>
                <w:color w:val="auto"/>
              </w:rPr>
              <w:t>44,543,688</w:t>
            </w:r>
          </w:p>
        </w:tc>
        <w:tc>
          <w:tcPr>
            <w:tcW w:w="780" w:type="dxa"/>
            <w:vAlign w:val="bottom"/>
          </w:tcPr>
          <w:p>
            <w:pPr>
              <w:jc w:val="right"/>
              <w:spacing w:after="0" w:line="122" w:lineRule="exact"/>
              <w:rPr>
                <w:sz w:val="20"/>
                <w:szCs w:val="20"/>
                <w:color w:val="auto"/>
              </w:rPr>
            </w:pPr>
            <w:r>
              <w:rPr>
                <w:rFonts w:ascii="Arial" w:cs="Arial" w:eastAsia="Arial" w:hAnsi="Arial"/>
                <w:sz w:val="13"/>
                <w:szCs w:val="13"/>
                <w:color w:val="auto"/>
              </w:rPr>
              <w:t>45,000,000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60" w:type="dxa"/>
            <w:vAlign w:val="bottom"/>
          </w:tcPr>
          <w:p>
            <w:pPr>
              <w:spacing w:after="0"/>
              <w:rPr>
                <w:sz w:val="20"/>
                <w:szCs w:val="20"/>
                <w:color w:val="auto"/>
              </w:rPr>
            </w:pPr>
            <w:r>
              <w:rPr>
                <w:rFonts w:ascii="Arial" w:cs="Arial" w:eastAsia="Arial" w:hAnsi="Arial"/>
                <w:sz w:val="13"/>
                <w:szCs w:val="13"/>
                <w:color w:val="auto"/>
              </w:rPr>
              <w:t>Greatwide Logistics Services, L.L.C.</w:t>
            </w:r>
          </w:p>
        </w:tc>
        <w:tc>
          <w:tcPr>
            <w:tcW w:w="1360" w:type="dxa"/>
            <w:vAlign w:val="bottom"/>
          </w:tcPr>
          <w:p>
            <w:pPr>
              <w:jc w:val="right"/>
              <w:ind w:right="13"/>
              <w:spacing w:after="0"/>
              <w:rPr>
                <w:sz w:val="20"/>
                <w:szCs w:val="20"/>
                <w:color w:val="auto"/>
              </w:rPr>
            </w:pPr>
            <w:r>
              <w:rPr>
                <w:rFonts w:ascii="Arial" w:cs="Arial" w:eastAsia="Arial" w:hAnsi="Arial"/>
                <w:sz w:val="13"/>
                <w:szCs w:val="13"/>
                <w:color w:val="auto"/>
              </w:rPr>
              <w:t>03/01/2014</w:t>
            </w:r>
          </w:p>
        </w:tc>
        <w:tc>
          <w:tcPr>
            <w:tcW w:w="2100" w:type="dxa"/>
            <w:vAlign w:val="bottom"/>
          </w:tcPr>
          <w:p>
            <w:pPr>
              <w:jc w:val="center"/>
              <w:spacing w:after="0"/>
              <w:rPr>
                <w:sz w:val="20"/>
                <w:szCs w:val="20"/>
                <w:color w:val="auto"/>
              </w:rPr>
            </w:pPr>
            <w:r>
              <w:rPr>
                <w:rFonts w:ascii="Arial" w:cs="Arial" w:eastAsia="Arial" w:hAnsi="Arial"/>
                <w:sz w:val="13"/>
                <w:szCs w:val="13"/>
                <w:color w:val="auto"/>
                <w:w w:val="92"/>
              </w:rPr>
              <w:t>Cargo Transport</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11.00%</w:t>
            </w:r>
          </w:p>
        </w:tc>
        <w:tc>
          <w:tcPr>
            <w:tcW w:w="900" w:type="dxa"/>
            <w:vAlign w:val="bottom"/>
            <w:gridSpan w:val="2"/>
          </w:tcPr>
          <w:p>
            <w:pPr>
              <w:jc w:val="right"/>
              <w:ind w:right="84"/>
              <w:spacing w:after="0" w:line="164" w:lineRule="exact"/>
              <w:rPr>
                <w:sz w:val="20"/>
                <w:szCs w:val="20"/>
                <w:color w:val="auto"/>
              </w:rPr>
            </w:pPr>
            <w:r>
              <w:rPr>
                <w:rFonts w:ascii="Arial" w:cs="Arial" w:eastAsia="Arial" w:hAnsi="Arial"/>
                <w:sz w:val="12"/>
                <w:szCs w:val="12"/>
                <w:color w:val="auto"/>
              </w:rPr>
              <w:t>L+700</w:t>
            </w:r>
            <w:r>
              <w:rPr>
                <w:rFonts w:ascii="Arial" w:cs="Arial" w:eastAsia="Arial" w:hAnsi="Arial"/>
                <w:sz w:val="19"/>
                <w:szCs w:val="19"/>
                <w:color w:val="auto"/>
                <w:vertAlign w:val="superscript"/>
              </w:rPr>
              <w:t>(8)</w:t>
            </w:r>
          </w:p>
        </w:tc>
        <w:tc>
          <w:tcPr>
            <w:tcW w:w="660" w:type="dxa"/>
            <w:vAlign w:val="bottom"/>
          </w:tcPr>
          <w:p>
            <w:pPr>
              <w:jc w:val="right"/>
              <w:spacing w:after="0"/>
              <w:rPr>
                <w:sz w:val="20"/>
                <w:szCs w:val="20"/>
                <w:color w:val="auto"/>
              </w:rPr>
            </w:pPr>
            <w:r>
              <w:rPr>
                <w:rFonts w:ascii="Arial" w:cs="Arial" w:eastAsia="Arial" w:hAnsi="Arial"/>
                <w:sz w:val="13"/>
                <w:szCs w:val="13"/>
                <w:color w:val="auto"/>
              </w:rPr>
              <w:t>3,184,219</w:t>
            </w:r>
          </w:p>
        </w:tc>
        <w:tc>
          <w:tcPr>
            <w:tcW w:w="8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3,184,222</w:t>
            </w:r>
          </w:p>
        </w:tc>
        <w:tc>
          <w:tcPr>
            <w:tcW w:w="780" w:type="dxa"/>
            <w:vAlign w:val="bottom"/>
          </w:tcPr>
          <w:p>
            <w:pPr>
              <w:jc w:val="right"/>
              <w:spacing w:after="0"/>
              <w:rPr>
                <w:sz w:val="20"/>
                <w:szCs w:val="20"/>
                <w:color w:val="auto"/>
              </w:rPr>
            </w:pPr>
            <w:r>
              <w:rPr>
                <w:rFonts w:ascii="Arial" w:cs="Arial" w:eastAsia="Arial" w:hAnsi="Arial"/>
                <w:sz w:val="13"/>
                <w:szCs w:val="13"/>
                <w:color w:val="auto"/>
              </w:rPr>
              <w:t>2,292,640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(PIK 11.00%)</w:t>
            </w:r>
          </w:p>
        </w:tc>
        <w:tc>
          <w:tcPr>
            <w:tcW w:w="900" w:type="dxa"/>
            <w:vAlign w:val="bottom"/>
            <w:gridSpan w:val="2"/>
            <w:vMerge w:val="restart"/>
          </w:tcPr>
          <w:p>
            <w:pPr>
              <w:jc w:val="right"/>
              <w:ind w:right="84"/>
              <w:spacing w:after="0"/>
              <w:rPr>
                <w:sz w:val="20"/>
                <w:szCs w:val="20"/>
                <w:color w:val="auto"/>
              </w:rPr>
            </w:pPr>
            <w:r>
              <w:rPr>
                <w:rFonts w:ascii="Arial" w:cs="Arial" w:eastAsia="Arial" w:hAnsi="Arial"/>
                <w:sz w:val="13"/>
                <w:szCs w:val="13"/>
                <w:color w:val="auto"/>
              </w:rPr>
              <w:t>L+1,100</w:t>
            </w:r>
            <w:r>
              <w:rPr>
                <w:rFonts w:ascii="Arial" w:cs="Arial" w:eastAsia="Arial" w:hAnsi="Arial"/>
                <w:sz w:val="22"/>
                <w:szCs w:val="22"/>
                <w:color w:val="auto"/>
                <w:vertAlign w:val="superscript"/>
              </w:rPr>
              <w:t>(8)</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260" w:type="dxa"/>
            <w:vAlign w:val="bottom"/>
          </w:tcPr>
          <w:p>
            <w:pPr>
              <w:spacing w:after="0" w:line="138" w:lineRule="exact"/>
              <w:rPr>
                <w:sz w:val="20"/>
                <w:szCs w:val="20"/>
                <w:color w:val="auto"/>
              </w:rPr>
            </w:pPr>
            <w:r>
              <w:rPr>
                <w:rFonts w:ascii="Arial" w:cs="Arial" w:eastAsia="Arial" w:hAnsi="Arial"/>
                <w:sz w:val="13"/>
                <w:szCs w:val="13"/>
                <w:color w:val="auto"/>
              </w:rPr>
              <w:t>Paradigm Management Services, LLC</w:t>
            </w:r>
          </w:p>
        </w:tc>
        <w:tc>
          <w:tcPr>
            <w:tcW w:w="13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07/31/2017</w:t>
            </w:r>
          </w:p>
        </w:tc>
        <w:tc>
          <w:tcPr>
            <w:tcW w:w="2100" w:type="dxa"/>
            <w:vAlign w:val="bottom"/>
          </w:tcPr>
          <w:p>
            <w:pPr>
              <w:jc w:val="center"/>
              <w:spacing w:after="0" w:line="138" w:lineRule="exact"/>
              <w:rPr>
                <w:sz w:val="20"/>
                <w:szCs w:val="20"/>
                <w:color w:val="auto"/>
              </w:rPr>
            </w:pPr>
            <w:r>
              <w:rPr>
                <w:rFonts w:ascii="Arial" w:cs="Arial" w:eastAsia="Arial" w:hAnsi="Arial"/>
                <w:sz w:val="13"/>
                <w:szCs w:val="13"/>
                <w:color w:val="auto"/>
                <w:w w:val="92"/>
              </w:rPr>
              <w:t>Healthcare, Education and</w:t>
            </w:r>
          </w:p>
        </w:tc>
        <w:tc>
          <w:tcPr>
            <w:tcW w:w="1060" w:type="dxa"/>
            <w:vAlign w:val="bottom"/>
            <w:gridSpan w:val="2"/>
          </w:tcPr>
          <w:p>
            <w:pPr>
              <w:jc w:val="right"/>
              <w:ind w:right="280"/>
              <w:spacing w:after="0" w:line="138" w:lineRule="exact"/>
              <w:rPr>
                <w:sz w:val="20"/>
                <w:szCs w:val="20"/>
                <w:color w:val="auto"/>
              </w:rPr>
            </w:pPr>
            <w:r>
              <w:rPr>
                <w:rFonts w:ascii="Arial" w:cs="Arial" w:eastAsia="Arial" w:hAnsi="Arial"/>
                <w:sz w:val="13"/>
                <w:szCs w:val="13"/>
                <w:color w:val="auto"/>
              </w:rPr>
              <w:t>12.50%</w:t>
            </w:r>
          </w:p>
        </w:tc>
        <w:tc>
          <w:tcPr>
            <w:tcW w:w="900" w:type="dxa"/>
            <w:vAlign w:val="bottom"/>
            <w:gridSpan w:val="2"/>
            <w:vMerge w:val="continue"/>
          </w:tcPr>
          <w:p>
            <w:pPr>
              <w:spacing w:after="0"/>
              <w:rPr>
                <w:sz w:val="12"/>
                <w:szCs w:val="12"/>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20,512,821</w:t>
            </w:r>
          </w:p>
        </w:tc>
        <w:tc>
          <w:tcPr>
            <w:tcW w:w="80" w:type="dxa"/>
            <w:vAlign w:val="bottom"/>
          </w:tcPr>
          <w:p>
            <w:pPr>
              <w:spacing w:after="0"/>
              <w:rPr>
                <w:sz w:val="12"/>
                <w:szCs w:val="12"/>
                <w:color w:val="auto"/>
              </w:rPr>
            </w:pPr>
          </w:p>
        </w:tc>
        <w:tc>
          <w:tcPr>
            <w:tcW w:w="98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20,059,979</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20,512,821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98"/>
              </w:rPr>
              <w:t>Childcare</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vMerge w:val="restart"/>
          </w:tcPr>
          <w:p>
            <w:pPr>
              <w:jc w:val="right"/>
              <w:ind w:right="84"/>
              <w:spacing w:after="0"/>
              <w:rPr>
                <w:sz w:val="20"/>
                <w:szCs w:val="20"/>
                <w:color w:val="auto"/>
              </w:rPr>
            </w:pPr>
            <w:r>
              <w:rPr>
                <w:rFonts w:ascii="Arial" w:cs="Arial" w:eastAsia="Arial" w:hAnsi="Arial"/>
                <w:sz w:val="13"/>
                <w:szCs w:val="13"/>
                <w:color w:val="auto"/>
              </w:rPr>
              <w:t>L+650</w:t>
            </w:r>
            <w:r>
              <w:rPr>
                <w:rFonts w:ascii="Arial" w:cs="Arial" w:eastAsia="Arial" w:hAnsi="Arial"/>
                <w:sz w:val="22"/>
                <w:szCs w:val="22"/>
                <w:color w:val="auto"/>
                <w:vertAlign w:val="superscript"/>
              </w:rPr>
              <w:t>(8)</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line="122" w:lineRule="exact"/>
              <w:rPr>
                <w:sz w:val="20"/>
                <w:szCs w:val="20"/>
                <w:color w:val="auto"/>
              </w:rPr>
            </w:pPr>
            <w:r>
              <w:rPr>
                <w:rFonts w:ascii="Arial" w:cs="Arial" w:eastAsia="Arial" w:hAnsi="Arial"/>
                <w:sz w:val="13"/>
                <w:szCs w:val="13"/>
                <w:color w:val="auto"/>
              </w:rPr>
              <w:t>Questex Media Group LLC, Term Loan A</w:t>
            </w:r>
          </w:p>
        </w:tc>
        <w:tc>
          <w:tcPr>
            <w:tcW w:w="1360" w:type="dxa"/>
            <w:vAlign w:val="bottom"/>
          </w:tcPr>
          <w:p>
            <w:pPr>
              <w:jc w:val="right"/>
              <w:ind w:right="13"/>
              <w:spacing w:after="0" w:line="122" w:lineRule="exact"/>
              <w:rPr>
                <w:sz w:val="20"/>
                <w:szCs w:val="20"/>
                <w:color w:val="auto"/>
              </w:rPr>
            </w:pPr>
            <w:r>
              <w:rPr>
                <w:rFonts w:ascii="Arial" w:cs="Arial" w:eastAsia="Arial" w:hAnsi="Arial"/>
                <w:sz w:val="13"/>
                <w:szCs w:val="13"/>
                <w:color w:val="auto"/>
              </w:rPr>
              <w:t>12/15/2014</w:t>
            </w:r>
          </w:p>
        </w:tc>
        <w:tc>
          <w:tcPr>
            <w:tcW w:w="2100" w:type="dxa"/>
            <w:vAlign w:val="bottom"/>
          </w:tcPr>
          <w:p>
            <w:pPr>
              <w:jc w:val="center"/>
              <w:spacing w:after="0" w:line="122" w:lineRule="exact"/>
              <w:rPr>
                <w:sz w:val="20"/>
                <w:szCs w:val="20"/>
                <w:color w:val="auto"/>
              </w:rPr>
            </w:pPr>
            <w:r>
              <w:rPr>
                <w:rFonts w:ascii="Arial" w:cs="Arial" w:eastAsia="Arial" w:hAnsi="Arial"/>
                <w:sz w:val="13"/>
                <w:szCs w:val="13"/>
                <w:color w:val="auto"/>
                <w:w w:val="97"/>
              </w:rPr>
              <w:t>Other Media</w:t>
            </w:r>
          </w:p>
        </w:tc>
        <w:tc>
          <w:tcPr>
            <w:tcW w:w="1060" w:type="dxa"/>
            <w:vAlign w:val="bottom"/>
            <w:gridSpan w:val="2"/>
          </w:tcPr>
          <w:p>
            <w:pPr>
              <w:jc w:val="right"/>
              <w:ind w:right="280"/>
              <w:spacing w:after="0" w:line="122" w:lineRule="exact"/>
              <w:rPr>
                <w:sz w:val="20"/>
                <w:szCs w:val="20"/>
                <w:color w:val="auto"/>
              </w:rPr>
            </w:pPr>
            <w:r>
              <w:rPr>
                <w:rFonts w:ascii="Arial" w:cs="Arial" w:eastAsia="Arial" w:hAnsi="Arial"/>
                <w:sz w:val="13"/>
                <w:szCs w:val="13"/>
                <w:color w:val="auto"/>
              </w:rPr>
              <w:t>9.50%</w:t>
            </w:r>
          </w:p>
        </w:tc>
        <w:tc>
          <w:tcPr>
            <w:tcW w:w="900" w:type="dxa"/>
            <w:vAlign w:val="bottom"/>
            <w:gridSpan w:val="2"/>
            <w:vMerge w:val="continue"/>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3"/>
                <w:szCs w:val="13"/>
                <w:color w:val="auto"/>
              </w:rPr>
              <w:t>2,752,666</w:t>
            </w:r>
          </w:p>
        </w:tc>
        <w:tc>
          <w:tcPr>
            <w:tcW w:w="80" w:type="dxa"/>
            <w:vAlign w:val="bottom"/>
          </w:tcPr>
          <w:p>
            <w:pPr>
              <w:spacing w:after="0"/>
              <w:rPr>
                <w:sz w:val="10"/>
                <w:szCs w:val="10"/>
                <w:color w:val="auto"/>
              </w:rPr>
            </w:pPr>
          </w:p>
        </w:tc>
        <w:tc>
          <w:tcPr>
            <w:tcW w:w="980" w:type="dxa"/>
            <w:vAlign w:val="bottom"/>
            <w:gridSpan w:val="3"/>
          </w:tcPr>
          <w:p>
            <w:pPr>
              <w:jc w:val="right"/>
              <w:ind w:right="160"/>
              <w:spacing w:after="0" w:line="122" w:lineRule="exact"/>
              <w:rPr>
                <w:sz w:val="20"/>
                <w:szCs w:val="20"/>
                <w:color w:val="auto"/>
              </w:rPr>
            </w:pPr>
            <w:r>
              <w:rPr>
                <w:rFonts w:ascii="Arial" w:cs="Arial" w:eastAsia="Arial" w:hAnsi="Arial"/>
                <w:sz w:val="13"/>
                <w:szCs w:val="13"/>
                <w:color w:val="auto"/>
              </w:rPr>
              <w:t>2,752,666</w:t>
            </w:r>
          </w:p>
        </w:tc>
        <w:tc>
          <w:tcPr>
            <w:tcW w:w="780" w:type="dxa"/>
            <w:vAlign w:val="bottom"/>
          </w:tcPr>
          <w:p>
            <w:pPr>
              <w:jc w:val="right"/>
              <w:spacing w:after="0" w:line="122" w:lineRule="exact"/>
              <w:rPr>
                <w:sz w:val="20"/>
                <w:szCs w:val="20"/>
                <w:color w:val="auto"/>
              </w:rPr>
            </w:pPr>
            <w:r>
              <w:rPr>
                <w:rFonts w:ascii="Arial" w:cs="Arial" w:eastAsia="Arial" w:hAnsi="Arial"/>
                <w:sz w:val="13"/>
                <w:szCs w:val="13"/>
                <w:color w:val="auto"/>
              </w:rPr>
              <w:t>2,584,753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60" w:type="dxa"/>
            <w:vAlign w:val="bottom"/>
          </w:tcPr>
          <w:p>
            <w:pPr>
              <w:spacing w:after="0"/>
              <w:rPr>
                <w:sz w:val="20"/>
                <w:szCs w:val="20"/>
                <w:color w:val="auto"/>
              </w:rPr>
            </w:pPr>
            <w:r>
              <w:rPr>
                <w:rFonts w:ascii="Arial" w:cs="Arial" w:eastAsia="Arial" w:hAnsi="Arial"/>
                <w:sz w:val="13"/>
                <w:szCs w:val="13"/>
                <w:color w:val="auto"/>
              </w:rPr>
              <w:t>Questex Media Group LLC, Term Loan B</w:t>
            </w:r>
          </w:p>
        </w:tc>
        <w:tc>
          <w:tcPr>
            <w:tcW w:w="1360" w:type="dxa"/>
            <w:vAlign w:val="bottom"/>
          </w:tcPr>
          <w:p>
            <w:pPr>
              <w:jc w:val="right"/>
              <w:ind w:right="13"/>
              <w:spacing w:after="0"/>
              <w:rPr>
                <w:sz w:val="20"/>
                <w:szCs w:val="20"/>
                <w:color w:val="auto"/>
              </w:rPr>
            </w:pPr>
            <w:r>
              <w:rPr>
                <w:rFonts w:ascii="Arial" w:cs="Arial" w:eastAsia="Arial" w:hAnsi="Arial"/>
                <w:sz w:val="13"/>
                <w:szCs w:val="13"/>
                <w:color w:val="auto"/>
              </w:rPr>
              <w:t>12/15/2015</w:t>
            </w:r>
          </w:p>
        </w:tc>
        <w:tc>
          <w:tcPr>
            <w:tcW w:w="2100" w:type="dxa"/>
            <w:vAlign w:val="bottom"/>
          </w:tcPr>
          <w:p>
            <w:pPr>
              <w:jc w:val="center"/>
              <w:spacing w:after="0"/>
              <w:rPr>
                <w:sz w:val="20"/>
                <w:szCs w:val="20"/>
                <w:color w:val="auto"/>
              </w:rPr>
            </w:pPr>
            <w:r>
              <w:rPr>
                <w:rFonts w:ascii="Arial" w:cs="Arial" w:eastAsia="Arial" w:hAnsi="Arial"/>
                <w:sz w:val="13"/>
                <w:szCs w:val="13"/>
                <w:color w:val="auto"/>
                <w:w w:val="97"/>
              </w:rPr>
              <w:t>Other Media</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11.50%</w:t>
            </w:r>
          </w:p>
        </w:tc>
        <w:tc>
          <w:tcPr>
            <w:tcW w:w="900" w:type="dxa"/>
            <w:vAlign w:val="bottom"/>
            <w:gridSpan w:val="2"/>
          </w:tcPr>
          <w:p>
            <w:pPr>
              <w:jc w:val="right"/>
              <w:ind w:right="84"/>
              <w:spacing w:after="0" w:line="164" w:lineRule="exact"/>
              <w:rPr>
                <w:sz w:val="20"/>
                <w:szCs w:val="20"/>
                <w:color w:val="auto"/>
              </w:rPr>
            </w:pPr>
            <w:r>
              <w:rPr>
                <w:rFonts w:ascii="Arial" w:cs="Arial" w:eastAsia="Arial" w:hAnsi="Arial"/>
                <w:sz w:val="12"/>
                <w:szCs w:val="12"/>
                <w:color w:val="auto"/>
              </w:rPr>
              <w:t>L+850</w:t>
            </w:r>
            <w:r>
              <w:rPr>
                <w:rFonts w:ascii="Arial" w:cs="Arial" w:eastAsia="Arial" w:hAnsi="Arial"/>
                <w:sz w:val="19"/>
                <w:szCs w:val="19"/>
                <w:color w:val="auto"/>
                <w:vertAlign w:val="superscript"/>
              </w:rPr>
              <w:t>(8)</w:t>
            </w:r>
          </w:p>
        </w:tc>
        <w:tc>
          <w:tcPr>
            <w:tcW w:w="660" w:type="dxa"/>
            <w:vAlign w:val="bottom"/>
          </w:tcPr>
          <w:p>
            <w:pPr>
              <w:jc w:val="right"/>
              <w:spacing w:after="0"/>
              <w:rPr>
                <w:sz w:val="20"/>
                <w:szCs w:val="20"/>
                <w:color w:val="auto"/>
              </w:rPr>
            </w:pPr>
            <w:r>
              <w:rPr>
                <w:rFonts w:ascii="Arial" w:cs="Arial" w:eastAsia="Arial" w:hAnsi="Arial"/>
                <w:sz w:val="13"/>
                <w:szCs w:val="13"/>
                <w:color w:val="auto"/>
              </w:rPr>
              <w:t>2,230,508</w:t>
            </w:r>
          </w:p>
        </w:tc>
        <w:tc>
          <w:tcPr>
            <w:tcW w:w="8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2,230,508</w:t>
            </w:r>
          </w:p>
        </w:tc>
        <w:tc>
          <w:tcPr>
            <w:tcW w:w="780" w:type="dxa"/>
            <w:vAlign w:val="bottom"/>
          </w:tcPr>
          <w:p>
            <w:pPr>
              <w:jc w:val="right"/>
              <w:spacing w:after="0"/>
              <w:rPr>
                <w:sz w:val="20"/>
                <w:szCs w:val="20"/>
                <w:color w:val="auto"/>
              </w:rPr>
            </w:pPr>
            <w:r>
              <w:rPr>
                <w:rFonts w:ascii="Arial" w:cs="Arial" w:eastAsia="Arial" w:hAnsi="Arial"/>
                <w:sz w:val="13"/>
                <w:szCs w:val="13"/>
                <w:color w:val="auto"/>
              </w:rPr>
              <w:t>2,002,996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(PIK 11.50%)</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2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Realogy Corp.</w:t>
            </w:r>
          </w:p>
        </w:tc>
        <w:tc>
          <w:tcPr>
            <w:tcW w:w="13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10/15/2017</w:t>
            </w:r>
          </w:p>
        </w:tc>
        <w:tc>
          <w:tcPr>
            <w:tcW w:w="21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Buildings and Real</w:t>
            </w:r>
          </w:p>
        </w:tc>
        <w:tc>
          <w:tcPr>
            <w:tcW w:w="10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rPr>
              <w:t>13.50%</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10,000,000</w:t>
            </w:r>
          </w:p>
        </w:tc>
        <w:tc>
          <w:tcPr>
            <w:tcW w:w="8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10,000,000</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10,062,500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Estate</w:t>
            </w:r>
          </w:p>
        </w:tc>
        <w:tc>
          <w:tcPr>
            <w:tcW w:w="6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260" w:type="dxa"/>
            <w:vAlign w:val="bottom"/>
          </w:tcPr>
          <w:p>
            <w:pPr>
              <w:spacing w:after="0" w:line="138" w:lineRule="exact"/>
              <w:rPr>
                <w:sz w:val="20"/>
                <w:szCs w:val="20"/>
                <w:color w:val="auto"/>
              </w:rPr>
            </w:pPr>
            <w:r>
              <w:rPr>
                <w:rFonts w:ascii="Arial" w:cs="Arial" w:eastAsia="Arial" w:hAnsi="Arial"/>
                <w:sz w:val="13"/>
                <w:szCs w:val="13"/>
                <w:color w:val="auto"/>
              </w:rPr>
              <w:t>ROC Finance LLC and ROC Finance 1 Corp.</w:t>
            </w:r>
          </w:p>
        </w:tc>
        <w:tc>
          <w:tcPr>
            <w:tcW w:w="13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09/01/2018</w:t>
            </w:r>
          </w:p>
        </w:tc>
        <w:tc>
          <w:tcPr>
            <w:tcW w:w="2100" w:type="dxa"/>
            <w:vAlign w:val="bottom"/>
          </w:tcPr>
          <w:p>
            <w:pPr>
              <w:jc w:val="center"/>
              <w:spacing w:after="0" w:line="138" w:lineRule="exact"/>
              <w:rPr>
                <w:sz w:val="20"/>
                <w:szCs w:val="20"/>
                <w:color w:val="auto"/>
              </w:rPr>
            </w:pPr>
            <w:r>
              <w:rPr>
                <w:rFonts w:ascii="Arial" w:cs="Arial" w:eastAsia="Arial" w:hAnsi="Arial"/>
                <w:sz w:val="13"/>
                <w:szCs w:val="13"/>
                <w:color w:val="auto"/>
                <w:w w:val="95"/>
              </w:rPr>
              <w:t>Hotels, Motels,</w:t>
            </w:r>
          </w:p>
        </w:tc>
        <w:tc>
          <w:tcPr>
            <w:tcW w:w="1060" w:type="dxa"/>
            <w:vAlign w:val="bottom"/>
            <w:gridSpan w:val="2"/>
          </w:tcPr>
          <w:p>
            <w:pPr>
              <w:jc w:val="right"/>
              <w:ind w:right="280"/>
              <w:spacing w:after="0" w:line="138" w:lineRule="exact"/>
              <w:rPr>
                <w:sz w:val="20"/>
                <w:szCs w:val="20"/>
                <w:color w:val="auto"/>
              </w:rPr>
            </w:pPr>
            <w:r>
              <w:rPr>
                <w:rFonts w:ascii="Arial" w:cs="Arial" w:eastAsia="Arial" w:hAnsi="Arial"/>
                <w:sz w:val="13"/>
                <w:szCs w:val="13"/>
                <w:color w:val="auto"/>
              </w:rPr>
              <w:t>12.13%</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3"/>
                <w:szCs w:val="13"/>
                <w:color w:val="auto"/>
                <w:w w:val="98"/>
              </w:rPr>
              <w:t>16,000,000</w:t>
            </w:r>
          </w:p>
        </w:tc>
        <w:tc>
          <w:tcPr>
            <w:tcW w:w="80" w:type="dxa"/>
            <w:vAlign w:val="bottom"/>
          </w:tcPr>
          <w:p>
            <w:pPr>
              <w:spacing w:after="0"/>
              <w:rPr>
                <w:sz w:val="11"/>
                <w:szCs w:val="11"/>
                <w:color w:val="auto"/>
              </w:rPr>
            </w:pPr>
          </w:p>
        </w:tc>
        <w:tc>
          <w:tcPr>
            <w:tcW w:w="98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15,752,822</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18,560,000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94"/>
              </w:rPr>
              <w:t>Inns and Gaming</w:t>
            </w: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TransFirst Holdings, Inc.</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06/15/2015</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Financial Services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6.22%</w:t>
            </w:r>
          </w:p>
        </w:tc>
        <w:tc>
          <w:tcPr>
            <w:tcW w:w="900" w:type="dxa"/>
            <w:vAlign w:val="bottom"/>
            <w:gridSpan w:val="2"/>
            <w:shd w:val="clear" w:color="auto" w:fill="CCEEFF"/>
          </w:tcPr>
          <w:p>
            <w:pPr>
              <w:jc w:val="right"/>
              <w:ind w:right="204"/>
              <w:spacing w:after="0"/>
              <w:rPr>
                <w:sz w:val="20"/>
                <w:szCs w:val="20"/>
                <w:color w:val="auto"/>
              </w:rPr>
            </w:pPr>
            <w:r>
              <w:rPr>
                <w:rFonts w:ascii="Arial" w:cs="Arial" w:eastAsia="Arial" w:hAnsi="Arial"/>
                <w:sz w:val="13"/>
                <w:szCs w:val="13"/>
                <w:color w:val="auto"/>
              </w:rPr>
              <w:t>L+600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7,811,488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7,511,344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7,411,149</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3"/>
                <w:szCs w:val="13"/>
                <w:b w:val="1"/>
                <w:bCs w:val="1"/>
                <w:color w:val="auto"/>
              </w:rPr>
              <w:t>Total Second Lien Secured Debt</w:t>
            </w:r>
          </w:p>
        </w:tc>
        <w:tc>
          <w:tcPr>
            <w:tcW w:w="1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6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w w:val="99"/>
              </w:rPr>
              <w:t>188,644,968</w:t>
            </w:r>
          </w:p>
        </w:tc>
        <w:tc>
          <w:tcPr>
            <w:tcW w:w="780" w:type="dxa"/>
            <w:vAlign w:val="bottom"/>
          </w:tcPr>
          <w:p>
            <w:pPr>
              <w:jc w:val="right"/>
              <w:spacing w:after="0"/>
              <w:rPr>
                <w:sz w:val="20"/>
                <w:szCs w:val="20"/>
                <w:color w:val="auto"/>
              </w:rPr>
            </w:pPr>
            <w:r>
              <w:rPr>
                <w:rFonts w:ascii="Arial" w:cs="Arial" w:eastAsia="Arial" w:hAnsi="Arial"/>
                <w:sz w:val="13"/>
                <w:szCs w:val="13"/>
                <w:color w:val="auto"/>
              </w:rPr>
              <w:t>169,366,959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Subordinated Debt/Corporate Notes—52.4%</w:t>
            </w:r>
          </w:p>
        </w:tc>
        <w:tc>
          <w:tcPr>
            <w:tcW w:w="136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20"/>
                <w:szCs w:val="20"/>
                <w:color w:val="auto"/>
              </w:rPr>
            </w:pPr>
            <w:r>
              <w:rPr>
                <w:rFonts w:ascii="Arial" w:cs="Arial" w:eastAsia="Arial" w:hAnsi="Arial"/>
                <w:sz w:val="13"/>
                <w:szCs w:val="13"/>
                <w:color w:val="auto"/>
              </w:rPr>
              <w:t>Acentia, LLC</w:t>
            </w:r>
          </w:p>
        </w:tc>
        <w:tc>
          <w:tcPr>
            <w:tcW w:w="1360" w:type="dxa"/>
            <w:vAlign w:val="bottom"/>
          </w:tcPr>
          <w:p>
            <w:pPr>
              <w:jc w:val="right"/>
              <w:ind w:right="13"/>
              <w:spacing w:after="0"/>
              <w:rPr>
                <w:sz w:val="20"/>
                <w:szCs w:val="20"/>
                <w:color w:val="auto"/>
              </w:rPr>
            </w:pPr>
            <w:r>
              <w:rPr>
                <w:rFonts w:ascii="Arial" w:cs="Arial" w:eastAsia="Arial" w:hAnsi="Arial"/>
                <w:sz w:val="13"/>
                <w:szCs w:val="13"/>
                <w:color w:val="auto"/>
              </w:rPr>
              <w:t>10/02/2017</w:t>
            </w:r>
          </w:p>
        </w:tc>
        <w:tc>
          <w:tcPr>
            <w:tcW w:w="2100" w:type="dxa"/>
            <w:vAlign w:val="bottom"/>
          </w:tcPr>
          <w:p>
            <w:pPr>
              <w:jc w:val="center"/>
              <w:spacing w:after="0"/>
              <w:rPr>
                <w:sz w:val="20"/>
                <w:szCs w:val="20"/>
                <w:color w:val="auto"/>
              </w:rPr>
            </w:pPr>
            <w:r>
              <w:rPr>
                <w:rFonts w:ascii="Arial" w:cs="Arial" w:eastAsia="Arial" w:hAnsi="Arial"/>
                <w:sz w:val="13"/>
                <w:szCs w:val="13"/>
                <w:color w:val="auto"/>
                <w:w w:val="97"/>
              </w:rPr>
              <w:t>Electronics</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13.75%</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19,000,000</w:t>
            </w:r>
          </w:p>
        </w:tc>
        <w:tc>
          <w:tcPr>
            <w:tcW w:w="8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18,563,943</w:t>
            </w:r>
          </w:p>
        </w:tc>
        <w:tc>
          <w:tcPr>
            <w:tcW w:w="780" w:type="dxa"/>
            <w:vAlign w:val="bottom"/>
          </w:tcPr>
          <w:p>
            <w:pPr>
              <w:jc w:val="right"/>
              <w:spacing w:after="0"/>
              <w:rPr>
                <w:sz w:val="20"/>
                <w:szCs w:val="20"/>
                <w:color w:val="auto"/>
              </w:rPr>
            </w:pPr>
            <w:r>
              <w:rPr>
                <w:rFonts w:ascii="Arial" w:cs="Arial" w:eastAsia="Arial" w:hAnsi="Arial"/>
                <w:sz w:val="13"/>
                <w:szCs w:val="13"/>
                <w:color w:val="auto"/>
              </w:rPr>
              <w:t>19,000,000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60" w:type="dxa"/>
            <w:vAlign w:val="bottom"/>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11/15/2015</w:t>
            </w:r>
          </w:p>
        </w:tc>
        <w:tc>
          <w:tcPr>
            <w:tcW w:w="2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Consumer Products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11.63%</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35,552,000</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34,172,451</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24,175,360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20"/>
                <w:szCs w:val="20"/>
                <w:color w:val="auto"/>
              </w:rPr>
            </w:pPr>
            <w:r>
              <w:rPr>
                <w:rFonts w:ascii="Arial" w:cs="Arial" w:eastAsia="Arial" w:hAnsi="Arial"/>
                <w:sz w:val="13"/>
                <w:szCs w:val="13"/>
                <w:color w:val="auto"/>
              </w:rPr>
              <w:t>Alegeus Technologies, LLC</w:t>
            </w:r>
          </w:p>
        </w:tc>
        <w:tc>
          <w:tcPr>
            <w:tcW w:w="1360" w:type="dxa"/>
            <w:vAlign w:val="bottom"/>
          </w:tcPr>
          <w:p>
            <w:pPr>
              <w:jc w:val="right"/>
              <w:ind w:right="13"/>
              <w:spacing w:after="0"/>
              <w:rPr>
                <w:sz w:val="20"/>
                <w:szCs w:val="20"/>
                <w:color w:val="auto"/>
              </w:rPr>
            </w:pPr>
            <w:r>
              <w:rPr>
                <w:rFonts w:ascii="Arial" w:cs="Arial" w:eastAsia="Arial" w:hAnsi="Arial"/>
                <w:sz w:val="13"/>
                <w:szCs w:val="13"/>
                <w:color w:val="auto"/>
              </w:rPr>
              <w:t>02/15/2019</w:t>
            </w:r>
          </w:p>
        </w:tc>
        <w:tc>
          <w:tcPr>
            <w:tcW w:w="2100" w:type="dxa"/>
            <w:vAlign w:val="bottom"/>
          </w:tcPr>
          <w:p>
            <w:pPr>
              <w:jc w:val="center"/>
              <w:spacing w:after="0"/>
              <w:rPr>
                <w:sz w:val="20"/>
                <w:szCs w:val="20"/>
                <w:color w:val="auto"/>
              </w:rPr>
            </w:pPr>
            <w:r>
              <w:rPr>
                <w:rFonts w:ascii="Arial" w:cs="Arial" w:eastAsia="Arial" w:hAnsi="Arial"/>
                <w:sz w:val="13"/>
                <w:szCs w:val="13"/>
                <w:color w:val="auto"/>
                <w:w w:val="92"/>
              </w:rPr>
              <w:t>Financial Services</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12.00%</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8,930,000</w:t>
            </w:r>
          </w:p>
        </w:tc>
        <w:tc>
          <w:tcPr>
            <w:tcW w:w="8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8,754,461</w:t>
            </w:r>
          </w:p>
        </w:tc>
        <w:tc>
          <w:tcPr>
            <w:tcW w:w="780" w:type="dxa"/>
            <w:vAlign w:val="bottom"/>
          </w:tcPr>
          <w:p>
            <w:pPr>
              <w:jc w:val="right"/>
              <w:spacing w:after="0"/>
              <w:rPr>
                <w:sz w:val="20"/>
                <w:szCs w:val="20"/>
                <w:color w:val="auto"/>
              </w:rPr>
            </w:pPr>
            <w:r>
              <w:rPr>
                <w:rFonts w:ascii="Arial" w:cs="Arial" w:eastAsia="Arial" w:hAnsi="Arial"/>
                <w:sz w:val="13"/>
                <w:szCs w:val="13"/>
                <w:color w:val="auto"/>
              </w:rPr>
              <w:t>8,930,000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26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Convergint Technologies LLC</w:t>
            </w:r>
          </w:p>
        </w:tc>
        <w:tc>
          <w:tcPr>
            <w:tcW w:w="1360" w:type="dxa"/>
            <w:vAlign w:val="bottom"/>
            <w:shd w:val="clear" w:color="auto" w:fill="CCEEFF"/>
          </w:tcPr>
          <w:p>
            <w:pPr>
              <w:jc w:val="right"/>
              <w:ind w:right="13"/>
              <w:spacing w:after="0" w:line="138" w:lineRule="exact"/>
              <w:rPr>
                <w:sz w:val="20"/>
                <w:szCs w:val="20"/>
                <w:color w:val="auto"/>
              </w:rPr>
            </w:pPr>
            <w:r>
              <w:rPr>
                <w:rFonts w:ascii="Arial" w:cs="Arial" w:eastAsia="Arial" w:hAnsi="Arial"/>
                <w:sz w:val="13"/>
                <w:szCs w:val="13"/>
                <w:color w:val="auto"/>
              </w:rPr>
              <w:t>03/26/2018</w:t>
            </w:r>
          </w:p>
        </w:tc>
        <w:tc>
          <w:tcPr>
            <w:tcW w:w="210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7"/>
              </w:rPr>
              <w:t>Electronics</w:t>
            </w:r>
          </w:p>
        </w:tc>
        <w:tc>
          <w:tcPr>
            <w:tcW w:w="10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rPr>
              <w:t>12.00%</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23,277,586</w:t>
            </w:r>
          </w:p>
        </w:tc>
        <w:tc>
          <w:tcPr>
            <w:tcW w:w="8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22,812,086</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22,812,034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(PIK 1.00%)</w:t>
            </w: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260" w:type="dxa"/>
            <w:vAlign w:val="bottom"/>
          </w:tcPr>
          <w:p>
            <w:pPr>
              <w:spacing w:after="0" w:line="138" w:lineRule="exact"/>
              <w:rPr>
                <w:sz w:val="20"/>
                <w:szCs w:val="20"/>
                <w:color w:val="auto"/>
              </w:rPr>
            </w:pPr>
            <w:r>
              <w:rPr>
                <w:rFonts w:ascii="Arial" w:cs="Arial" w:eastAsia="Arial" w:hAnsi="Arial"/>
                <w:sz w:val="13"/>
                <w:szCs w:val="13"/>
                <w:color w:val="auto"/>
              </w:rPr>
              <w:t>Diversitech Corporation</w:t>
            </w:r>
          </w:p>
        </w:tc>
        <w:tc>
          <w:tcPr>
            <w:tcW w:w="1360" w:type="dxa"/>
            <w:vAlign w:val="bottom"/>
          </w:tcPr>
          <w:p>
            <w:pPr>
              <w:jc w:val="right"/>
              <w:ind w:right="13"/>
              <w:spacing w:after="0" w:line="138" w:lineRule="exact"/>
              <w:rPr>
                <w:sz w:val="20"/>
                <w:szCs w:val="20"/>
                <w:color w:val="auto"/>
              </w:rPr>
            </w:pPr>
            <w:r>
              <w:rPr>
                <w:rFonts w:ascii="Arial" w:cs="Arial" w:eastAsia="Arial" w:hAnsi="Arial"/>
                <w:sz w:val="13"/>
                <w:szCs w:val="13"/>
                <w:color w:val="auto"/>
              </w:rPr>
              <w:t>01/29/2017</w:t>
            </w:r>
          </w:p>
        </w:tc>
        <w:tc>
          <w:tcPr>
            <w:tcW w:w="2100" w:type="dxa"/>
            <w:vAlign w:val="bottom"/>
          </w:tcPr>
          <w:p>
            <w:pPr>
              <w:jc w:val="center"/>
              <w:spacing w:after="0" w:line="138" w:lineRule="exact"/>
              <w:rPr>
                <w:sz w:val="20"/>
                <w:szCs w:val="20"/>
                <w:color w:val="auto"/>
              </w:rPr>
            </w:pPr>
            <w:r>
              <w:rPr>
                <w:rFonts w:ascii="Arial" w:cs="Arial" w:eastAsia="Arial" w:hAnsi="Arial"/>
                <w:sz w:val="13"/>
                <w:szCs w:val="13"/>
                <w:color w:val="auto"/>
                <w:w w:val="97"/>
              </w:rPr>
              <w:t>Manufacturing/</w:t>
            </w:r>
          </w:p>
        </w:tc>
        <w:tc>
          <w:tcPr>
            <w:tcW w:w="1060" w:type="dxa"/>
            <w:vAlign w:val="bottom"/>
            <w:gridSpan w:val="2"/>
          </w:tcPr>
          <w:p>
            <w:pPr>
              <w:jc w:val="right"/>
              <w:ind w:right="140"/>
              <w:spacing w:after="0" w:line="138" w:lineRule="exact"/>
              <w:rPr>
                <w:sz w:val="20"/>
                <w:szCs w:val="20"/>
                <w:color w:val="auto"/>
              </w:rPr>
            </w:pPr>
            <w:r>
              <w:rPr>
                <w:rFonts w:ascii="Arial" w:cs="Arial" w:eastAsia="Arial" w:hAnsi="Arial"/>
                <w:sz w:val="10"/>
                <w:szCs w:val="10"/>
                <w:color w:val="auto"/>
              </w:rPr>
              <w:t>13.50%</w:t>
            </w:r>
            <w:r>
              <w:rPr>
                <w:rFonts w:ascii="Arial" w:cs="Arial" w:eastAsia="Arial" w:hAnsi="Arial"/>
                <w:sz w:val="15"/>
                <w:szCs w:val="15"/>
                <w:color w:val="auto"/>
                <w:vertAlign w:val="superscript"/>
              </w:rPr>
              <w:t>(7)</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74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w w:val="98"/>
              </w:rPr>
              <w:t>11,000,000</w:t>
            </w:r>
          </w:p>
        </w:tc>
        <w:tc>
          <w:tcPr>
            <w:tcW w:w="98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10,836,901</w:t>
            </w:r>
          </w:p>
        </w:tc>
        <w:tc>
          <w:tcPr>
            <w:tcW w:w="84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11,275,000</w:t>
            </w:r>
          </w:p>
        </w:tc>
        <w:tc>
          <w:tcPr>
            <w:tcW w:w="0" w:type="dxa"/>
            <w:vAlign w:val="bottom"/>
          </w:tcPr>
          <w:p>
            <w:pPr>
              <w:spacing w:after="0"/>
              <w:rPr>
                <w:sz w:val="1"/>
                <w:szCs w:val="1"/>
                <w:color w:val="auto"/>
              </w:rPr>
            </w:pPr>
          </w:p>
        </w:tc>
      </w:tr>
      <w:tr>
        <w:trPr>
          <w:trHeight w:val="172"/>
        </w:trPr>
        <w:tc>
          <w:tcPr>
            <w:tcW w:w="3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3"/>
                <w:szCs w:val="13"/>
                <w:color w:val="auto"/>
                <w:w w:val="95"/>
              </w:rPr>
              <w:t>Basic Industry</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-5836920</wp:posOffset>
            </wp:positionV>
            <wp:extent cx="7132320"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-4945380</wp:posOffset>
            </wp:positionV>
            <wp:extent cx="7132320" cy="939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-4756785</wp:posOffset>
            </wp:positionV>
            <wp:extent cx="713232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-4284980</wp:posOffset>
            </wp:positionV>
            <wp:extent cx="7132320" cy="939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-4002405</wp:posOffset>
            </wp:positionV>
            <wp:extent cx="7132320" cy="939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-3710940</wp:posOffset>
            </wp:positionV>
            <wp:extent cx="713232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-3333750</wp:posOffset>
            </wp:positionV>
            <wp:extent cx="7132320" cy="94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-3145155</wp:posOffset>
            </wp:positionV>
            <wp:extent cx="7132320"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-2073275</wp:posOffset>
            </wp:positionV>
            <wp:extent cx="7132320" cy="196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-1678940</wp:posOffset>
            </wp:positionV>
            <wp:extent cx="7132320"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Issuer Name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Escort, Inc.</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3460"/>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2" w:lineRule="exact"/>
        <w:rPr>
          <w:sz w:val="20"/>
          <w:szCs w:val="20"/>
          <w:color w:val="auto"/>
        </w:rPr>
      </w:pPr>
    </w:p>
    <w:p>
      <w:pPr>
        <w:jc w:val="center"/>
        <w:ind w:right="3460"/>
        <w:spacing w:after="0"/>
        <w:rPr>
          <w:sz w:val="20"/>
          <w:szCs w:val="20"/>
          <w:color w:val="auto"/>
        </w:rPr>
      </w:pPr>
      <w:r>
        <w:rPr>
          <w:rFonts w:ascii="Arial" w:cs="Arial" w:eastAsia="Arial" w:hAnsi="Arial"/>
          <w:sz w:val="13"/>
          <w:szCs w:val="13"/>
          <w:b w:val="1"/>
          <w:bCs w:val="1"/>
          <w:color w:val="auto"/>
        </w:rPr>
        <w:t>CONSOLIDATED SCHEDULE OF INVESTMENTS (CONTINUED)</w:t>
      </w:r>
    </w:p>
    <w:p>
      <w:pPr>
        <w:jc w:val="center"/>
        <w:ind w:right="3460"/>
        <w:spacing w:after="0"/>
        <w:rPr>
          <w:sz w:val="20"/>
          <w:szCs w:val="20"/>
          <w:color w:val="auto"/>
        </w:rPr>
      </w:pPr>
      <w:r>
        <w:rPr>
          <w:rFonts w:ascii="Arial" w:cs="Arial" w:eastAsia="Arial" w:hAnsi="Arial"/>
          <w:sz w:val="13"/>
          <w:szCs w:val="13"/>
          <w:b w:val="1"/>
          <w:bCs w:val="1"/>
          <w:color w:val="auto"/>
        </w:rPr>
        <w:t>SEPTEMBER 30, 2012</w:t>
      </w:r>
    </w:p>
    <w:p>
      <w:pPr>
        <w:spacing w:after="0" w:line="133" w:lineRule="exact"/>
        <w:rPr>
          <w:sz w:val="20"/>
          <w:szCs w:val="20"/>
          <w:color w:val="auto"/>
        </w:rPr>
      </w:pPr>
    </w:p>
    <w:tbl>
      <w:tblPr>
        <w:tblLayout w:type="fixed"/>
        <w:tblInd w:w="54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Basis Point</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Spread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ind w:left="80"/>
              <w:spacing w:after="0" w:line="134" w:lineRule="exact"/>
              <w:rPr>
                <w:sz w:val="20"/>
                <w:szCs w:val="20"/>
                <w:color w:val="auto"/>
              </w:rPr>
            </w:pPr>
            <w:r>
              <w:rPr>
                <w:rFonts w:ascii="Arial" w:cs="Arial" w:eastAsia="Arial" w:hAnsi="Arial"/>
                <w:sz w:val="13"/>
                <w:szCs w:val="13"/>
                <w:b w:val="1"/>
                <w:bCs w:val="1"/>
                <w:color w:val="auto"/>
              </w:rPr>
              <w:t>Current</w:t>
            </w:r>
          </w:p>
        </w:tc>
        <w:tc>
          <w:tcPr>
            <w:tcW w:w="80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0"/>
              </w:rPr>
              <w:t>Above</w:t>
            </w:r>
          </w:p>
        </w:tc>
        <w:tc>
          <w:tcPr>
            <w:tcW w:w="6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rPr>
              <w:t>Par/</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b w:val="1"/>
                <w:bCs w:val="1"/>
                <w:color w:val="auto"/>
                <w:w w:val="90"/>
              </w:rPr>
              <w:t xml:space="preserve">Fair Value </w:t>
            </w:r>
            <w:r>
              <w:rPr>
                <w:rFonts w:ascii="Arial" w:cs="Arial" w:eastAsia="Arial" w:hAnsi="Arial"/>
                <w:sz w:val="22"/>
                <w:szCs w:val="22"/>
                <w:b w:val="1"/>
                <w:bCs w:val="1"/>
                <w:color w:val="auto"/>
                <w:w w:val="90"/>
                <w:vertAlign w:val="superscript"/>
              </w:rPr>
              <w:t>(3)</w:t>
            </w:r>
          </w:p>
        </w:tc>
        <w:tc>
          <w:tcPr>
            <w:tcW w:w="0" w:type="dxa"/>
            <w:vAlign w:val="bottom"/>
          </w:tcPr>
          <w:p>
            <w:pPr>
              <w:spacing w:after="0"/>
              <w:rPr>
                <w:sz w:val="1"/>
                <w:szCs w:val="1"/>
                <w:color w:val="auto"/>
              </w:rPr>
            </w:pPr>
          </w:p>
        </w:tc>
      </w:tr>
      <w:tr>
        <w:trPr>
          <w:trHeight w:val="176"/>
        </w:trPr>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Maturity</w:t>
            </w:r>
          </w:p>
        </w:tc>
        <w:tc>
          <w:tcPr>
            <w:tcW w:w="1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Industry</w:t>
            </w:r>
          </w:p>
        </w:tc>
        <w:tc>
          <w:tcPr>
            <w:tcW w:w="1000" w:type="dxa"/>
            <w:vAlign w:val="bottom"/>
            <w:gridSpan w:val="2"/>
          </w:tcPr>
          <w:p>
            <w:pPr>
              <w:ind w:left="100"/>
              <w:spacing w:after="0"/>
              <w:rPr>
                <w:sz w:val="20"/>
                <w:szCs w:val="20"/>
                <w:color w:val="auto"/>
              </w:rPr>
            </w:pPr>
            <w:r>
              <w:rPr>
                <w:rFonts w:ascii="Arial" w:cs="Arial" w:eastAsia="Arial" w:hAnsi="Arial"/>
                <w:sz w:val="13"/>
                <w:szCs w:val="13"/>
                <w:b w:val="1"/>
                <w:bCs w:val="1"/>
                <w:color w:val="auto"/>
              </w:rPr>
              <w:t>Coupon</w:t>
            </w:r>
          </w:p>
        </w:tc>
        <w:tc>
          <w:tcPr>
            <w:tcW w:w="800" w:type="dxa"/>
            <w:vAlign w:val="bottom"/>
            <w:gridSpan w:val="2"/>
          </w:tcPr>
          <w:p>
            <w:pPr>
              <w:jc w:val="center"/>
              <w:ind w:right="160"/>
              <w:spacing w:after="0" w:line="176" w:lineRule="exact"/>
              <w:rPr>
                <w:sz w:val="20"/>
                <w:szCs w:val="20"/>
                <w:color w:val="auto"/>
              </w:rPr>
            </w:pPr>
            <w:r>
              <w:rPr>
                <w:rFonts w:ascii="Arial" w:cs="Arial" w:eastAsia="Arial" w:hAnsi="Arial"/>
                <w:sz w:val="12"/>
                <w:szCs w:val="12"/>
                <w:b w:val="1"/>
                <w:bCs w:val="1"/>
                <w:color w:val="auto"/>
                <w:w w:val="94"/>
              </w:rPr>
              <w:t xml:space="preserve">Index </w:t>
            </w:r>
            <w:r>
              <w:rPr>
                <w:rFonts w:ascii="Arial" w:cs="Arial" w:eastAsia="Arial" w:hAnsi="Arial"/>
                <w:sz w:val="20"/>
                <w:szCs w:val="20"/>
                <w:b w:val="1"/>
                <w:bCs w:val="1"/>
                <w:color w:val="auto"/>
                <w:w w:val="94"/>
                <w:vertAlign w:val="superscript"/>
              </w:rPr>
              <w:t>(4)</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Cost</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6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color w:val="auto"/>
                <w:w w:val="98"/>
              </w:rPr>
              <w:t>06/01/2016</w:t>
            </w:r>
          </w:p>
        </w:tc>
        <w:tc>
          <w:tcPr>
            <w:tcW w:w="300" w:type="dxa"/>
            <w:vAlign w:val="bottom"/>
          </w:tcPr>
          <w:p>
            <w:pPr>
              <w:spacing w:after="0"/>
              <w:rPr>
                <w:sz w:val="10"/>
                <w:szCs w:val="10"/>
                <w:color w:val="auto"/>
              </w:rPr>
            </w:pPr>
          </w:p>
        </w:tc>
        <w:tc>
          <w:tcPr>
            <w:tcW w:w="184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color w:val="auto"/>
                <w:w w:val="94"/>
              </w:rPr>
              <w:t>Electronics</w:t>
            </w:r>
          </w:p>
        </w:tc>
        <w:tc>
          <w:tcPr>
            <w:tcW w:w="80" w:type="dxa"/>
            <w:vAlign w:val="bottom"/>
          </w:tcPr>
          <w:p>
            <w:pPr>
              <w:spacing w:after="0"/>
              <w:rPr>
                <w:sz w:val="10"/>
                <w:szCs w:val="10"/>
                <w:color w:val="auto"/>
              </w:rPr>
            </w:pPr>
          </w:p>
        </w:tc>
        <w:tc>
          <w:tcPr>
            <w:tcW w:w="64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color w:val="auto"/>
              </w:rPr>
              <w:t>14.75</w:t>
            </w:r>
          </w:p>
        </w:tc>
        <w:tc>
          <w:tcPr>
            <w:tcW w:w="360" w:type="dxa"/>
            <w:vAlign w:val="bottom"/>
          </w:tcPr>
          <w:p>
            <w:pPr>
              <w:jc w:val="right"/>
              <w:ind w:right="173"/>
              <w:spacing w:after="0" w:line="118" w:lineRule="exact"/>
              <w:rPr>
                <w:sz w:val="20"/>
                <w:szCs w:val="20"/>
                <w:color w:val="auto"/>
              </w:rPr>
            </w:pPr>
            <w:r>
              <w:rPr>
                <w:rFonts w:ascii="Arial" w:cs="Arial" w:eastAsia="Arial" w:hAnsi="Arial"/>
                <w:sz w:val="13"/>
                <w:szCs w:val="13"/>
                <w:color w:val="auto"/>
                <w:w w:val="86"/>
              </w:rPr>
              <w:t>%</w:t>
            </w:r>
          </w:p>
        </w:tc>
        <w:tc>
          <w:tcPr>
            <w:tcW w:w="640" w:type="dxa"/>
            <w:vAlign w:val="bottom"/>
            <w:tcBorders>
              <w:top w:val="single" w:sz="8" w:color="auto"/>
            </w:tcBorders>
          </w:tcPr>
          <w:p>
            <w:pPr>
              <w:ind w:left="440"/>
              <w:spacing w:after="0" w:line="11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6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color w:val="auto"/>
                <w:w w:val="98"/>
              </w:rPr>
              <w:t>25,254,035</w:t>
            </w:r>
          </w:p>
        </w:tc>
        <w:tc>
          <w:tcPr>
            <w:tcW w:w="160" w:type="dxa"/>
            <w:vAlign w:val="bottom"/>
          </w:tcPr>
          <w:p>
            <w:pPr>
              <w:spacing w:after="0"/>
              <w:rPr>
                <w:sz w:val="10"/>
                <w:szCs w:val="10"/>
                <w:color w:val="auto"/>
              </w:rPr>
            </w:pPr>
          </w:p>
        </w:tc>
        <w:tc>
          <w:tcPr>
            <w:tcW w:w="74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color w:val="auto"/>
                <w:w w:val="94"/>
              </w:rPr>
              <w:t>$ 24,751,548</w:t>
            </w:r>
          </w:p>
        </w:tc>
        <w:tc>
          <w:tcPr>
            <w:tcW w:w="160" w:type="dxa"/>
            <w:vAlign w:val="bottom"/>
          </w:tcPr>
          <w:p>
            <w:pPr>
              <w:spacing w:after="0"/>
              <w:rPr>
                <w:sz w:val="10"/>
                <w:szCs w:val="10"/>
                <w:color w:val="auto"/>
              </w:rPr>
            </w:pPr>
          </w:p>
        </w:tc>
        <w:tc>
          <w:tcPr>
            <w:tcW w:w="780" w:type="dxa"/>
            <w:vAlign w:val="bottom"/>
            <w:tcBorders>
              <w:top w:val="single" w:sz="8" w:color="auto"/>
            </w:tcBorders>
          </w:tcPr>
          <w:p>
            <w:pPr>
              <w:spacing w:after="0" w:line="118" w:lineRule="exact"/>
              <w:rPr>
                <w:sz w:val="20"/>
                <w:szCs w:val="20"/>
                <w:color w:val="auto"/>
              </w:rPr>
            </w:pPr>
            <w:r>
              <w:rPr>
                <w:rFonts w:ascii="Arial" w:cs="Arial" w:eastAsia="Arial" w:hAnsi="Arial"/>
                <w:sz w:val="13"/>
                <w:szCs w:val="13"/>
                <w:color w:val="auto"/>
                <w:w w:val="95"/>
              </w:rPr>
              <w:t>$  25,254,035</w:t>
            </w:r>
          </w:p>
        </w:tc>
        <w:tc>
          <w:tcPr>
            <w:tcW w:w="0" w:type="dxa"/>
            <w:vAlign w:val="bottom"/>
          </w:tcPr>
          <w:p>
            <w:pPr>
              <w:spacing w:after="0"/>
              <w:rPr>
                <w:sz w:val="1"/>
                <w:szCs w:val="1"/>
                <w:color w:val="auto"/>
              </w:rPr>
            </w:pPr>
          </w:p>
        </w:tc>
      </w:tr>
      <w:tr>
        <w:trPr>
          <w:trHeight w:val="186"/>
        </w:trPr>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3"/>
                <w:szCs w:val="13"/>
                <w:color w:val="auto"/>
              </w:rPr>
              <w:t>(PIK 2.75%)</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-204470</wp:posOffset>
            </wp:positionV>
            <wp:extent cx="7132320" cy="205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740" w:space="720"/>
            <w:col w:w="778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3720" w:type="dxa"/>
            <w:vAlign w:val="bottom"/>
          </w:tcPr>
          <w:p>
            <w:pPr>
              <w:spacing w:after="0" w:line="138" w:lineRule="exact"/>
              <w:rPr>
                <w:sz w:val="20"/>
                <w:szCs w:val="20"/>
                <w:color w:val="auto"/>
              </w:rPr>
            </w:pPr>
            <w:r>
              <w:rPr>
                <w:rFonts w:ascii="Arial" w:cs="Arial" w:eastAsia="Arial" w:hAnsi="Arial"/>
                <w:sz w:val="13"/>
                <w:szCs w:val="13"/>
                <w:color w:val="auto"/>
              </w:rPr>
              <w:t>Galls, LLC; Quartermaster Inc.</w:t>
            </w:r>
          </w:p>
        </w:tc>
        <w:tc>
          <w:tcPr>
            <w:tcW w:w="1120" w:type="dxa"/>
            <w:vAlign w:val="bottom"/>
          </w:tcPr>
          <w:p>
            <w:pPr>
              <w:jc w:val="right"/>
              <w:ind w:right="113"/>
              <w:spacing w:after="0" w:line="138" w:lineRule="exact"/>
              <w:rPr>
                <w:sz w:val="20"/>
                <w:szCs w:val="20"/>
                <w:color w:val="auto"/>
              </w:rPr>
            </w:pPr>
            <w:r>
              <w:rPr>
                <w:rFonts w:ascii="Arial" w:cs="Arial" w:eastAsia="Arial" w:hAnsi="Arial"/>
                <w:sz w:val="13"/>
                <w:szCs w:val="13"/>
                <w:color w:val="auto"/>
              </w:rPr>
              <w:t>03/31/2017</w:t>
            </w:r>
          </w:p>
        </w:tc>
        <w:tc>
          <w:tcPr>
            <w:tcW w:w="2000" w:type="dxa"/>
            <w:vAlign w:val="bottom"/>
          </w:tcPr>
          <w:p>
            <w:pPr>
              <w:ind w:left="720"/>
              <w:spacing w:after="0" w:line="138" w:lineRule="exact"/>
              <w:rPr>
                <w:sz w:val="20"/>
                <w:szCs w:val="20"/>
                <w:color w:val="auto"/>
              </w:rPr>
            </w:pPr>
            <w:r>
              <w:rPr>
                <w:rFonts w:ascii="Arial" w:cs="Arial" w:eastAsia="Arial" w:hAnsi="Arial"/>
                <w:sz w:val="13"/>
                <w:szCs w:val="13"/>
                <w:color w:val="auto"/>
              </w:rPr>
              <w:t>Distribution</w:t>
            </w:r>
          </w:p>
        </w:tc>
        <w:tc>
          <w:tcPr>
            <w:tcW w:w="1200" w:type="dxa"/>
            <w:vAlign w:val="bottom"/>
          </w:tcPr>
          <w:p>
            <w:pPr>
              <w:jc w:val="right"/>
              <w:ind w:right="333"/>
              <w:spacing w:after="0" w:line="138" w:lineRule="exact"/>
              <w:rPr>
                <w:sz w:val="20"/>
                <w:szCs w:val="20"/>
                <w:color w:val="auto"/>
              </w:rPr>
            </w:pPr>
            <w:r>
              <w:rPr>
                <w:rFonts w:ascii="Arial" w:cs="Arial" w:eastAsia="Arial" w:hAnsi="Arial"/>
                <w:sz w:val="13"/>
                <w:szCs w:val="13"/>
                <w:color w:val="auto"/>
              </w:rPr>
              <w:t>13.00%</w:t>
            </w:r>
          </w:p>
        </w:tc>
        <w:tc>
          <w:tcPr>
            <w:tcW w:w="560" w:type="dxa"/>
            <w:vAlign w:val="bottom"/>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93"/>
              <w:spacing w:after="0" w:line="138" w:lineRule="exact"/>
              <w:rPr>
                <w:sz w:val="20"/>
                <w:szCs w:val="20"/>
                <w:color w:val="auto"/>
              </w:rPr>
            </w:pPr>
            <w:r>
              <w:rPr>
                <w:rFonts w:ascii="Arial" w:cs="Arial" w:eastAsia="Arial" w:hAnsi="Arial"/>
                <w:sz w:val="13"/>
                <w:szCs w:val="13"/>
                <w:color w:val="auto"/>
              </w:rPr>
              <w:t>21,797,263</w:t>
            </w:r>
          </w:p>
        </w:tc>
        <w:tc>
          <w:tcPr>
            <w:tcW w:w="9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21,399,764</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21,906,249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0" w:type="dxa"/>
            <w:vAlign w:val="bottom"/>
          </w:tcPr>
          <w:p>
            <w:pPr>
              <w:jc w:val="right"/>
              <w:ind w:right="293"/>
              <w:spacing w:after="0"/>
              <w:rPr>
                <w:sz w:val="20"/>
                <w:szCs w:val="20"/>
                <w:color w:val="auto"/>
              </w:rPr>
            </w:pPr>
            <w:r>
              <w:rPr>
                <w:rFonts w:ascii="Arial" w:cs="Arial" w:eastAsia="Arial" w:hAnsi="Arial"/>
                <w:sz w:val="13"/>
                <w:szCs w:val="13"/>
                <w:color w:val="auto"/>
              </w:rPr>
              <w:t>(PIK 2.00%)</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JF Acquisition, LLC</w:t>
            </w:r>
          </w:p>
        </w:tc>
        <w:tc>
          <w:tcPr>
            <w:tcW w:w="11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3"/>
                <w:szCs w:val="13"/>
                <w:color w:val="auto"/>
              </w:rPr>
              <w:t>06/30/2017</w:t>
            </w:r>
          </w:p>
        </w:tc>
        <w:tc>
          <w:tcPr>
            <w:tcW w:w="2000" w:type="dxa"/>
            <w:vAlign w:val="bottom"/>
            <w:shd w:val="clear" w:color="auto" w:fill="CCEEFF"/>
          </w:tcPr>
          <w:p>
            <w:pPr>
              <w:ind w:left="720"/>
              <w:spacing w:after="0" w:line="138" w:lineRule="exact"/>
              <w:rPr>
                <w:sz w:val="20"/>
                <w:szCs w:val="20"/>
                <w:color w:val="auto"/>
              </w:rPr>
            </w:pPr>
            <w:r>
              <w:rPr>
                <w:rFonts w:ascii="Arial" w:cs="Arial" w:eastAsia="Arial" w:hAnsi="Arial"/>
                <w:sz w:val="13"/>
                <w:szCs w:val="13"/>
                <w:color w:val="auto"/>
              </w:rPr>
              <w:t>Distribution</w:t>
            </w:r>
          </w:p>
        </w:tc>
        <w:tc>
          <w:tcPr>
            <w:tcW w:w="1200" w:type="dxa"/>
            <w:vAlign w:val="bottom"/>
            <w:shd w:val="clear" w:color="auto" w:fill="CCEEFF"/>
          </w:tcPr>
          <w:p>
            <w:pPr>
              <w:jc w:val="right"/>
              <w:ind w:right="333"/>
              <w:spacing w:after="0" w:line="138" w:lineRule="exact"/>
              <w:rPr>
                <w:sz w:val="20"/>
                <w:szCs w:val="20"/>
                <w:color w:val="auto"/>
              </w:rPr>
            </w:pPr>
            <w:r>
              <w:rPr>
                <w:rFonts w:ascii="Arial" w:cs="Arial" w:eastAsia="Arial" w:hAnsi="Arial"/>
                <w:sz w:val="13"/>
                <w:szCs w:val="13"/>
                <w:color w:val="auto"/>
              </w:rPr>
              <w:t>14.00%</w:t>
            </w:r>
          </w:p>
        </w:tc>
        <w:tc>
          <w:tcPr>
            <w:tcW w:w="560" w:type="dxa"/>
            <w:vAlign w:val="bottom"/>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17,171,374</w:t>
            </w:r>
          </w:p>
        </w:tc>
        <w:tc>
          <w:tcPr>
            <w:tcW w:w="9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16,748,220</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17,377,430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(PIK 2.00%)</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20" w:type="dxa"/>
            <w:vAlign w:val="bottom"/>
          </w:tcPr>
          <w:p>
            <w:pPr>
              <w:spacing w:after="0" w:line="138" w:lineRule="exact"/>
              <w:rPr>
                <w:sz w:val="20"/>
                <w:szCs w:val="20"/>
                <w:color w:val="auto"/>
              </w:rPr>
            </w:pPr>
            <w:r>
              <w:rPr>
                <w:rFonts w:ascii="Arial" w:cs="Arial" w:eastAsia="Arial" w:hAnsi="Arial"/>
                <w:sz w:val="13"/>
                <w:szCs w:val="13"/>
                <w:color w:val="auto"/>
              </w:rPr>
              <w:t>Last Mile Funding Corp.</w:t>
            </w:r>
          </w:p>
        </w:tc>
        <w:tc>
          <w:tcPr>
            <w:tcW w:w="1120" w:type="dxa"/>
            <w:vAlign w:val="bottom"/>
          </w:tcPr>
          <w:p>
            <w:pPr>
              <w:jc w:val="right"/>
              <w:ind w:right="113"/>
              <w:spacing w:after="0" w:line="138" w:lineRule="exact"/>
              <w:rPr>
                <w:sz w:val="20"/>
                <w:szCs w:val="20"/>
                <w:color w:val="auto"/>
              </w:rPr>
            </w:pPr>
            <w:r>
              <w:rPr>
                <w:rFonts w:ascii="Arial" w:cs="Arial" w:eastAsia="Arial" w:hAnsi="Arial"/>
                <w:sz w:val="13"/>
                <w:szCs w:val="13"/>
                <w:color w:val="auto"/>
              </w:rPr>
              <w:t>06/30/2016</w:t>
            </w:r>
          </w:p>
        </w:tc>
        <w:tc>
          <w:tcPr>
            <w:tcW w:w="2000" w:type="dxa"/>
            <w:vAlign w:val="bottom"/>
          </w:tcPr>
          <w:p>
            <w:pPr>
              <w:jc w:val="center"/>
              <w:ind w:left="13"/>
              <w:spacing w:after="0" w:line="138" w:lineRule="exact"/>
              <w:rPr>
                <w:sz w:val="20"/>
                <w:szCs w:val="20"/>
                <w:color w:val="auto"/>
              </w:rPr>
            </w:pPr>
            <w:r>
              <w:rPr>
                <w:rFonts w:ascii="Arial" w:cs="Arial" w:eastAsia="Arial" w:hAnsi="Arial"/>
                <w:sz w:val="13"/>
                <w:szCs w:val="13"/>
                <w:color w:val="auto"/>
                <w:w w:val="92"/>
              </w:rPr>
              <w:t>Cargo Transport</w:t>
            </w:r>
          </w:p>
        </w:tc>
        <w:tc>
          <w:tcPr>
            <w:tcW w:w="1200" w:type="dxa"/>
            <w:vAlign w:val="bottom"/>
          </w:tcPr>
          <w:p>
            <w:pPr>
              <w:jc w:val="right"/>
              <w:ind w:right="333"/>
              <w:spacing w:after="0" w:line="138" w:lineRule="exact"/>
              <w:rPr>
                <w:sz w:val="20"/>
                <w:szCs w:val="20"/>
                <w:color w:val="auto"/>
              </w:rPr>
            </w:pPr>
            <w:r>
              <w:rPr>
                <w:rFonts w:ascii="Arial" w:cs="Arial" w:eastAsia="Arial" w:hAnsi="Arial"/>
                <w:sz w:val="13"/>
                <w:szCs w:val="13"/>
                <w:color w:val="auto"/>
              </w:rPr>
              <w:t>14.50%</w:t>
            </w:r>
          </w:p>
        </w:tc>
        <w:tc>
          <w:tcPr>
            <w:tcW w:w="560" w:type="dxa"/>
            <w:vAlign w:val="bottom"/>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93"/>
              <w:spacing w:after="0" w:line="138" w:lineRule="exact"/>
              <w:rPr>
                <w:sz w:val="20"/>
                <w:szCs w:val="20"/>
                <w:color w:val="auto"/>
              </w:rPr>
            </w:pPr>
            <w:r>
              <w:rPr>
                <w:rFonts w:ascii="Arial" w:cs="Arial" w:eastAsia="Arial" w:hAnsi="Arial"/>
                <w:sz w:val="13"/>
                <w:szCs w:val="13"/>
                <w:color w:val="auto"/>
              </w:rPr>
              <w:t>45,597,139</w:t>
            </w:r>
          </w:p>
        </w:tc>
        <w:tc>
          <w:tcPr>
            <w:tcW w:w="9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44,677,474</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45,095,570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0" w:type="dxa"/>
            <w:vAlign w:val="bottom"/>
          </w:tcPr>
          <w:p>
            <w:pPr>
              <w:jc w:val="right"/>
              <w:ind w:right="293"/>
              <w:spacing w:after="0"/>
              <w:rPr>
                <w:sz w:val="20"/>
                <w:szCs w:val="20"/>
                <w:color w:val="auto"/>
              </w:rPr>
            </w:pPr>
            <w:r>
              <w:rPr>
                <w:rFonts w:ascii="Arial" w:cs="Arial" w:eastAsia="Arial" w:hAnsi="Arial"/>
                <w:sz w:val="13"/>
                <w:szCs w:val="13"/>
                <w:color w:val="auto"/>
              </w:rPr>
              <w:t>(PIK 2.50%)</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Learning Care Group (US) Inc.</w:t>
            </w:r>
          </w:p>
        </w:tc>
        <w:tc>
          <w:tcPr>
            <w:tcW w:w="11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3"/>
                <w:szCs w:val="13"/>
                <w:color w:val="auto"/>
              </w:rPr>
              <w:t>06/30/2016</w:t>
            </w:r>
          </w:p>
        </w:tc>
        <w:tc>
          <w:tcPr>
            <w:tcW w:w="2000" w:type="dxa"/>
            <w:vAlign w:val="bottom"/>
            <w:shd w:val="clear" w:color="auto" w:fill="CCEEFF"/>
          </w:tcPr>
          <w:p>
            <w:pPr>
              <w:jc w:val="center"/>
              <w:ind w:left="13"/>
              <w:spacing w:after="0" w:line="138" w:lineRule="exact"/>
              <w:rPr>
                <w:sz w:val="20"/>
                <w:szCs w:val="20"/>
                <w:color w:val="auto"/>
              </w:rPr>
            </w:pPr>
            <w:r>
              <w:rPr>
                <w:rFonts w:ascii="Arial" w:cs="Arial" w:eastAsia="Arial" w:hAnsi="Arial"/>
                <w:sz w:val="13"/>
                <w:szCs w:val="13"/>
                <w:color w:val="auto"/>
                <w:w w:val="96"/>
              </w:rPr>
              <w:t>Education</w:t>
            </w:r>
          </w:p>
        </w:tc>
        <w:tc>
          <w:tcPr>
            <w:tcW w:w="1200" w:type="dxa"/>
            <w:vAlign w:val="bottom"/>
            <w:shd w:val="clear" w:color="auto" w:fill="CCEEFF"/>
          </w:tcPr>
          <w:p>
            <w:pPr>
              <w:jc w:val="right"/>
              <w:ind w:right="333"/>
              <w:spacing w:after="0" w:line="138" w:lineRule="exact"/>
              <w:rPr>
                <w:sz w:val="20"/>
                <w:szCs w:val="20"/>
                <w:color w:val="auto"/>
              </w:rPr>
            </w:pPr>
            <w:r>
              <w:rPr>
                <w:rFonts w:ascii="Arial" w:cs="Arial" w:eastAsia="Arial" w:hAnsi="Arial"/>
                <w:sz w:val="13"/>
                <w:szCs w:val="13"/>
                <w:color w:val="auto"/>
              </w:rPr>
              <w:t>15.00%</w:t>
            </w:r>
          </w:p>
        </w:tc>
        <w:tc>
          <w:tcPr>
            <w:tcW w:w="560" w:type="dxa"/>
            <w:vAlign w:val="bottom"/>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5,277,718</w:t>
            </w:r>
          </w:p>
        </w:tc>
        <w:tc>
          <w:tcPr>
            <w:tcW w:w="9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4,696,436</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4,815,918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(PIK 15.00%)</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20"/>
                <w:szCs w:val="20"/>
                <w:color w:val="auto"/>
              </w:rPr>
            </w:pPr>
            <w:r>
              <w:rPr>
                <w:rFonts w:ascii="Arial" w:cs="Arial" w:eastAsia="Arial" w:hAnsi="Arial"/>
                <w:sz w:val="13"/>
                <w:szCs w:val="13"/>
                <w:color w:val="auto"/>
              </w:rPr>
              <w:t>LTI Flexible Products, Inc.</w:t>
            </w:r>
          </w:p>
        </w:tc>
        <w:tc>
          <w:tcPr>
            <w:tcW w:w="1120" w:type="dxa"/>
            <w:vAlign w:val="bottom"/>
          </w:tcPr>
          <w:p>
            <w:pPr>
              <w:jc w:val="right"/>
              <w:ind w:right="113"/>
              <w:spacing w:after="0"/>
              <w:rPr>
                <w:sz w:val="20"/>
                <w:szCs w:val="20"/>
                <w:color w:val="auto"/>
              </w:rPr>
            </w:pPr>
            <w:r>
              <w:rPr>
                <w:rFonts w:ascii="Arial" w:cs="Arial" w:eastAsia="Arial" w:hAnsi="Arial"/>
                <w:sz w:val="13"/>
                <w:szCs w:val="13"/>
                <w:color w:val="auto"/>
              </w:rPr>
              <w:t>01/19/2019</w:t>
            </w:r>
          </w:p>
        </w:tc>
        <w:tc>
          <w:tcPr>
            <w:tcW w:w="2000" w:type="dxa"/>
            <w:vAlign w:val="bottom"/>
          </w:tcPr>
          <w:p>
            <w:pPr>
              <w:jc w:val="center"/>
              <w:ind w:left="13"/>
              <w:spacing w:after="0"/>
              <w:rPr>
                <w:sz w:val="20"/>
                <w:szCs w:val="20"/>
                <w:color w:val="auto"/>
              </w:rPr>
            </w:pPr>
            <w:r>
              <w:rPr>
                <w:rFonts w:ascii="Arial" w:cs="Arial" w:eastAsia="Arial" w:hAnsi="Arial"/>
                <w:sz w:val="13"/>
                <w:szCs w:val="13"/>
                <w:color w:val="auto"/>
                <w:w w:val="93"/>
              </w:rPr>
              <w:t>Chemical, Plastic and Rubber</w:t>
            </w:r>
          </w:p>
        </w:tc>
        <w:tc>
          <w:tcPr>
            <w:tcW w:w="1200" w:type="dxa"/>
            <w:vAlign w:val="bottom"/>
          </w:tcPr>
          <w:p>
            <w:pPr>
              <w:jc w:val="right"/>
              <w:ind w:right="333"/>
              <w:spacing w:after="0"/>
              <w:rPr>
                <w:sz w:val="20"/>
                <w:szCs w:val="20"/>
                <w:color w:val="auto"/>
              </w:rPr>
            </w:pPr>
            <w:r>
              <w:rPr>
                <w:rFonts w:ascii="Arial" w:cs="Arial" w:eastAsia="Arial" w:hAnsi="Arial"/>
                <w:sz w:val="13"/>
                <w:szCs w:val="13"/>
                <w:color w:val="auto"/>
              </w:rPr>
              <w:t>12.50%</w:t>
            </w:r>
          </w:p>
        </w:tc>
        <w:tc>
          <w:tcPr>
            <w:tcW w:w="560" w:type="dxa"/>
            <w:vAlign w:val="bottom"/>
          </w:tcPr>
          <w:p>
            <w:pPr>
              <w:ind w:left="28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30,000,000</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30,000,000</w:t>
            </w:r>
          </w:p>
        </w:tc>
        <w:tc>
          <w:tcPr>
            <w:tcW w:w="780" w:type="dxa"/>
            <w:vAlign w:val="bottom"/>
          </w:tcPr>
          <w:p>
            <w:pPr>
              <w:jc w:val="right"/>
              <w:spacing w:after="0"/>
              <w:rPr>
                <w:sz w:val="20"/>
                <w:szCs w:val="20"/>
                <w:color w:val="auto"/>
              </w:rPr>
            </w:pPr>
            <w:r>
              <w:rPr>
                <w:rFonts w:ascii="Arial" w:cs="Arial" w:eastAsia="Arial" w:hAnsi="Arial"/>
                <w:sz w:val="13"/>
                <w:szCs w:val="13"/>
                <w:color w:val="auto"/>
              </w:rPr>
              <w:t>30,000,000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LTI Flexible Products, Inc.</w:t>
            </w:r>
            <w:r>
              <w:rPr>
                <w:rFonts w:ascii="Arial" w:cs="Arial" w:eastAsia="Arial" w:hAnsi="Arial"/>
                <w:sz w:val="17"/>
                <w:szCs w:val="17"/>
                <w:color w:val="auto"/>
                <w:vertAlign w:val="superscript"/>
              </w:rPr>
              <w:t>(9)</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01/11/2014</w:t>
            </w:r>
          </w:p>
        </w:tc>
        <w:tc>
          <w:tcPr>
            <w:tcW w:w="20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3"/>
              </w:rPr>
              <w:t>Chemical, Plastic and Rubber</w:t>
            </w:r>
          </w:p>
        </w:tc>
        <w:tc>
          <w:tcPr>
            <w:tcW w:w="1200" w:type="dxa"/>
            <w:vAlign w:val="bottom"/>
            <w:shd w:val="clear" w:color="auto" w:fill="CCEEFF"/>
          </w:tcPr>
          <w:p>
            <w:pPr>
              <w:jc w:val="right"/>
              <w:ind w:right="513"/>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5,000,000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4,825,000</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20" w:type="dxa"/>
            <w:vAlign w:val="bottom"/>
          </w:tcPr>
          <w:p>
            <w:pPr>
              <w:spacing w:after="0" w:line="138" w:lineRule="exact"/>
              <w:rPr>
                <w:sz w:val="20"/>
                <w:szCs w:val="20"/>
                <w:color w:val="auto"/>
              </w:rPr>
            </w:pPr>
            <w:r>
              <w:rPr>
                <w:rFonts w:ascii="Arial" w:cs="Arial" w:eastAsia="Arial" w:hAnsi="Arial"/>
                <w:sz w:val="13"/>
                <w:szCs w:val="13"/>
                <w:color w:val="auto"/>
              </w:rPr>
              <w:t>Mailsouth, Inc.</w:t>
            </w:r>
          </w:p>
        </w:tc>
        <w:tc>
          <w:tcPr>
            <w:tcW w:w="1120" w:type="dxa"/>
            <w:vAlign w:val="bottom"/>
          </w:tcPr>
          <w:p>
            <w:pPr>
              <w:jc w:val="right"/>
              <w:ind w:right="113"/>
              <w:spacing w:after="0" w:line="138" w:lineRule="exact"/>
              <w:rPr>
                <w:sz w:val="20"/>
                <w:szCs w:val="20"/>
                <w:color w:val="auto"/>
              </w:rPr>
            </w:pPr>
            <w:r>
              <w:rPr>
                <w:rFonts w:ascii="Arial" w:cs="Arial" w:eastAsia="Arial" w:hAnsi="Arial"/>
                <w:sz w:val="13"/>
                <w:szCs w:val="13"/>
                <w:color w:val="auto"/>
              </w:rPr>
              <w:t>06/15/2017</w:t>
            </w:r>
          </w:p>
        </w:tc>
        <w:tc>
          <w:tcPr>
            <w:tcW w:w="2000" w:type="dxa"/>
            <w:vAlign w:val="bottom"/>
          </w:tcPr>
          <w:p>
            <w:pPr>
              <w:jc w:val="center"/>
              <w:ind w:left="13"/>
              <w:spacing w:after="0" w:line="138" w:lineRule="exact"/>
              <w:rPr>
                <w:sz w:val="20"/>
                <w:szCs w:val="20"/>
                <w:color w:val="auto"/>
              </w:rPr>
            </w:pPr>
            <w:r>
              <w:rPr>
                <w:rFonts w:ascii="Arial" w:cs="Arial" w:eastAsia="Arial" w:hAnsi="Arial"/>
                <w:sz w:val="13"/>
                <w:szCs w:val="13"/>
                <w:color w:val="auto"/>
                <w:w w:val="96"/>
              </w:rPr>
              <w:t>Printing and Publishing</w:t>
            </w:r>
          </w:p>
        </w:tc>
        <w:tc>
          <w:tcPr>
            <w:tcW w:w="1200" w:type="dxa"/>
            <w:vAlign w:val="bottom"/>
          </w:tcPr>
          <w:p>
            <w:pPr>
              <w:jc w:val="right"/>
              <w:ind w:right="333"/>
              <w:spacing w:after="0" w:line="138" w:lineRule="exact"/>
              <w:rPr>
                <w:sz w:val="20"/>
                <w:szCs w:val="20"/>
                <w:color w:val="auto"/>
              </w:rPr>
            </w:pPr>
            <w:r>
              <w:rPr>
                <w:rFonts w:ascii="Arial" w:cs="Arial" w:eastAsia="Arial" w:hAnsi="Arial"/>
                <w:sz w:val="13"/>
                <w:szCs w:val="13"/>
                <w:color w:val="auto"/>
              </w:rPr>
              <w:t>14.50%</w:t>
            </w:r>
          </w:p>
        </w:tc>
        <w:tc>
          <w:tcPr>
            <w:tcW w:w="560" w:type="dxa"/>
            <w:vAlign w:val="bottom"/>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93"/>
              <w:spacing w:after="0" w:line="138" w:lineRule="exact"/>
              <w:rPr>
                <w:sz w:val="20"/>
                <w:szCs w:val="20"/>
                <w:color w:val="auto"/>
              </w:rPr>
            </w:pPr>
            <w:r>
              <w:rPr>
                <w:rFonts w:ascii="Arial" w:cs="Arial" w:eastAsia="Arial" w:hAnsi="Arial"/>
                <w:sz w:val="13"/>
                <w:szCs w:val="13"/>
                <w:color w:val="auto"/>
              </w:rPr>
              <w:t>15,000,000</w:t>
            </w:r>
          </w:p>
        </w:tc>
        <w:tc>
          <w:tcPr>
            <w:tcW w:w="9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14,632,413</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15,210,000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0" w:type="dxa"/>
            <w:vAlign w:val="bottom"/>
          </w:tcPr>
          <w:p>
            <w:pPr>
              <w:jc w:val="right"/>
              <w:ind w:right="293"/>
              <w:spacing w:after="0"/>
              <w:rPr>
                <w:sz w:val="20"/>
                <w:szCs w:val="20"/>
                <w:color w:val="auto"/>
              </w:rPr>
            </w:pPr>
            <w:r>
              <w:rPr>
                <w:rFonts w:ascii="Arial" w:cs="Arial" w:eastAsia="Arial" w:hAnsi="Arial"/>
                <w:sz w:val="13"/>
                <w:szCs w:val="13"/>
                <w:color w:val="auto"/>
              </w:rPr>
              <w:t>(PIK 2.00%)</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PAS Technologies, Inc.</w:t>
            </w:r>
          </w:p>
        </w:tc>
        <w:tc>
          <w:tcPr>
            <w:tcW w:w="11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3"/>
                <w:szCs w:val="13"/>
                <w:color w:val="auto"/>
              </w:rPr>
              <w:t>05/12/2017</w:t>
            </w:r>
          </w:p>
        </w:tc>
        <w:tc>
          <w:tcPr>
            <w:tcW w:w="2000" w:type="dxa"/>
            <w:vAlign w:val="bottom"/>
            <w:shd w:val="clear" w:color="auto" w:fill="CCEEFF"/>
          </w:tcPr>
          <w:p>
            <w:pPr>
              <w:jc w:val="center"/>
              <w:ind w:left="13"/>
              <w:spacing w:after="0" w:line="138" w:lineRule="exact"/>
              <w:rPr>
                <w:sz w:val="20"/>
                <w:szCs w:val="20"/>
                <w:color w:val="auto"/>
              </w:rPr>
            </w:pPr>
            <w:r>
              <w:rPr>
                <w:rFonts w:ascii="Arial" w:cs="Arial" w:eastAsia="Arial" w:hAnsi="Arial"/>
                <w:sz w:val="13"/>
                <w:szCs w:val="13"/>
                <w:color w:val="auto"/>
                <w:w w:val="91"/>
              </w:rPr>
              <w:t>Aerospace and Defense</w:t>
            </w:r>
          </w:p>
        </w:tc>
        <w:tc>
          <w:tcPr>
            <w:tcW w:w="1200" w:type="dxa"/>
            <w:vAlign w:val="bottom"/>
            <w:shd w:val="clear" w:color="auto" w:fill="CCEEFF"/>
          </w:tcPr>
          <w:p>
            <w:pPr>
              <w:jc w:val="right"/>
              <w:ind w:right="333"/>
              <w:spacing w:after="0" w:line="138" w:lineRule="exact"/>
              <w:rPr>
                <w:sz w:val="20"/>
                <w:szCs w:val="20"/>
                <w:color w:val="auto"/>
              </w:rPr>
            </w:pPr>
            <w:r>
              <w:rPr>
                <w:rFonts w:ascii="Arial" w:cs="Arial" w:eastAsia="Arial" w:hAnsi="Arial"/>
                <w:sz w:val="13"/>
                <w:szCs w:val="13"/>
                <w:color w:val="auto"/>
              </w:rPr>
              <w:t>15.02%</w:t>
            </w:r>
          </w:p>
        </w:tc>
        <w:tc>
          <w:tcPr>
            <w:tcW w:w="560" w:type="dxa"/>
            <w:vAlign w:val="bottom"/>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17,123,218</w:t>
            </w:r>
          </w:p>
        </w:tc>
        <w:tc>
          <w:tcPr>
            <w:tcW w:w="9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16,783,033</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17,123,218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(PIK 3.02%)</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20" w:type="dxa"/>
            <w:vAlign w:val="bottom"/>
          </w:tcPr>
          <w:p>
            <w:pPr>
              <w:spacing w:after="0" w:line="138" w:lineRule="exact"/>
              <w:rPr>
                <w:sz w:val="20"/>
                <w:szCs w:val="20"/>
                <w:color w:val="auto"/>
              </w:rPr>
            </w:pPr>
            <w:r>
              <w:rPr>
                <w:rFonts w:ascii="Arial" w:cs="Arial" w:eastAsia="Arial" w:hAnsi="Arial"/>
                <w:sz w:val="13"/>
                <w:szCs w:val="13"/>
                <w:color w:val="auto"/>
              </w:rPr>
              <w:t>Prince Mineral Holdings Corp.</w:t>
            </w:r>
          </w:p>
        </w:tc>
        <w:tc>
          <w:tcPr>
            <w:tcW w:w="1120" w:type="dxa"/>
            <w:vAlign w:val="bottom"/>
          </w:tcPr>
          <w:p>
            <w:pPr>
              <w:jc w:val="right"/>
              <w:ind w:right="113"/>
              <w:spacing w:after="0" w:line="138" w:lineRule="exact"/>
              <w:rPr>
                <w:sz w:val="20"/>
                <w:szCs w:val="20"/>
                <w:color w:val="auto"/>
              </w:rPr>
            </w:pPr>
            <w:r>
              <w:rPr>
                <w:rFonts w:ascii="Arial" w:cs="Arial" w:eastAsia="Arial" w:hAnsi="Arial"/>
                <w:sz w:val="13"/>
                <w:szCs w:val="13"/>
                <w:color w:val="auto"/>
              </w:rPr>
              <w:t>12/03/2016</w:t>
            </w:r>
          </w:p>
        </w:tc>
        <w:tc>
          <w:tcPr>
            <w:tcW w:w="2000" w:type="dxa"/>
            <w:vAlign w:val="bottom"/>
          </w:tcPr>
          <w:p>
            <w:pPr>
              <w:jc w:val="center"/>
              <w:ind w:left="13"/>
              <w:spacing w:after="0" w:line="138" w:lineRule="exact"/>
              <w:rPr>
                <w:sz w:val="20"/>
                <w:szCs w:val="20"/>
                <w:color w:val="auto"/>
              </w:rPr>
            </w:pPr>
            <w:r>
              <w:rPr>
                <w:rFonts w:ascii="Arial" w:cs="Arial" w:eastAsia="Arial" w:hAnsi="Arial"/>
                <w:sz w:val="13"/>
                <w:szCs w:val="13"/>
                <w:color w:val="auto"/>
                <w:w w:val="99"/>
              </w:rPr>
              <w:t>Mining, Steel, Iron</w:t>
            </w:r>
          </w:p>
        </w:tc>
        <w:tc>
          <w:tcPr>
            <w:tcW w:w="1200" w:type="dxa"/>
            <w:vAlign w:val="bottom"/>
          </w:tcPr>
          <w:p>
            <w:pPr>
              <w:jc w:val="right"/>
              <w:ind w:right="333"/>
              <w:spacing w:after="0" w:line="138" w:lineRule="exact"/>
              <w:rPr>
                <w:sz w:val="20"/>
                <w:szCs w:val="20"/>
                <w:color w:val="auto"/>
              </w:rPr>
            </w:pPr>
            <w:r>
              <w:rPr>
                <w:rFonts w:ascii="Arial" w:cs="Arial" w:eastAsia="Arial" w:hAnsi="Arial"/>
                <w:sz w:val="13"/>
                <w:szCs w:val="13"/>
                <w:color w:val="auto"/>
              </w:rPr>
              <w:t>13.50%</w:t>
            </w:r>
          </w:p>
        </w:tc>
        <w:tc>
          <w:tcPr>
            <w:tcW w:w="560" w:type="dxa"/>
            <w:vAlign w:val="bottom"/>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93"/>
              <w:spacing w:after="0" w:line="138" w:lineRule="exact"/>
              <w:rPr>
                <w:sz w:val="20"/>
                <w:szCs w:val="20"/>
                <w:color w:val="auto"/>
              </w:rPr>
            </w:pPr>
            <w:r>
              <w:rPr>
                <w:rFonts w:ascii="Arial" w:cs="Arial" w:eastAsia="Arial" w:hAnsi="Arial"/>
                <w:sz w:val="13"/>
                <w:szCs w:val="13"/>
                <w:color w:val="auto"/>
              </w:rPr>
              <w:t>26,696,517</w:t>
            </w:r>
          </w:p>
        </w:tc>
        <w:tc>
          <w:tcPr>
            <w:tcW w:w="9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26,263,685</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26,696,517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0" w:type="dxa"/>
            <w:vAlign w:val="bottom"/>
          </w:tcPr>
          <w:p>
            <w:pPr>
              <w:jc w:val="center"/>
              <w:ind w:left="13"/>
              <w:spacing w:after="0"/>
              <w:rPr>
                <w:sz w:val="20"/>
                <w:szCs w:val="20"/>
                <w:color w:val="auto"/>
              </w:rPr>
            </w:pPr>
            <w:r>
              <w:rPr>
                <w:rFonts w:ascii="Arial" w:cs="Arial" w:eastAsia="Arial" w:hAnsi="Arial"/>
                <w:sz w:val="13"/>
                <w:szCs w:val="13"/>
                <w:color w:val="auto"/>
                <w:w w:val="93"/>
              </w:rPr>
              <w:t>and Non-Precious Metals</w:t>
            </w:r>
          </w:p>
        </w:tc>
        <w:tc>
          <w:tcPr>
            <w:tcW w:w="1200" w:type="dxa"/>
            <w:vAlign w:val="bottom"/>
          </w:tcPr>
          <w:p>
            <w:pPr>
              <w:jc w:val="right"/>
              <w:ind w:right="293"/>
              <w:spacing w:after="0"/>
              <w:rPr>
                <w:sz w:val="20"/>
                <w:szCs w:val="20"/>
                <w:color w:val="auto"/>
              </w:rPr>
            </w:pPr>
            <w:r>
              <w:rPr>
                <w:rFonts w:ascii="Arial" w:cs="Arial" w:eastAsia="Arial" w:hAnsi="Arial"/>
                <w:sz w:val="13"/>
                <w:szCs w:val="13"/>
                <w:color w:val="auto"/>
              </w:rPr>
              <w:t>(PIK 2.00%)</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Realogy Corp.</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04/15/2018</w:t>
            </w:r>
          </w:p>
        </w:tc>
        <w:tc>
          <w:tcPr>
            <w:tcW w:w="20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4"/>
              </w:rPr>
              <w:t>Buildings and Real Estate</w:t>
            </w:r>
          </w:p>
        </w:tc>
        <w:tc>
          <w:tcPr>
            <w:tcW w:w="120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11.00%</w:t>
            </w:r>
          </w:p>
        </w:tc>
        <w:tc>
          <w:tcPr>
            <w:tcW w:w="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10,000,000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9,247,298</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20"/>
                <w:szCs w:val="20"/>
                <w:color w:val="auto"/>
              </w:rPr>
            </w:pPr>
            <w:r>
              <w:rPr>
                <w:rFonts w:ascii="Arial" w:cs="Arial" w:eastAsia="Arial" w:hAnsi="Arial"/>
                <w:sz w:val="13"/>
                <w:szCs w:val="13"/>
                <w:color w:val="auto"/>
              </w:rPr>
              <w:t>TRAK Acquisition Corp.</w:t>
            </w:r>
          </w:p>
        </w:tc>
        <w:tc>
          <w:tcPr>
            <w:tcW w:w="1120" w:type="dxa"/>
            <w:vAlign w:val="bottom"/>
          </w:tcPr>
          <w:p>
            <w:pPr>
              <w:jc w:val="right"/>
              <w:ind w:right="113"/>
              <w:spacing w:after="0"/>
              <w:rPr>
                <w:sz w:val="20"/>
                <w:szCs w:val="20"/>
                <w:color w:val="auto"/>
              </w:rPr>
            </w:pPr>
            <w:r>
              <w:rPr>
                <w:rFonts w:ascii="Arial" w:cs="Arial" w:eastAsia="Arial" w:hAnsi="Arial"/>
                <w:sz w:val="13"/>
                <w:szCs w:val="13"/>
                <w:color w:val="auto"/>
              </w:rPr>
              <w:t>12/29/2015</w:t>
            </w:r>
          </w:p>
        </w:tc>
        <w:tc>
          <w:tcPr>
            <w:tcW w:w="2000" w:type="dxa"/>
            <w:vAlign w:val="bottom"/>
          </w:tcPr>
          <w:p>
            <w:pPr>
              <w:jc w:val="center"/>
              <w:ind w:left="13"/>
              <w:spacing w:after="0"/>
              <w:rPr>
                <w:sz w:val="20"/>
                <w:szCs w:val="20"/>
                <w:color w:val="auto"/>
              </w:rPr>
            </w:pPr>
            <w:r>
              <w:rPr>
                <w:rFonts w:ascii="Arial" w:cs="Arial" w:eastAsia="Arial" w:hAnsi="Arial"/>
                <w:sz w:val="13"/>
                <w:szCs w:val="13"/>
                <w:color w:val="auto"/>
                <w:w w:val="90"/>
              </w:rPr>
              <w:t>Business Services</w:t>
            </w:r>
          </w:p>
        </w:tc>
        <w:tc>
          <w:tcPr>
            <w:tcW w:w="1200" w:type="dxa"/>
            <w:vAlign w:val="bottom"/>
          </w:tcPr>
          <w:p>
            <w:pPr>
              <w:jc w:val="right"/>
              <w:ind w:right="193"/>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(7)</w:t>
            </w:r>
          </w:p>
        </w:tc>
        <w:tc>
          <w:tcPr>
            <w:tcW w:w="560" w:type="dxa"/>
            <w:vAlign w:val="bottom"/>
          </w:tcPr>
          <w:p>
            <w:pPr>
              <w:ind w:left="28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12,020,950</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11,708,199</w:t>
            </w:r>
          </w:p>
        </w:tc>
        <w:tc>
          <w:tcPr>
            <w:tcW w:w="780" w:type="dxa"/>
            <w:vAlign w:val="bottom"/>
          </w:tcPr>
          <w:p>
            <w:pPr>
              <w:jc w:val="right"/>
              <w:spacing w:after="0"/>
              <w:rPr>
                <w:sz w:val="20"/>
                <w:szCs w:val="20"/>
                <w:color w:val="auto"/>
              </w:rPr>
            </w:pPr>
            <w:r>
              <w:rPr>
                <w:rFonts w:ascii="Arial" w:cs="Arial" w:eastAsia="Arial" w:hAnsi="Arial"/>
                <w:sz w:val="13"/>
                <w:szCs w:val="13"/>
                <w:color w:val="auto"/>
              </w:rPr>
              <w:t>12,020,950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TrustHouse Services Group, Inc.</w:t>
            </w:r>
          </w:p>
        </w:tc>
        <w:tc>
          <w:tcPr>
            <w:tcW w:w="11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3"/>
                <w:szCs w:val="13"/>
                <w:color w:val="auto"/>
              </w:rPr>
              <w:t>06/03/2019</w:t>
            </w:r>
          </w:p>
        </w:tc>
        <w:tc>
          <w:tcPr>
            <w:tcW w:w="2000" w:type="dxa"/>
            <w:vAlign w:val="bottom"/>
            <w:shd w:val="clear" w:color="auto" w:fill="CCEEFF"/>
          </w:tcPr>
          <w:p>
            <w:pPr>
              <w:jc w:val="center"/>
              <w:ind w:left="13"/>
              <w:spacing w:after="0" w:line="138" w:lineRule="exact"/>
              <w:rPr>
                <w:sz w:val="20"/>
                <w:szCs w:val="20"/>
                <w:color w:val="auto"/>
              </w:rPr>
            </w:pPr>
            <w:r>
              <w:rPr>
                <w:rFonts w:ascii="Arial" w:cs="Arial" w:eastAsia="Arial" w:hAnsi="Arial"/>
                <w:sz w:val="13"/>
                <w:szCs w:val="13"/>
                <w:color w:val="auto"/>
                <w:w w:val="91"/>
              </w:rPr>
              <w:t>Beverage, Food, and Tobacco</w:t>
            </w:r>
          </w:p>
        </w:tc>
        <w:tc>
          <w:tcPr>
            <w:tcW w:w="1200" w:type="dxa"/>
            <w:vAlign w:val="bottom"/>
            <w:shd w:val="clear" w:color="auto" w:fill="CCEEFF"/>
          </w:tcPr>
          <w:p>
            <w:pPr>
              <w:jc w:val="right"/>
              <w:ind w:right="333"/>
              <w:spacing w:after="0" w:line="138" w:lineRule="exact"/>
              <w:rPr>
                <w:sz w:val="20"/>
                <w:szCs w:val="20"/>
                <w:color w:val="auto"/>
              </w:rPr>
            </w:pPr>
            <w:r>
              <w:rPr>
                <w:rFonts w:ascii="Arial" w:cs="Arial" w:eastAsia="Arial" w:hAnsi="Arial"/>
                <w:sz w:val="13"/>
                <w:szCs w:val="13"/>
                <w:color w:val="auto"/>
              </w:rPr>
              <w:t>14.25%</w:t>
            </w:r>
          </w:p>
        </w:tc>
        <w:tc>
          <w:tcPr>
            <w:tcW w:w="560" w:type="dxa"/>
            <w:vAlign w:val="bottom"/>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14,778,578</w:t>
            </w:r>
          </w:p>
        </w:tc>
        <w:tc>
          <w:tcPr>
            <w:tcW w:w="9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14,527,411</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14,778,578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(PIK 2.25%)</w:t>
            </w: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line="149" w:lineRule="exact"/>
              <w:rPr>
                <w:sz w:val="20"/>
                <w:szCs w:val="20"/>
                <w:color w:val="auto"/>
              </w:rPr>
            </w:pPr>
            <w:r>
              <w:rPr>
                <w:rFonts w:ascii="Arial" w:cs="Arial" w:eastAsia="Arial" w:hAnsi="Arial"/>
                <w:sz w:val="11"/>
                <w:szCs w:val="11"/>
                <w:color w:val="auto"/>
              </w:rPr>
              <w:t xml:space="preserve">TrustHouse Services Group, Inc. </w:t>
            </w:r>
            <w:r>
              <w:rPr>
                <w:rFonts w:ascii="Arial" w:cs="Arial" w:eastAsia="Arial" w:hAnsi="Arial"/>
                <w:sz w:val="17"/>
                <w:szCs w:val="17"/>
                <w:color w:val="auto"/>
                <w:vertAlign w:val="superscript"/>
              </w:rPr>
              <w:t>(9)</w:t>
            </w:r>
          </w:p>
        </w:tc>
        <w:tc>
          <w:tcPr>
            <w:tcW w:w="1120" w:type="dxa"/>
            <w:vAlign w:val="bottom"/>
          </w:tcPr>
          <w:p>
            <w:pPr>
              <w:jc w:val="right"/>
              <w:ind w:right="113"/>
              <w:spacing w:after="0"/>
              <w:rPr>
                <w:sz w:val="20"/>
                <w:szCs w:val="20"/>
                <w:color w:val="auto"/>
              </w:rPr>
            </w:pPr>
            <w:r>
              <w:rPr>
                <w:rFonts w:ascii="Arial" w:cs="Arial" w:eastAsia="Arial" w:hAnsi="Arial"/>
                <w:sz w:val="13"/>
                <w:szCs w:val="13"/>
                <w:color w:val="auto"/>
              </w:rPr>
              <w:t>06/02/2014</w:t>
            </w:r>
          </w:p>
        </w:tc>
        <w:tc>
          <w:tcPr>
            <w:tcW w:w="2000" w:type="dxa"/>
            <w:vAlign w:val="bottom"/>
          </w:tcPr>
          <w:p>
            <w:pPr>
              <w:jc w:val="center"/>
              <w:ind w:left="13"/>
              <w:spacing w:after="0"/>
              <w:rPr>
                <w:sz w:val="20"/>
                <w:szCs w:val="20"/>
                <w:color w:val="auto"/>
              </w:rPr>
            </w:pPr>
            <w:r>
              <w:rPr>
                <w:rFonts w:ascii="Arial" w:cs="Arial" w:eastAsia="Arial" w:hAnsi="Arial"/>
                <w:sz w:val="13"/>
                <w:szCs w:val="13"/>
                <w:color w:val="auto"/>
                <w:w w:val="91"/>
              </w:rPr>
              <w:t>Beverage, Food, and Tobacco</w:t>
            </w:r>
          </w:p>
        </w:tc>
        <w:tc>
          <w:tcPr>
            <w:tcW w:w="120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560" w:type="dxa"/>
            <w:vAlign w:val="bottom"/>
          </w:tcPr>
          <w:p>
            <w:pPr>
              <w:ind w:left="28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4,000,000</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3,920,000</w:t>
            </w:r>
          </w:p>
        </w:tc>
        <w:tc>
          <w:tcPr>
            <w:tcW w:w="780" w:type="dxa"/>
            <w:vAlign w:val="bottom"/>
          </w:tcPr>
          <w:p>
            <w:pPr>
              <w:jc w:val="right"/>
              <w:spacing w:after="0"/>
              <w:rPr>
                <w:sz w:val="20"/>
                <w:szCs w:val="20"/>
                <w:color w:val="auto"/>
              </w:rPr>
            </w:pPr>
            <w:r>
              <w:rPr>
                <w:rFonts w:ascii="Arial" w:cs="Arial" w:eastAsia="Arial" w:hAnsi="Arial"/>
                <w:sz w:val="13"/>
                <w:szCs w:val="13"/>
                <w:color w:val="auto"/>
              </w:rPr>
              <w:t>4,000,000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Veritext Corp.</w:t>
            </w:r>
          </w:p>
        </w:tc>
        <w:tc>
          <w:tcPr>
            <w:tcW w:w="112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12/31/2015</w:t>
            </w:r>
          </w:p>
        </w:tc>
        <w:tc>
          <w:tcPr>
            <w:tcW w:w="20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0"/>
              </w:rPr>
              <w:t>Business Services</w:t>
            </w:r>
          </w:p>
        </w:tc>
        <w:tc>
          <w:tcPr>
            <w:tcW w:w="120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13.00%</w:t>
            </w:r>
          </w:p>
        </w:tc>
        <w:tc>
          <w:tcPr>
            <w:tcW w:w="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16,200,000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15,916,579</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1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w w:val="99"/>
              </w:rPr>
              <w:t>355,236,902</w:t>
            </w:r>
          </w:p>
        </w:tc>
        <w:tc>
          <w:tcPr>
            <w:tcW w:w="780" w:type="dxa"/>
            <w:vAlign w:val="bottom"/>
          </w:tcPr>
          <w:p>
            <w:pPr>
              <w:jc w:val="right"/>
              <w:spacing w:after="0"/>
              <w:rPr>
                <w:sz w:val="20"/>
                <w:szCs w:val="20"/>
                <w:color w:val="auto"/>
              </w:rPr>
            </w:pPr>
            <w:r>
              <w:rPr>
                <w:rFonts w:ascii="Arial" w:cs="Arial" w:eastAsia="Arial" w:hAnsi="Arial"/>
                <w:sz w:val="13"/>
                <w:szCs w:val="13"/>
                <w:color w:val="auto"/>
              </w:rPr>
              <w:t>351,070,859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Equity/Partnership Interests—1.7% </w:t>
            </w:r>
            <w:r>
              <w:rPr>
                <w:rFonts w:ascii="Arial" w:cs="Arial" w:eastAsia="Arial" w:hAnsi="Arial"/>
                <w:sz w:val="17"/>
                <w:szCs w:val="17"/>
                <w:b w:val="1"/>
                <w:bCs w:val="1"/>
                <w:color w:val="auto"/>
                <w:vertAlign w:val="superscript"/>
              </w:rPr>
              <w:t>(6)</w:t>
            </w:r>
          </w:p>
        </w:tc>
        <w:tc>
          <w:tcPr>
            <w:tcW w:w="11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720" w:type="dxa"/>
            <w:vAlign w:val="bottom"/>
          </w:tcPr>
          <w:p>
            <w:pPr>
              <w:spacing w:after="0"/>
              <w:rPr>
                <w:sz w:val="20"/>
                <w:szCs w:val="20"/>
                <w:color w:val="auto"/>
              </w:rPr>
            </w:pPr>
            <w:r>
              <w:rPr>
                <w:rFonts w:ascii="Arial" w:cs="Arial" w:eastAsia="Arial" w:hAnsi="Arial"/>
                <w:sz w:val="13"/>
                <w:szCs w:val="13"/>
                <w:color w:val="auto"/>
              </w:rPr>
              <w:t>AH Holdings, Inc.</w:t>
            </w:r>
          </w:p>
        </w:tc>
        <w:tc>
          <w:tcPr>
            <w:tcW w:w="112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2000" w:type="dxa"/>
            <w:vAlign w:val="bottom"/>
          </w:tcPr>
          <w:p>
            <w:pPr>
              <w:jc w:val="center"/>
              <w:ind w:left="13"/>
              <w:spacing w:after="0"/>
              <w:rPr>
                <w:sz w:val="20"/>
                <w:szCs w:val="20"/>
                <w:color w:val="auto"/>
              </w:rPr>
            </w:pPr>
            <w:r>
              <w:rPr>
                <w:rFonts w:ascii="Arial" w:cs="Arial" w:eastAsia="Arial" w:hAnsi="Arial"/>
                <w:sz w:val="13"/>
                <w:szCs w:val="13"/>
                <w:color w:val="auto"/>
                <w:w w:val="93"/>
              </w:rPr>
              <w:t>Healthcare, Education</w:t>
            </w:r>
          </w:p>
        </w:tc>
        <w:tc>
          <w:tcPr>
            <w:tcW w:w="1200" w:type="dxa"/>
            <w:vAlign w:val="bottom"/>
          </w:tcPr>
          <w:p>
            <w:pPr>
              <w:jc w:val="right"/>
              <w:ind w:right="333"/>
              <w:spacing w:after="0"/>
              <w:rPr>
                <w:sz w:val="20"/>
                <w:szCs w:val="20"/>
                <w:color w:val="auto"/>
              </w:rPr>
            </w:pPr>
            <w:r>
              <w:rPr>
                <w:rFonts w:ascii="Arial" w:cs="Arial" w:eastAsia="Arial" w:hAnsi="Arial"/>
                <w:sz w:val="13"/>
                <w:szCs w:val="13"/>
                <w:color w:val="auto"/>
              </w:rPr>
              <w:t>6.00%</w:t>
            </w:r>
          </w:p>
        </w:tc>
        <w:tc>
          <w:tcPr>
            <w:tcW w:w="560" w:type="dxa"/>
            <w:vAlign w:val="bottom"/>
          </w:tcPr>
          <w:p>
            <w:pPr>
              <w:ind w:left="28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211</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500,000</w:t>
            </w:r>
          </w:p>
        </w:tc>
        <w:tc>
          <w:tcPr>
            <w:tcW w:w="780" w:type="dxa"/>
            <w:vAlign w:val="bottom"/>
          </w:tcPr>
          <w:p>
            <w:pPr>
              <w:jc w:val="right"/>
              <w:spacing w:after="0"/>
              <w:rPr>
                <w:sz w:val="20"/>
                <w:szCs w:val="20"/>
                <w:color w:val="auto"/>
              </w:rPr>
            </w:pPr>
            <w:r>
              <w:rPr>
                <w:rFonts w:ascii="Arial" w:cs="Arial" w:eastAsia="Arial" w:hAnsi="Arial"/>
                <w:sz w:val="13"/>
                <w:szCs w:val="13"/>
                <w:color w:val="auto"/>
              </w:rPr>
              <w:t>624,081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220"/>
              <w:spacing w:after="0"/>
              <w:rPr>
                <w:sz w:val="20"/>
                <w:szCs w:val="20"/>
                <w:color w:val="auto"/>
              </w:rPr>
            </w:pPr>
            <w:r>
              <w:rPr>
                <w:rFonts w:ascii="Arial" w:cs="Arial" w:eastAsia="Arial" w:hAnsi="Arial"/>
                <w:sz w:val="13"/>
                <w:szCs w:val="13"/>
                <w:color w:val="auto"/>
              </w:rPr>
              <w:t>(American Surgical Holdings, Inc.)</w:t>
            </w:r>
          </w:p>
        </w:tc>
        <w:tc>
          <w:tcPr>
            <w:tcW w:w="1120" w:type="dxa"/>
            <w:vAlign w:val="bottom"/>
          </w:tcPr>
          <w:p>
            <w:pPr>
              <w:spacing w:after="0"/>
              <w:rPr>
                <w:sz w:val="15"/>
                <w:szCs w:val="15"/>
                <w:color w:val="auto"/>
              </w:rPr>
            </w:pPr>
          </w:p>
        </w:tc>
        <w:tc>
          <w:tcPr>
            <w:tcW w:w="2000" w:type="dxa"/>
            <w:vAlign w:val="bottom"/>
          </w:tcPr>
          <w:p>
            <w:pPr>
              <w:jc w:val="center"/>
              <w:ind w:left="13"/>
              <w:spacing w:after="0"/>
              <w:rPr>
                <w:sz w:val="20"/>
                <w:szCs w:val="20"/>
                <w:color w:val="auto"/>
              </w:rPr>
            </w:pPr>
            <w:r>
              <w:rPr>
                <w:rFonts w:ascii="Arial" w:cs="Arial" w:eastAsia="Arial" w:hAnsi="Arial"/>
                <w:sz w:val="13"/>
                <w:szCs w:val="13"/>
                <w:color w:val="auto"/>
                <w:w w:val="94"/>
              </w:rPr>
              <w:t>and Childcare</w:t>
            </w: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AHC Mezzanine, LLC</w:t>
            </w:r>
          </w:p>
        </w:tc>
        <w:tc>
          <w:tcPr>
            <w:tcW w:w="112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5"/>
              </w:rPr>
              <w:t>Other Media</w:t>
            </w:r>
          </w:p>
        </w:tc>
        <w:tc>
          <w:tcPr>
            <w:tcW w:w="1200" w:type="dxa"/>
            <w:vAlign w:val="bottom"/>
            <w:shd w:val="clear" w:color="auto" w:fill="CCEEFF"/>
          </w:tcPr>
          <w:p>
            <w:pPr>
              <w:jc w:val="right"/>
              <w:ind w:right="513"/>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7,505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318,896</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720" w:type="dxa"/>
            <w:vAlign w:val="bottom"/>
          </w:tcPr>
          <w:p>
            <w:pPr>
              <w:spacing w:after="0" w:line="138" w:lineRule="exact"/>
              <w:rPr>
                <w:sz w:val="20"/>
                <w:szCs w:val="20"/>
                <w:color w:val="auto"/>
              </w:rPr>
            </w:pPr>
            <w:r>
              <w:rPr>
                <w:rFonts w:ascii="Arial" w:cs="Arial" w:eastAsia="Arial" w:hAnsi="Arial"/>
                <w:sz w:val="13"/>
                <w:szCs w:val="13"/>
                <w:color w:val="auto"/>
              </w:rPr>
              <w:t>Alegeus Technologies Holding Corp., Series A</w:t>
            </w:r>
          </w:p>
        </w:tc>
        <w:tc>
          <w:tcPr>
            <w:tcW w:w="1120" w:type="dxa"/>
            <w:vAlign w:val="bottom"/>
          </w:tcPr>
          <w:p>
            <w:pPr>
              <w:jc w:val="right"/>
              <w:ind w:right="393"/>
              <w:spacing w:after="0" w:line="138" w:lineRule="exact"/>
              <w:rPr>
                <w:sz w:val="20"/>
                <w:szCs w:val="20"/>
                <w:color w:val="auto"/>
              </w:rPr>
            </w:pPr>
            <w:r>
              <w:rPr>
                <w:rFonts w:ascii="Arial" w:cs="Arial" w:eastAsia="Arial" w:hAnsi="Arial"/>
                <w:sz w:val="13"/>
                <w:szCs w:val="13"/>
                <w:color w:val="auto"/>
              </w:rPr>
              <w:t>—</w:t>
            </w:r>
          </w:p>
        </w:tc>
        <w:tc>
          <w:tcPr>
            <w:tcW w:w="2000" w:type="dxa"/>
            <w:vAlign w:val="bottom"/>
          </w:tcPr>
          <w:p>
            <w:pPr>
              <w:jc w:val="center"/>
              <w:ind w:left="13"/>
              <w:spacing w:after="0" w:line="138" w:lineRule="exact"/>
              <w:rPr>
                <w:sz w:val="20"/>
                <w:szCs w:val="20"/>
                <w:color w:val="auto"/>
              </w:rPr>
            </w:pPr>
            <w:r>
              <w:rPr>
                <w:rFonts w:ascii="Arial" w:cs="Arial" w:eastAsia="Arial" w:hAnsi="Arial"/>
                <w:sz w:val="13"/>
                <w:szCs w:val="13"/>
                <w:color w:val="auto"/>
                <w:w w:val="94"/>
              </w:rPr>
              <w:t>Financial Services</w:t>
            </w:r>
          </w:p>
        </w:tc>
        <w:tc>
          <w:tcPr>
            <w:tcW w:w="1200" w:type="dxa"/>
            <w:vAlign w:val="bottom"/>
          </w:tcPr>
          <w:p>
            <w:pPr>
              <w:jc w:val="right"/>
              <w:ind w:right="513"/>
              <w:spacing w:after="0" w:line="138" w:lineRule="exact"/>
              <w:rPr>
                <w:sz w:val="20"/>
                <w:szCs w:val="20"/>
                <w:color w:val="auto"/>
              </w:rPr>
            </w:pPr>
            <w:r>
              <w:rPr>
                <w:rFonts w:ascii="Arial" w:cs="Arial" w:eastAsia="Arial" w:hAnsi="Arial"/>
                <w:sz w:val="13"/>
                <w:szCs w:val="13"/>
                <w:color w:val="auto"/>
              </w:rPr>
              <w:t>—</w:t>
            </w:r>
          </w:p>
        </w:tc>
        <w:tc>
          <w:tcPr>
            <w:tcW w:w="560" w:type="dxa"/>
            <w:vAlign w:val="bottom"/>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93"/>
              <w:spacing w:after="0" w:line="138" w:lineRule="exact"/>
              <w:rPr>
                <w:sz w:val="20"/>
                <w:szCs w:val="20"/>
                <w:color w:val="auto"/>
              </w:rPr>
            </w:pPr>
            <w:r>
              <w:rPr>
                <w:rFonts w:ascii="Arial" w:cs="Arial" w:eastAsia="Arial" w:hAnsi="Arial"/>
                <w:sz w:val="13"/>
                <w:szCs w:val="13"/>
                <w:color w:val="auto"/>
              </w:rPr>
              <w:t>949</w:t>
            </w:r>
          </w:p>
        </w:tc>
        <w:tc>
          <w:tcPr>
            <w:tcW w:w="9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949,050</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1,031,820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220"/>
              <w:spacing w:after="0"/>
              <w:rPr>
                <w:sz w:val="20"/>
                <w:szCs w:val="20"/>
                <w:color w:val="auto"/>
              </w:rPr>
            </w:pPr>
            <w:r>
              <w:rPr>
                <w:rFonts w:ascii="Arial" w:cs="Arial" w:eastAsia="Arial" w:hAnsi="Arial"/>
                <w:sz w:val="13"/>
                <w:szCs w:val="13"/>
                <w:color w:val="auto"/>
              </w:rPr>
              <w:t>(Alegeus Technologies, LLC)</w:t>
            </w:r>
          </w:p>
        </w:tc>
        <w:tc>
          <w:tcPr>
            <w:tcW w:w="1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CI (IHS) Investment Holdings, LLC</w:t>
            </w:r>
          </w:p>
        </w:tc>
        <w:tc>
          <w:tcPr>
            <w:tcW w:w="1120" w:type="dxa"/>
            <w:vAlign w:val="bottom"/>
            <w:shd w:val="clear" w:color="auto" w:fill="CCEEFF"/>
          </w:tcPr>
          <w:p>
            <w:pPr>
              <w:jc w:val="right"/>
              <w:ind w:right="393"/>
              <w:spacing w:after="0" w:line="138" w:lineRule="exact"/>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jc w:val="center"/>
              <w:ind w:left="13"/>
              <w:spacing w:after="0" w:line="138" w:lineRule="exact"/>
              <w:rPr>
                <w:sz w:val="20"/>
                <w:szCs w:val="20"/>
                <w:color w:val="auto"/>
              </w:rPr>
            </w:pPr>
            <w:r>
              <w:rPr>
                <w:rFonts w:ascii="Arial" w:cs="Arial" w:eastAsia="Arial" w:hAnsi="Arial"/>
                <w:sz w:val="13"/>
                <w:szCs w:val="13"/>
                <w:color w:val="auto"/>
                <w:w w:val="93"/>
              </w:rPr>
              <w:t>Healthcare, Education</w:t>
            </w:r>
          </w:p>
        </w:tc>
        <w:tc>
          <w:tcPr>
            <w:tcW w:w="1200" w:type="dxa"/>
            <w:vAlign w:val="bottom"/>
            <w:shd w:val="clear" w:color="auto" w:fill="CCEEFF"/>
          </w:tcPr>
          <w:p>
            <w:pPr>
              <w:jc w:val="right"/>
              <w:ind w:right="333"/>
              <w:spacing w:after="0" w:line="138" w:lineRule="exact"/>
              <w:rPr>
                <w:sz w:val="20"/>
                <w:szCs w:val="20"/>
                <w:color w:val="auto"/>
              </w:rPr>
            </w:pPr>
            <w:r>
              <w:rPr>
                <w:rFonts w:ascii="Arial" w:cs="Arial" w:eastAsia="Arial" w:hAnsi="Arial"/>
                <w:sz w:val="13"/>
                <w:szCs w:val="13"/>
                <w:color w:val="auto"/>
              </w:rPr>
              <w:t>8.00%</w:t>
            </w:r>
          </w:p>
        </w:tc>
        <w:tc>
          <w:tcPr>
            <w:tcW w:w="560" w:type="dxa"/>
            <w:vAlign w:val="bottom"/>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76,357</w:t>
            </w:r>
          </w:p>
        </w:tc>
        <w:tc>
          <w:tcPr>
            <w:tcW w:w="9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765,307</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881,885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(Interactive Health Solutions, Inc.)</w:t>
            </w:r>
          </w:p>
        </w:tc>
        <w:tc>
          <w:tcPr>
            <w:tcW w:w="1120" w:type="dxa"/>
            <w:vAlign w:val="bottom"/>
            <w:shd w:val="clear" w:color="auto" w:fill="CCEEFF"/>
          </w:tcPr>
          <w:p>
            <w:pPr>
              <w:spacing w:after="0"/>
              <w:rPr>
                <w:sz w:val="15"/>
                <w:szCs w:val="15"/>
                <w:color w:val="auto"/>
              </w:rPr>
            </w:pPr>
          </w:p>
        </w:tc>
        <w:tc>
          <w:tcPr>
            <w:tcW w:w="20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4"/>
              </w:rPr>
              <w:t>and Childcare</w:t>
            </w:r>
          </w:p>
        </w:tc>
        <w:tc>
          <w:tcPr>
            <w:tcW w:w="1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20" w:type="dxa"/>
            <w:vAlign w:val="bottom"/>
          </w:tcPr>
          <w:p>
            <w:pPr>
              <w:spacing w:after="0" w:line="138"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(9)</w:t>
            </w:r>
          </w:p>
        </w:tc>
        <w:tc>
          <w:tcPr>
            <w:tcW w:w="1120" w:type="dxa"/>
            <w:vAlign w:val="bottom"/>
          </w:tcPr>
          <w:p>
            <w:pPr>
              <w:jc w:val="right"/>
              <w:ind w:right="393"/>
              <w:spacing w:after="0" w:line="138" w:lineRule="exact"/>
              <w:rPr>
                <w:sz w:val="20"/>
                <w:szCs w:val="20"/>
                <w:color w:val="auto"/>
              </w:rPr>
            </w:pPr>
            <w:r>
              <w:rPr>
                <w:rFonts w:ascii="Arial" w:cs="Arial" w:eastAsia="Arial" w:hAnsi="Arial"/>
                <w:sz w:val="13"/>
                <w:szCs w:val="13"/>
                <w:color w:val="auto"/>
              </w:rPr>
              <w:t>—</w:t>
            </w:r>
          </w:p>
        </w:tc>
        <w:tc>
          <w:tcPr>
            <w:tcW w:w="2000" w:type="dxa"/>
            <w:vAlign w:val="bottom"/>
          </w:tcPr>
          <w:p>
            <w:pPr>
              <w:jc w:val="center"/>
              <w:ind w:left="13"/>
              <w:spacing w:after="0" w:line="138" w:lineRule="exact"/>
              <w:rPr>
                <w:sz w:val="20"/>
                <w:szCs w:val="20"/>
                <w:color w:val="auto"/>
              </w:rPr>
            </w:pPr>
            <w:r>
              <w:rPr>
                <w:rFonts w:ascii="Arial" w:cs="Arial" w:eastAsia="Arial" w:hAnsi="Arial"/>
                <w:sz w:val="13"/>
                <w:szCs w:val="13"/>
                <w:color w:val="auto"/>
                <w:w w:val="93"/>
              </w:rPr>
              <w:t>Healthcare, Education</w:t>
            </w:r>
          </w:p>
        </w:tc>
        <w:tc>
          <w:tcPr>
            <w:tcW w:w="1200" w:type="dxa"/>
            <w:vAlign w:val="bottom"/>
          </w:tcPr>
          <w:p>
            <w:pPr>
              <w:jc w:val="right"/>
              <w:ind w:right="513"/>
              <w:spacing w:after="0" w:line="138" w:lineRule="exact"/>
              <w:rPr>
                <w:sz w:val="20"/>
                <w:szCs w:val="20"/>
                <w:color w:val="auto"/>
              </w:rPr>
            </w:pPr>
            <w:r>
              <w:rPr>
                <w:rFonts w:ascii="Arial" w:cs="Arial" w:eastAsia="Arial" w:hAnsi="Arial"/>
                <w:sz w:val="13"/>
                <w:szCs w:val="13"/>
                <w:color w:val="auto"/>
              </w:rPr>
              <w:t>—</w:t>
            </w:r>
          </w:p>
        </w:tc>
        <w:tc>
          <w:tcPr>
            <w:tcW w:w="560" w:type="dxa"/>
            <w:vAlign w:val="bottom"/>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93"/>
              <w:spacing w:after="0" w:line="138" w:lineRule="exact"/>
              <w:rPr>
                <w:sz w:val="20"/>
                <w:szCs w:val="20"/>
                <w:color w:val="auto"/>
              </w:rPr>
            </w:pPr>
            <w:r>
              <w:rPr>
                <w:rFonts w:ascii="Arial" w:cs="Arial" w:eastAsia="Arial" w:hAnsi="Arial"/>
                <w:sz w:val="13"/>
                <w:szCs w:val="13"/>
                <w:color w:val="auto"/>
              </w:rPr>
              <w:t>38,179</w:t>
            </w:r>
          </w:p>
        </w:tc>
        <w:tc>
          <w:tcPr>
            <w:tcW w:w="9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382,654</w:t>
            </w:r>
          </w:p>
        </w:tc>
        <w:tc>
          <w:tcPr>
            <w:tcW w:w="840" w:type="dxa"/>
            <w:vAlign w:val="bottom"/>
            <w:gridSpan w:val="2"/>
          </w:tcPr>
          <w:p>
            <w:pPr>
              <w:ind w:left="5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3720" w:type="dxa"/>
            <w:vAlign w:val="bottom"/>
          </w:tcPr>
          <w:p>
            <w:pPr>
              <w:ind w:left="220"/>
              <w:spacing w:after="0"/>
              <w:rPr>
                <w:sz w:val="20"/>
                <w:szCs w:val="20"/>
                <w:color w:val="auto"/>
              </w:rPr>
            </w:pPr>
            <w:r>
              <w:rPr>
                <w:rFonts w:ascii="Arial" w:cs="Arial" w:eastAsia="Arial" w:hAnsi="Arial"/>
                <w:sz w:val="13"/>
                <w:szCs w:val="13"/>
                <w:color w:val="auto"/>
              </w:rPr>
              <w:t>(Interactive Health Solutions, Inc.)</w:t>
            </w:r>
          </w:p>
        </w:tc>
        <w:tc>
          <w:tcPr>
            <w:tcW w:w="1120" w:type="dxa"/>
            <w:vAlign w:val="bottom"/>
          </w:tcPr>
          <w:p>
            <w:pPr>
              <w:spacing w:after="0"/>
              <w:rPr>
                <w:sz w:val="15"/>
                <w:szCs w:val="15"/>
                <w:color w:val="auto"/>
              </w:rPr>
            </w:pPr>
          </w:p>
        </w:tc>
        <w:tc>
          <w:tcPr>
            <w:tcW w:w="2000" w:type="dxa"/>
            <w:vAlign w:val="bottom"/>
          </w:tcPr>
          <w:p>
            <w:pPr>
              <w:jc w:val="center"/>
              <w:ind w:left="13"/>
              <w:spacing w:after="0"/>
              <w:rPr>
                <w:sz w:val="20"/>
                <w:szCs w:val="20"/>
                <w:color w:val="auto"/>
              </w:rPr>
            </w:pPr>
            <w:r>
              <w:rPr>
                <w:rFonts w:ascii="Arial" w:cs="Arial" w:eastAsia="Arial" w:hAnsi="Arial"/>
                <w:sz w:val="13"/>
                <w:szCs w:val="13"/>
                <w:color w:val="auto"/>
                <w:w w:val="94"/>
              </w:rPr>
              <w:t>and Childcare</w:t>
            </w: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Convergint Technologies Holdings, LLC</w:t>
            </w:r>
          </w:p>
        </w:tc>
        <w:tc>
          <w:tcPr>
            <w:tcW w:w="112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4"/>
              </w:rPr>
              <w:t>Electronics</w:t>
            </w:r>
          </w:p>
        </w:tc>
        <w:tc>
          <w:tcPr>
            <w:tcW w:w="1200" w:type="dxa"/>
            <w:vAlign w:val="bottom"/>
            <w:shd w:val="clear" w:color="auto" w:fill="CCEEFF"/>
          </w:tcPr>
          <w:p>
            <w:pPr>
              <w:jc w:val="right"/>
              <w:ind w:right="513"/>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2,375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2,375,000</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20" w:type="dxa"/>
            <w:vAlign w:val="bottom"/>
          </w:tcPr>
          <w:p>
            <w:pPr>
              <w:spacing w:after="0" w:line="138" w:lineRule="exact"/>
              <w:rPr>
                <w:sz w:val="20"/>
                <w:szCs w:val="20"/>
                <w:color w:val="auto"/>
              </w:rPr>
            </w:pPr>
            <w:r>
              <w:rPr>
                <w:rFonts w:ascii="Arial" w:cs="Arial" w:eastAsia="Arial" w:hAnsi="Arial"/>
                <w:sz w:val="13"/>
                <w:szCs w:val="13"/>
                <w:color w:val="auto"/>
              </w:rPr>
              <w:t>HW Topco, Inc.</w:t>
            </w:r>
          </w:p>
        </w:tc>
        <w:tc>
          <w:tcPr>
            <w:tcW w:w="1120" w:type="dxa"/>
            <w:vAlign w:val="bottom"/>
          </w:tcPr>
          <w:p>
            <w:pPr>
              <w:jc w:val="right"/>
              <w:ind w:right="393"/>
              <w:spacing w:after="0" w:line="138" w:lineRule="exact"/>
              <w:rPr>
                <w:sz w:val="20"/>
                <w:szCs w:val="20"/>
                <w:color w:val="auto"/>
              </w:rPr>
            </w:pPr>
            <w:r>
              <w:rPr>
                <w:rFonts w:ascii="Arial" w:cs="Arial" w:eastAsia="Arial" w:hAnsi="Arial"/>
                <w:sz w:val="13"/>
                <w:szCs w:val="13"/>
                <w:color w:val="auto"/>
              </w:rPr>
              <w:t>—</w:t>
            </w:r>
          </w:p>
        </w:tc>
        <w:tc>
          <w:tcPr>
            <w:tcW w:w="2000" w:type="dxa"/>
            <w:vAlign w:val="bottom"/>
          </w:tcPr>
          <w:p>
            <w:pPr>
              <w:jc w:val="center"/>
              <w:ind w:left="13"/>
              <w:spacing w:after="0" w:line="138" w:lineRule="exact"/>
              <w:rPr>
                <w:sz w:val="20"/>
                <w:szCs w:val="20"/>
                <w:color w:val="auto"/>
              </w:rPr>
            </w:pPr>
            <w:r>
              <w:rPr>
                <w:rFonts w:ascii="Arial" w:cs="Arial" w:eastAsia="Arial" w:hAnsi="Arial"/>
                <w:sz w:val="13"/>
                <w:szCs w:val="13"/>
                <w:color w:val="auto"/>
                <w:w w:val="95"/>
              </w:rPr>
              <w:t>Other Media</w:t>
            </w:r>
          </w:p>
        </w:tc>
        <w:tc>
          <w:tcPr>
            <w:tcW w:w="1200" w:type="dxa"/>
            <w:vAlign w:val="bottom"/>
          </w:tcPr>
          <w:p>
            <w:pPr>
              <w:jc w:val="right"/>
              <w:ind w:right="333"/>
              <w:spacing w:after="0" w:line="138" w:lineRule="exact"/>
              <w:rPr>
                <w:sz w:val="20"/>
                <w:szCs w:val="20"/>
                <w:color w:val="auto"/>
              </w:rPr>
            </w:pPr>
            <w:r>
              <w:rPr>
                <w:rFonts w:ascii="Arial" w:cs="Arial" w:eastAsia="Arial" w:hAnsi="Arial"/>
                <w:sz w:val="13"/>
                <w:szCs w:val="13"/>
                <w:color w:val="auto"/>
              </w:rPr>
              <w:t>8.00%</w:t>
            </w:r>
          </w:p>
        </w:tc>
        <w:tc>
          <w:tcPr>
            <w:tcW w:w="560" w:type="dxa"/>
            <w:vAlign w:val="bottom"/>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93"/>
              <w:spacing w:after="0" w:line="138" w:lineRule="exact"/>
              <w:rPr>
                <w:sz w:val="20"/>
                <w:szCs w:val="20"/>
                <w:color w:val="auto"/>
              </w:rPr>
            </w:pPr>
            <w:r>
              <w:rPr>
                <w:rFonts w:ascii="Arial" w:cs="Arial" w:eastAsia="Arial" w:hAnsi="Arial"/>
                <w:sz w:val="13"/>
                <w:szCs w:val="13"/>
                <w:color w:val="auto"/>
              </w:rPr>
              <w:t>3,591</w:t>
            </w:r>
          </w:p>
        </w:tc>
        <w:tc>
          <w:tcPr>
            <w:tcW w:w="9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24,177</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27,916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220"/>
              <w:spacing w:after="0"/>
              <w:rPr>
                <w:sz w:val="20"/>
                <w:szCs w:val="20"/>
                <w:color w:val="auto"/>
              </w:rPr>
            </w:pPr>
            <w:r>
              <w:rPr>
                <w:rFonts w:ascii="Arial" w:cs="Arial" w:eastAsia="Arial" w:hAnsi="Arial"/>
                <w:sz w:val="13"/>
                <w:szCs w:val="13"/>
                <w:color w:val="auto"/>
              </w:rPr>
              <w:t>(Hanley-Wood, LLC)</w:t>
            </w:r>
          </w:p>
        </w:tc>
        <w:tc>
          <w:tcPr>
            <w:tcW w:w="1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PAS Tech Holdings, Inc., Series A-1</w:t>
            </w:r>
          </w:p>
        </w:tc>
        <w:tc>
          <w:tcPr>
            <w:tcW w:w="1120" w:type="dxa"/>
            <w:vAlign w:val="bottom"/>
            <w:shd w:val="clear" w:color="auto" w:fill="CCEEFF"/>
          </w:tcPr>
          <w:p>
            <w:pPr>
              <w:jc w:val="right"/>
              <w:ind w:right="393"/>
              <w:spacing w:after="0" w:line="138" w:lineRule="exact"/>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jc w:val="center"/>
              <w:ind w:left="13"/>
              <w:spacing w:after="0" w:line="138" w:lineRule="exact"/>
              <w:rPr>
                <w:sz w:val="20"/>
                <w:szCs w:val="20"/>
                <w:color w:val="auto"/>
              </w:rPr>
            </w:pPr>
            <w:r>
              <w:rPr>
                <w:rFonts w:ascii="Arial" w:cs="Arial" w:eastAsia="Arial" w:hAnsi="Arial"/>
                <w:sz w:val="13"/>
                <w:szCs w:val="13"/>
                <w:color w:val="auto"/>
                <w:w w:val="91"/>
              </w:rPr>
              <w:t>Aerospace and Defense</w:t>
            </w:r>
          </w:p>
        </w:tc>
        <w:tc>
          <w:tcPr>
            <w:tcW w:w="1200" w:type="dxa"/>
            <w:vAlign w:val="bottom"/>
            <w:shd w:val="clear" w:color="auto" w:fill="CCEEFF"/>
          </w:tcPr>
          <w:p>
            <w:pPr>
              <w:jc w:val="right"/>
              <w:ind w:right="333"/>
              <w:spacing w:after="0" w:line="138" w:lineRule="exact"/>
              <w:rPr>
                <w:sz w:val="20"/>
                <w:szCs w:val="20"/>
                <w:color w:val="auto"/>
              </w:rPr>
            </w:pPr>
            <w:r>
              <w:rPr>
                <w:rFonts w:ascii="Arial" w:cs="Arial" w:eastAsia="Arial" w:hAnsi="Arial"/>
                <w:sz w:val="13"/>
                <w:szCs w:val="13"/>
                <w:color w:val="auto"/>
              </w:rPr>
              <w:t>8.00%</w:t>
            </w:r>
          </w:p>
        </w:tc>
        <w:tc>
          <w:tcPr>
            <w:tcW w:w="560" w:type="dxa"/>
            <w:vAlign w:val="bottom"/>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20,000</w:t>
            </w:r>
          </w:p>
        </w:tc>
        <w:tc>
          <w:tcPr>
            <w:tcW w:w="9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1,980,000</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823,710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(PAS Technologies, Inc.)</w:t>
            </w:r>
          </w:p>
        </w:tc>
        <w:tc>
          <w:tcPr>
            <w:tcW w:w="11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20"/>
                <w:szCs w:val="20"/>
                <w:color w:val="auto"/>
              </w:rPr>
            </w:pPr>
            <w:r>
              <w:rPr>
                <w:rFonts w:ascii="Arial" w:cs="Arial" w:eastAsia="Arial" w:hAnsi="Arial"/>
                <w:sz w:val="13"/>
                <w:szCs w:val="13"/>
                <w:color w:val="auto"/>
              </w:rPr>
              <w:t>TrustHouse Services Holdings, LLC</w:t>
            </w:r>
          </w:p>
        </w:tc>
        <w:tc>
          <w:tcPr>
            <w:tcW w:w="1120" w:type="dxa"/>
            <w:vAlign w:val="bottom"/>
          </w:tcPr>
          <w:p>
            <w:pPr>
              <w:spacing w:after="0"/>
              <w:rPr>
                <w:sz w:val="12"/>
                <w:szCs w:val="12"/>
                <w:color w:val="auto"/>
              </w:rPr>
            </w:pPr>
          </w:p>
        </w:tc>
        <w:tc>
          <w:tcPr>
            <w:tcW w:w="2000" w:type="dxa"/>
            <w:vAlign w:val="bottom"/>
          </w:tcPr>
          <w:p>
            <w:pPr>
              <w:jc w:val="center"/>
              <w:ind w:left="13"/>
              <w:spacing w:after="0"/>
              <w:rPr>
                <w:sz w:val="20"/>
                <w:szCs w:val="20"/>
                <w:color w:val="auto"/>
              </w:rPr>
            </w:pPr>
            <w:r>
              <w:rPr>
                <w:rFonts w:ascii="Arial" w:cs="Arial" w:eastAsia="Arial" w:hAnsi="Arial"/>
                <w:sz w:val="13"/>
                <w:szCs w:val="13"/>
                <w:color w:val="auto"/>
                <w:w w:val="91"/>
              </w:rPr>
              <w:t>Beverage, Food, and Tobacco</w:t>
            </w:r>
          </w:p>
        </w:tc>
        <w:tc>
          <w:tcPr>
            <w:tcW w:w="1200" w:type="dxa"/>
            <w:vAlign w:val="bottom"/>
          </w:tcPr>
          <w:p>
            <w:pPr>
              <w:jc w:val="right"/>
              <w:ind w:right="333"/>
              <w:spacing w:after="0"/>
              <w:rPr>
                <w:sz w:val="20"/>
                <w:szCs w:val="20"/>
                <w:color w:val="auto"/>
              </w:rPr>
            </w:pPr>
            <w:r>
              <w:rPr>
                <w:rFonts w:ascii="Arial" w:cs="Arial" w:eastAsia="Arial" w:hAnsi="Arial"/>
                <w:sz w:val="13"/>
                <w:szCs w:val="13"/>
                <w:color w:val="auto"/>
              </w:rPr>
              <w:t>12.00%</w:t>
            </w:r>
          </w:p>
        </w:tc>
        <w:tc>
          <w:tcPr>
            <w:tcW w:w="560" w:type="dxa"/>
            <w:vAlign w:val="bottom"/>
          </w:tcPr>
          <w:p>
            <w:pPr>
              <w:ind w:left="28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1,099</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984,344</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1,111,742</w:t>
            </w:r>
          </w:p>
        </w:tc>
        <w:tc>
          <w:tcPr>
            <w:tcW w:w="0" w:type="dxa"/>
            <w:vAlign w:val="bottom"/>
          </w:tcPr>
          <w:p>
            <w:pPr>
              <w:spacing w:after="0"/>
              <w:rPr>
                <w:sz w:val="1"/>
                <w:szCs w:val="1"/>
                <w:color w:val="auto"/>
              </w:rPr>
            </w:pPr>
          </w:p>
        </w:tc>
      </w:tr>
      <w:tr>
        <w:trPr>
          <w:trHeight w:val="138"/>
        </w:trPr>
        <w:tc>
          <w:tcPr>
            <w:tcW w:w="37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TZ Holdings, L.P., Series A</w:t>
            </w:r>
          </w:p>
        </w:tc>
        <w:tc>
          <w:tcPr>
            <w:tcW w:w="1120" w:type="dxa"/>
            <w:vAlign w:val="bottom"/>
            <w:shd w:val="clear" w:color="auto" w:fill="CCEEFF"/>
          </w:tcPr>
          <w:p>
            <w:pPr>
              <w:jc w:val="right"/>
              <w:ind w:right="393"/>
              <w:spacing w:after="0" w:line="138" w:lineRule="exact"/>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jc w:val="center"/>
              <w:ind w:left="13"/>
              <w:spacing w:after="0" w:line="138" w:lineRule="exact"/>
              <w:rPr>
                <w:sz w:val="20"/>
                <w:szCs w:val="20"/>
                <w:color w:val="auto"/>
              </w:rPr>
            </w:pPr>
            <w:r>
              <w:rPr>
                <w:rFonts w:ascii="Arial" w:cs="Arial" w:eastAsia="Arial" w:hAnsi="Arial"/>
                <w:sz w:val="13"/>
                <w:szCs w:val="13"/>
                <w:color w:val="auto"/>
                <w:w w:val="91"/>
              </w:rPr>
              <w:t>Insurance</w:t>
            </w:r>
          </w:p>
        </w:tc>
        <w:tc>
          <w:tcPr>
            <w:tcW w:w="1200" w:type="dxa"/>
            <w:vAlign w:val="bottom"/>
            <w:shd w:val="clear" w:color="auto" w:fill="CCEEFF"/>
          </w:tcPr>
          <w:p>
            <w:pPr>
              <w:jc w:val="right"/>
              <w:ind w:right="513"/>
              <w:spacing w:after="0" w:line="13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686</w:t>
            </w:r>
          </w:p>
        </w:tc>
        <w:tc>
          <w:tcPr>
            <w:tcW w:w="9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685,820</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685,820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(Trizetto Group, Inc.)</w:t>
            </w:r>
          </w:p>
        </w:tc>
        <w:tc>
          <w:tcPr>
            <w:tcW w:w="11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20" w:type="dxa"/>
            <w:vAlign w:val="bottom"/>
          </w:tcPr>
          <w:p>
            <w:pPr>
              <w:spacing w:after="0" w:line="138" w:lineRule="exact"/>
              <w:rPr>
                <w:sz w:val="20"/>
                <w:szCs w:val="20"/>
                <w:color w:val="auto"/>
              </w:rPr>
            </w:pPr>
            <w:r>
              <w:rPr>
                <w:rFonts w:ascii="Arial" w:cs="Arial" w:eastAsia="Arial" w:hAnsi="Arial"/>
                <w:sz w:val="13"/>
                <w:szCs w:val="13"/>
                <w:color w:val="auto"/>
              </w:rPr>
              <w:t>TZ Holdings, L.P., Series B</w:t>
            </w:r>
          </w:p>
        </w:tc>
        <w:tc>
          <w:tcPr>
            <w:tcW w:w="1120" w:type="dxa"/>
            <w:vAlign w:val="bottom"/>
          </w:tcPr>
          <w:p>
            <w:pPr>
              <w:jc w:val="right"/>
              <w:ind w:right="393"/>
              <w:spacing w:after="0" w:line="138" w:lineRule="exact"/>
              <w:rPr>
                <w:sz w:val="20"/>
                <w:szCs w:val="20"/>
                <w:color w:val="auto"/>
              </w:rPr>
            </w:pPr>
            <w:r>
              <w:rPr>
                <w:rFonts w:ascii="Arial" w:cs="Arial" w:eastAsia="Arial" w:hAnsi="Arial"/>
                <w:sz w:val="13"/>
                <w:szCs w:val="13"/>
                <w:color w:val="auto"/>
              </w:rPr>
              <w:t>—</w:t>
            </w:r>
          </w:p>
        </w:tc>
        <w:tc>
          <w:tcPr>
            <w:tcW w:w="2000" w:type="dxa"/>
            <w:vAlign w:val="bottom"/>
          </w:tcPr>
          <w:p>
            <w:pPr>
              <w:jc w:val="center"/>
              <w:ind w:left="13"/>
              <w:spacing w:after="0" w:line="138" w:lineRule="exact"/>
              <w:rPr>
                <w:sz w:val="20"/>
                <w:szCs w:val="20"/>
                <w:color w:val="auto"/>
              </w:rPr>
            </w:pPr>
            <w:r>
              <w:rPr>
                <w:rFonts w:ascii="Arial" w:cs="Arial" w:eastAsia="Arial" w:hAnsi="Arial"/>
                <w:sz w:val="13"/>
                <w:szCs w:val="13"/>
                <w:color w:val="auto"/>
                <w:w w:val="91"/>
              </w:rPr>
              <w:t>Insurance</w:t>
            </w:r>
          </w:p>
        </w:tc>
        <w:tc>
          <w:tcPr>
            <w:tcW w:w="1200" w:type="dxa"/>
            <w:vAlign w:val="bottom"/>
          </w:tcPr>
          <w:p>
            <w:pPr>
              <w:jc w:val="right"/>
              <w:ind w:right="333"/>
              <w:spacing w:after="0" w:line="138" w:lineRule="exact"/>
              <w:rPr>
                <w:sz w:val="20"/>
                <w:szCs w:val="20"/>
                <w:color w:val="auto"/>
              </w:rPr>
            </w:pPr>
            <w:r>
              <w:rPr>
                <w:rFonts w:ascii="Arial" w:cs="Arial" w:eastAsia="Arial" w:hAnsi="Arial"/>
                <w:sz w:val="13"/>
                <w:szCs w:val="13"/>
                <w:color w:val="auto"/>
              </w:rPr>
              <w:t>6.50%</w:t>
            </w:r>
          </w:p>
        </w:tc>
        <w:tc>
          <w:tcPr>
            <w:tcW w:w="560" w:type="dxa"/>
            <w:vAlign w:val="bottom"/>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93"/>
              <w:spacing w:after="0" w:line="138" w:lineRule="exact"/>
              <w:rPr>
                <w:sz w:val="20"/>
                <w:szCs w:val="20"/>
                <w:color w:val="auto"/>
              </w:rPr>
            </w:pPr>
            <w:r>
              <w:rPr>
                <w:rFonts w:ascii="Arial" w:cs="Arial" w:eastAsia="Arial" w:hAnsi="Arial"/>
                <w:sz w:val="13"/>
                <w:szCs w:val="13"/>
                <w:color w:val="auto"/>
              </w:rPr>
              <w:t>1,312</w:t>
            </w:r>
          </w:p>
        </w:tc>
        <w:tc>
          <w:tcPr>
            <w:tcW w:w="9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1,312,006</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1,666,679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220"/>
              <w:spacing w:after="0"/>
              <w:rPr>
                <w:sz w:val="20"/>
                <w:szCs w:val="20"/>
                <w:color w:val="auto"/>
              </w:rPr>
            </w:pPr>
            <w:r>
              <w:rPr>
                <w:rFonts w:ascii="Arial" w:cs="Arial" w:eastAsia="Arial" w:hAnsi="Arial"/>
                <w:sz w:val="13"/>
                <w:szCs w:val="13"/>
                <w:color w:val="auto"/>
              </w:rPr>
              <w:t>(Trizetto Group, Inc.)</w:t>
            </w:r>
          </w:p>
        </w:tc>
        <w:tc>
          <w:tcPr>
            <w:tcW w:w="1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Verde Parent Holdings, Inc.</w:t>
            </w:r>
          </w:p>
        </w:tc>
        <w:tc>
          <w:tcPr>
            <w:tcW w:w="112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2"/>
              </w:rPr>
              <w:t>Personal Transportation</w:t>
            </w:r>
          </w:p>
        </w:tc>
        <w:tc>
          <w:tcPr>
            <w:tcW w:w="120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8.00%</w:t>
            </w:r>
          </w:p>
        </w:tc>
        <w:tc>
          <w:tcPr>
            <w:tcW w:w="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1,824,167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1,824,167</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1,949,629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3"/>
                <w:szCs w:val="13"/>
                <w:b w:val="1"/>
                <w:bCs w:val="1"/>
                <w:color w:val="auto"/>
              </w:rPr>
              <w:t>Total Preferred Equity/Partnership Interests</w:t>
            </w:r>
          </w:p>
        </w:tc>
        <w:tc>
          <w:tcPr>
            <w:tcW w:w="1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12,101,421</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11,178,282</w:t>
            </w:r>
          </w:p>
        </w:tc>
        <w:tc>
          <w:tcPr>
            <w:tcW w:w="0" w:type="dxa"/>
            <w:vAlign w:val="bottom"/>
          </w:tcPr>
          <w:p>
            <w:pPr>
              <w:spacing w:after="0"/>
              <w:rPr>
                <w:sz w:val="1"/>
                <w:szCs w:val="1"/>
                <w:color w:val="auto"/>
              </w:rPr>
            </w:pPr>
          </w:p>
        </w:tc>
      </w:tr>
      <w:tr>
        <w:trPr>
          <w:trHeight w:val="148"/>
        </w:trPr>
        <w:tc>
          <w:tcPr>
            <w:tcW w:w="372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Equity/Warrants/Partnership Interests—9.2%</w:t>
            </w:r>
            <w:r>
              <w:rPr>
                <w:rFonts w:ascii="Arial" w:cs="Arial" w:eastAsia="Arial" w:hAnsi="Arial"/>
                <w:sz w:val="17"/>
                <w:szCs w:val="17"/>
                <w:b w:val="1"/>
                <w:bCs w:val="1"/>
                <w:color w:val="auto"/>
                <w:vertAlign w:val="superscript"/>
              </w:rPr>
              <w:t>(6)</w:t>
            </w:r>
          </w:p>
        </w:tc>
        <w:tc>
          <w:tcPr>
            <w:tcW w:w="11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line="216" w:lineRule="exact"/>
              <w:rPr>
                <w:sz w:val="20"/>
                <w:szCs w:val="20"/>
                <w:color w:val="auto"/>
              </w:rPr>
            </w:pPr>
            <w:r>
              <w:rPr>
                <w:rFonts w:ascii="Arial" w:cs="Arial" w:eastAsia="Arial" w:hAnsi="Arial"/>
                <w:sz w:val="13"/>
                <w:szCs w:val="13"/>
                <w:color w:val="auto"/>
              </w:rPr>
              <w:t xml:space="preserve">Acentia, LLC, Class A Units </w:t>
            </w:r>
            <w:r>
              <w:rPr>
                <w:rFonts w:ascii="Arial" w:cs="Arial" w:eastAsia="Arial" w:hAnsi="Arial"/>
                <w:sz w:val="22"/>
                <w:szCs w:val="22"/>
                <w:color w:val="auto"/>
                <w:vertAlign w:val="superscript"/>
              </w:rPr>
              <w:t>(12)</w:t>
            </w:r>
          </w:p>
        </w:tc>
        <w:tc>
          <w:tcPr>
            <w:tcW w:w="112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2000" w:type="dxa"/>
            <w:vAlign w:val="bottom"/>
          </w:tcPr>
          <w:p>
            <w:pPr>
              <w:jc w:val="center"/>
              <w:ind w:left="13"/>
              <w:spacing w:after="0"/>
              <w:rPr>
                <w:sz w:val="20"/>
                <w:szCs w:val="20"/>
                <w:color w:val="auto"/>
              </w:rPr>
            </w:pPr>
            <w:r>
              <w:rPr>
                <w:rFonts w:ascii="Arial" w:cs="Arial" w:eastAsia="Arial" w:hAnsi="Arial"/>
                <w:sz w:val="13"/>
                <w:szCs w:val="13"/>
                <w:color w:val="auto"/>
                <w:w w:val="94"/>
              </w:rPr>
              <w:t>Electronics</w:t>
            </w:r>
          </w:p>
        </w:tc>
        <w:tc>
          <w:tcPr>
            <w:tcW w:w="120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560" w:type="dxa"/>
            <w:vAlign w:val="bottom"/>
          </w:tcPr>
          <w:p>
            <w:pPr>
              <w:ind w:left="28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1,998</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2,000,000</w:t>
            </w:r>
          </w:p>
        </w:tc>
        <w:tc>
          <w:tcPr>
            <w:tcW w:w="780" w:type="dxa"/>
            <w:vAlign w:val="bottom"/>
          </w:tcPr>
          <w:p>
            <w:pPr>
              <w:jc w:val="right"/>
              <w:spacing w:after="0"/>
              <w:rPr>
                <w:sz w:val="20"/>
                <w:szCs w:val="20"/>
                <w:color w:val="auto"/>
              </w:rPr>
            </w:pPr>
            <w:r>
              <w:rPr>
                <w:rFonts w:ascii="Arial" w:cs="Arial" w:eastAsia="Arial" w:hAnsi="Arial"/>
                <w:sz w:val="13"/>
                <w:szCs w:val="13"/>
                <w:color w:val="auto"/>
              </w:rPr>
              <w:t>1,737,396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37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AH Holdings, Inc. (Warrants)</w:t>
            </w:r>
          </w:p>
        </w:tc>
        <w:tc>
          <w:tcPr>
            <w:tcW w:w="1120" w:type="dxa"/>
            <w:vAlign w:val="bottom"/>
            <w:shd w:val="clear" w:color="auto" w:fill="CCEEFF"/>
          </w:tcPr>
          <w:p>
            <w:pPr>
              <w:jc w:val="right"/>
              <w:ind w:right="113"/>
              <w:spacing w:after="0" w:line="138" w:lineRule="exact"/>
              <w:rPr>
                <w:sz w:val="20"/>
                <w:szCs w:val="20"/>
                <w:color w:val="auto"/>
              </w:rPr>
            </w:pPr>
            <w:r>
              <w:rPr>
                <w:rFonts w:ascii="Arial" w:cs="Arial" w:eastAsia="Arial" w:hAnsi="Arial"/>
                <w:sz w:val="13"/>
                <w:szCs w:val="13"/>
                <w:color w:val="auto"/>
              </w:rPr>
              <w:t>03/23/2021</w:t>
            </w:r>
          </w:p>
        </w:tc>
        <w:tc>
          <w:tcPr>
            <w:tcW w:w="2000" w:type="dxa"/>
            <w:vAlign w:val="bottom"/>
            <w:shd w:val="clear" w:color="auto" w:fill="CCEEFF"/>
          </w:tcPr>
          <w:p>
            <w:pPr>
              <w:jc w:val="center"/>
              <w:ind w:left="13"/>
              <w:spacing w:after="0" w:line="138" w:lineRule="exact"/>
              <w:rPr>
                <w:sz w:val="20"/>
                <w:szCs w:val="20"/>
                <w:color w:val="auto"/>
              </w:rPr>
            </w:pPr>
            <w:r>
              <w:rPr>
                <w:rFonts w:ascii="Arial" w:cs="Arial" w:eastAsia="Arial" w:hAnsi="Arial"/>
                <w:sz w:val="13"/>
                <w:szCs w:val="13"/>
                <w:color w:val="auto"/>
                <w:w w:val="93"/>
              </w:rPr>
              <w:t>Healthcare, Education</w:t>
            </w:r>
          </w:p>
        </w:tc>
        <w:tc>
          <w:tcPr>
            <w:tcW w:w="1200" w:type="dxa"/>
            <w:vAlign w:val="bottom"/>
            <w:shd w:val="clear" w:color="auto" w:fill="CCEEFF"/>
          </w:tcPr>
          <w:p>
            <w:pPr>
              <w:jc w:val="right"/>
              <w:ind w:right="513"/>
              <w:spacing w:after="0" w:line="13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753</w:t>
            </w: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2,063,780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(American Surgical Holdings, Inc.)</w:t>
            </w:r>
          </w:p>
        </w:tc>
        <w:tc>
          <w:tcPr>
            <w:tcW w:w="1120" w:type="dxa"/>
            <w:vAlign w:val="bottom"/>
            <w:shd w:val="clear" w:color="auto" w:fill="CCEEFF"/>
          </w:tcPr>
          <w:p>
            <w:pPr>
              <w:spacing w:after="0"/>
              <w:rPr>
                <w:sz w:val="15"/>
                <w:szCs w:val="15"/>
                <w:color w:val="auto"/>
              </w:rPr>
            </w:pPr>
          </w:p>
        </w:tc>
        <w:tc>
          <w:tcPr>
            <w:tcW w:w="20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4"/>
              </w:rPr>
              <w:t>and Childcare</w:t>
            </w:r>
          </w:p>
        </w:tc>
        <w:tc>
          <w:tcPr>
            <w:tcW w:w="1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20" w:type="dxa"/>
            <w:vAlign w:val="bottom"/>
          </w:tcPr>
          <w:p>
            <w:pPr>
              <w:spacing w:after="0" w:line="138" w:lineRule="exact"/>
              <w:rPr>
                <w:sz w:val="20"/>
                <w:szCs w:val="20"/>
                <w:color w:val="auto"/>
              </w:rPr>
            </w:pPr>
            <w:r>
              <w:rPr>
                <w:rFonts w:ascii="Arial" w:cs="Arial" w:eastAsia="Arial" w:hAnsi="Arial"/>
                <w:sz w:val="13"/>
                <w:szCs w:val="13"/>
                <w:color w:val="auto"/>
              </w:rPr>
              <w:t>Alegeus Technologies Holding Corp., Class A</w:t>
            </w:r>
          </w:p>
        </w:tc>
        <w:tc>
          <w:tcPr>
            <w:tcW w:w="1120" w:type="dxa"/>
            <w:vAlign w:val="bottom"/>
          </w:tcPr>
          <w:p>
            <w:pPr>
              <w:jc w:val="right"/>
              <w:ind w:right="393"/>
              <w:spacing w:after="0" w:line="138" w:lineRule="exact"/>
              <w:rPr>
                <w:sz w:val="20"/>
                <w:szCs w:val="20"/>
                <w:color w:val="auto"/>
              </w:rPr>
            </w:pPr>
            <w:r>
              <w:rPr>
                <w:rFonts w:ascii="Arial" w:cs="Arial" w:eastAsia="Arial" w:hAnsi="Arial"/>
                <w:sz w:val="13"/>
                <w:szCs w:val="13"/>
                <w:color w:val="auto"/>
              </w:rPr>
              <w:t>—</w:t>
            </w:r>
          </w:p>
        </w:tc>
        <w:tc>
          <w:tcPr>
            <w:tcW w:w="2000" w:type="dxa"/>
            <w:vAlign w:val="bottom"/>
          </w:tcPr>
          <w:p>
            <w:pPr>
              <w:jc w:val="center"/>
              <w:ind w:left="13"/>
              <w:spacing w:after="0" w:line="138" w:lineRule="exact"/>
              <w:rPr>
                <w:sz w:val="20"/>
                <w:szCs w:val="20"/>
                <w:color w:val="auto"/>
              </w:rPr>
            </w:pPr>
            <w:r>
              <w:rPr>
                <w:rFonts w:ascii="Arial" w:cs="Arial" w:eastAsia="Arial" w:hAnsi="Arial"/>
                <w:sz w:val="13"/>
                <w:szCs w:val="13"/>
                <w:color w:val="auto"/>
                <w:w w:val="94"/>
              </w:rPr>
              <w:t>Financial Services</w:t>
            </w:r>
          </w:p>
        </w:tc>
        <w:tc>
          <w:tcPr>
            <w:tcW w:w="1200" w:type="dxa"/>
            <w:vAlign w:val="bottom"/>
          </w:tcPr>
          <w:p>
            <w:pPr>
              <w:jc w:val="right"/>
              <w:ind w:right="513"/>
              <w:spacing w:after="0" w:line="138" w:lineRule="exact"/>
              <w:rPr>
                <w:sz w:val="20"/>
                <w:szCs w:val="20"/>
                <w:color w:val="auto"/>
              </w:rPr>
            </w:pPr>
            <w:r>
              <w:rPr>
                <w:rFonts w:ascii="Arial" w:cs="Arial" w:eastAsia="Arial" w:hAnsi="Arial"/>
                <w:sz w:val="13"/>
                <w:szCs w:val="13"/>
                <w:color w:val="auto"/>
              </w:rPr>
              <w:t>—</w:t>
            </w:r>
          </w:p>
        </w:tc>
        <w:tc>
          <w:tcPr>
            <w:tcW w:w="560" w:type="dxa"/>
            <w:vAlign w:val="bottom"/>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93"/>
              <w:spacing w:after="0" w:line="138" w:lineRule="exact"/>
              <w:rPr>
                <w:sz w:val="20"/>
                <w:szCs w:val="20"/>
                <w:color w:val="auto"/>
              </w:rPr>
            </w:pPr>
            <w:r>
              <w:rPr>
                <w:rFonts w:ascii="Arial" w:cs="Arial" w:eastAsia="Arial" w:hAnsi="Arial"/>
                <w:sz w:val="13"/>
                <w:szCs w:val="13"/>
                <w:color w:val="auto"/>
              </w:rPr>
              <w:t>1</w:t>
            </w:r>
          </w:p>
        </w:tc>
        <w:tc>
          <w:tcPr>
            <w:tcW w:w="9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950</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1,033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220"/>
              <w:spacing w:after="0"/>
              <w:rPr>
                <w:sz w:val="20"/>
                <w:szCs w:val="20"/>
                <w:color w:val="auto"/>
              </w:rPr>
            </w:pPr>
            <w:r>
              <w:rPr>
                <w:rFonts w:ascii="Arial" w:cs="Arial" w:eastAsia="Arial" w:hAnsi="Arial"/>
                <w:sz w:val="13"/>
                <w:szCs w:val="13"/>
                <w:color w:val="auto"/>
              </w:rPr>
              <w:t>(Alegeus Technologies, LLC)</w:t>
            </w:r>
          </w:p>
        </w:tc>
        <w:tc>
          <w:tcPr>
            <w:tcW w:w="1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Autumn Games, LLC</w:t>
            </w:r>
          </w:p>
        </w:tc>
        <w:tc>
          <w:tcPr>
            <w:tcW w:w="112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jc w:val="center"/>
              <w:ind w:left="33"/>
              <w:spacing w:after="0"/>
              <w:rPr>
                <w:sz w:val="20"/>
                <w:szCs w:val="20"/>
                <w:color w:val="auto"/>
              </w:rPr>
            </w:pPr>
            <w:r>
              <w:rPr>
                <w:rFonts w:ascii="Arial" w:cs="Arial" w:eastAsia="Arial" w:hAnsi="Arial"/>
                <w:sz w:val="13"/>
                <w:szCs w:val="13"/>
                <w:color w:val="auto"/>
                <w:w w:val="93"/>
              </w:rPr>
              <w:t>Broadcasting and Entertainment</w:t>
            </w:r>
          </w:p>
        </w:tc>
        <w:tc>
          <w:tcPr>
            <w:tcW w:w="1200" w:type="dxa"/>
            <w:vAlign w:val="bottom"/>
            <w:shd w:val="clear" w:color="auto" w:fill="CCEEFF"/>
          </w:tcPr>
          <w:p>
            <w:pPr>
              <w:jc w:val="right"/>
              <w:ind w:right="513"/>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1,333,330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3,000,000</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720" w:type="dxa"/>
            <w:vAlign w:val="bottom"/>
          </w:tcPr>
          <w:p>
            <w:pPr>
              <w:spacing w:after="0" w:line="138" w:lineRule="exact"/>
              <w:rPr>
                <w:sz w:val="20"/>
                <w:szCs w:val="20"/>
                <w:color w:val="auto"/>
              </w:rPr>
            </w:pPr>
            <w:r>
              <w:rPr>
                <w:rFonts w:ascii="Arial" w:cs="Arial" w:eastAsia="Arial" w:hAnsi="Arial"/>
                <w:sz w:val="10"/>
                <w:szCs w:val="10"/>
                <w:color w:val="auto"/>
              </w:rPr>
              <w:t xml:space="preserve">CI (Galls) Prime Investment Holdings, LLC </w:t>
            </w:r>
            <w:r>
              <w:rPr>
                <w:rFonts w:ascii="Arial" w:cs="Arial" w:eastAsia="Arial" w:hAnsi="Arial"/>
                <w:sz w:val="15"/>
                <w:szCs w:val="15"/>
                <w:color w:val="auto"/>
                <w:vertAlign w:val="superscript"/>
              </w:rPr>
              <w:t>(11)</w:t>
            </w:r>
          </w:p>
        </w:tc>
        <w:tc>
          <w:tcPr>
            <w:tcW w:w="1120" w:type="dxa"/>
            <w:vAlign w:val="bottom"/>
          </w:tcPr>
          <w:p>
            <w:pPr>
              <w:jc w:val="right"/>
              <w:ind w:right="393"/>
              <w:spacing w:after="0" w:line="138" w:lineRule="exact"/>
              <w:rPr>
                <w:sz w:val="20"/>
                <w:szCs w:val="20"/>
                <w:color w:val="auto"/>
              </w:rPr>
            </w:pPr>
            <w:r>
              <w:rPr>
                <w:rFonts w:ascii="Arial" w:cs="Arial" w:eastAsia="Arial" w:hAnsi="Arial"/>
                <w:sz w:val="13"/>
                <w:szCs w:val="13"/>
                <w:color w:val="auto"/>
              </w:rPr>
              <w:t>—</w:t>
            </w:r>
          </w:p>
        </w:tc>
        <w:tc>
          <w:tcPr>
            <w:tcW w:w="2000" w:type="dxa"/>
            <w:vAlign w:val="bottom"/>
          </w:tcPr>
          <w:p>
            <w:pPr>
              <w:jc w:val="center"/>
              <w:ind w:left="13"/>
              <w:spacing w:after="0" w:line="138" w:lineRule="exact"/>
              <w:rPr>
                <w:sz w:val="20"/>
                <w:szCs w:val="20"/>
                <w:color w:val="auto"/>
              </w:rPr>
            </w:pPr>
            <w:r>
              <w:rPr>
                <w:rFonts w:ascii="Arial" w:cs="Arial" w:eastAsia="Arial" w:hAnsi="Arial"/>
                <w:sz w:val="13"/>
                <w:szCs w:val="13"/>
                <w:color w:val="auto"/>
                <w:w w:val="98"/>
              </w:rPr>
              <w:t>Distribution</w:t>
            </w:r>
          </w:p>
        </w:tc>
        <w:tc>
          <w:tcPr>
            <w:tcW w:w="1200" w:type="dxa"/>
            <w:vAlign w:val="bottom"/>
          </w:tcPr>
          <w:p>
            <w:pPr>
              <w:jc w:val="right"/>
              <w:ind w:right="513"/>
              <w:spacing w:after="0" w:line="138" w:lineRule="exact"/>
              <w:rPr>
                <w:sz w:val="20"/>
                <w:szCs w:val="20"/>
                <w:color w:val="auto"/>
              </w:rPr>
            </w:pPr>
            <w:r>
              <w:rPr>
                <w:rFonts w:ascii="Arial" w:cs="Arial" w:eastAsia="Arial" w:hAnsi="Arial"/>
                <w:sz w:val="13"/>
                <w:szCs w:val="13"/>
                <w:color w:val="auto"/>
              </w:rPr>
              <w:t>—</w:t>
            </w:r>
          </w:p>
        </w:tc>
        <w:tc>
          <w:tcPr>
            <w:tcW w:w="560" w:type="dxa"/>
            <w:vAlign w:val="bottom"/>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93"/>
              <w:spacing w:after="0" w:line="138" w:lineRule="exact"/>
              <w:rPr>
                <w:sz w:val="20"/>
                <w:szCs w:val="20"/>
                <w:color w:val="auto"/>
              </w:rPr>
            </w:pPr>
            <w:r>
              <w:rPr>
                <w:rFonts w:ascii="Arial" w:cs="Arial" w:eastAsia="Arial" w:hAnsi="Arial"/>
                <w:sz w:val="13"/>
                <w:szCs w:val="13"/>
                <w:color w:val="auto"/>
              </w:rPr>
              <w:t>1,505,000</w:t>
            </w:r>
          </w:p>
        </w:tc>
        <w:tc>
          <w:tcPr>
            <w:tcW w:w="9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1,505,000</w:t>
            </w:r>
          </w:p>
        </w:tc>
        <w:tc>
          <w:tcPr>
            <w:tcW w:w="780" w:type="dxa"/>
            <w:vAlign w:val="bottom"/>
          </w:tcPr>
          <w:p>
            <w:pPr>
              <w:jc w:val="right"/>
              <w:spacing w:after="0" w:line="138" w:lineRule="exact"/>
              <w:rPr>
                <w:sz w:val="20"/>
                <w:szCs w:val="20"/>
                <w:color w:val="auto"/>
              </w:rPr>
            </w:pPr>
            <w:r>
              <w:rPr>
                <w:rFonts w:ascii="Arial" w:cs="Arial" w:eastAsia="Arial" w:hAnsi="Arial"/>
                <w:sz w:val="13"/>
                <w:szCs w:val="13"/>
                <w:color w:val="auto"/>
              </w:rPr>
              <w:t>1,680,720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tcPr>
          <w:p>
            <w:pPr>
              <w:ind w:left="220"/>
              <w:spacing w:after="0"/>
              <w:rPr>
                <w:sz w:val="20"/>
                <w:szCs w:val="20"/>
                <w:color w:val="auto"/>
              </w:rPr>
            </w:pPr>
            <w:r>
              <w:rPr>
                <w:rFonts w:ascii="Arial" w:cs="Arial" w:eastAsia="Arial" w:hAnsi="Arial"/>
                <w:sz w:val="13"/>
                <w:szCs w:val="13"/>
                <w:color w:val="auto"/>
              </w:rPr>
              <w:t>(Galls, LLC; Quartermaster Inc.)</w:t>
            </w:r>
          </w:p>
        </w:tc>
        <w:tc>
          <w:tcPr>
            <w:tcW w:w="1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CI (IHS) Investment Holdings, LLC</w:t>
            </w:r>
          </w:p>
        </w:tc>
        <w:tc>
          <w:tcPr>
            <w:tcW w:w="1120" w:type="dxa"/>
            <w:vAlign w:val="bottom"/>
            <w:shd w:val="clear" w:color="auto" w:fill="CCEEFF"/>
          </w:tcPr>
          <w:p>
            <w:pPr>
              <w:jc w:val="right"/>
              <w:ind w:right="393"/>
              <w:spacing w:after="0" w:line="138" w:lineRule="exact"/>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jc w:val="center"/>
              <w:ind w:left="13"/>
              <w:spacing w:after="0" w:line="138" w:lineRule="exact"/>
              <w:rPr>
                <w:sz w:val="20"/>
                <w:szCs w:val="20"/>
                <w:color w:val="auto"/>
              </w:rPr>
            </w:pPr>
            <w:r>
              <w:rPr>
                <w:rFonts w:ascii="Arial" w:cs="Arial" w:eastAsia="Arial" w:hAnsi="Arial"/>
                <w:sz w:val="13"/>
                <w:szCs w:val="13"/>
                <w:color w:val="auto"/>
                <w:w w:val="93"/>
              </w:rPr>
              <w:t>Healthcare, Education</w:t>
            </w:r>
          </w:p>
        </w:tc>
        <w:tc>
          <w:tcPr>
            <w:tcW w:w="1200" w:type="dxa"/>
            <w:vAlign w:val="bottom"/>
            <w:shd w:val="clear" w:color="auto" w:fill="CCEEFF"/>
          </w:tcPr>
          <w:p>
            <w:pPr>
              <w:jc w:val="right"/>
              <w:ind w:right="513"/>
              <w:spacing w:after="0" w:line="13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23,416</w:t>
            </w:r>
          </w:p>
        </w:tc>
        <w:tc>
          <w:tcPr>
            <w:tcW w:w="9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234,693</w:t>
            </w: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270,457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(Interactive Health Solutions, Inc.)</w:t>
            </w:r>
          </w:p>
        </w:tc>
        <w:tc>
          <w:tcPr>
            <w:tcW w:w="1120" w:type="dxa"/>
            <w:vAlign w:val="bottom"/>
            <w:shd w:val="clear" w:color="auto" w:fill="CCEEFF"/>
          </w:tcPr>
          <w:p>
            <w:pPr>
              <w:spacing w:after="0"/>
              <w:rPr>
                <w:sz w:val="15"/>
                <w:szCs w:val="15"/>
                <w:color w:val="auto"/>
              </w:rPr>
            </w:pPr>
          </w:p>
        </w:tc>
        <w:tc>
          <w:tcPr>
            <w:tcW w:w="2000" w:type="dxa"/>
            <w:vAlign w:val="bottom"/>
            <w:shd w:val="clear" w:color="auto" w:fill="CCEEFF"/>
          </w:tcPr>
          <w:p>
            <w:pPr>
              <w:jc w:val="center"/>
              <w:ind w:left="13"/>
              <w:spacing w:after="0"/>
              <w:rPr>
                <w:sz w:val="20"/>
                <w:szCs w:val="20"/>
                <w:color w:val="auto"/>
              </w:rPr>
            </w:pPr>
            <w:r>
              <w:rPr>
                <w:rFonts w:ascii="Arial" w:cs="Arial" w:eastAsia="Arial" w:hAnsi="Arial"/>
                <w:sz w:val="13"/>
                <w:szCs w:val="13"/>
                <w:color w:val="auto"/>
                <w:w w:val="94"/>
              </w:rPr>
              <w:t>and Childcare</w:t>
            </w:r>
          </w:p>
        </w:tc>
        <w:tc>
          <w:tcPr>
            <w:tcW w:w="1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20" w:type="dxa"/>
            <w:vAlign w:val="bottom"/>
          </w:tcPr>
          <w:p>
            <w:pPr>
              <w:spacing w:after="0" w:line="138"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(9)</w:t>
            </w:r>
          </w:p>
        </w:tc>
        <w:tc>
          <w:tcPr>
            <w:tcW w:w="1120" w:type="dxa"/>
            <w:vAlign w:val="bottom"/>
          </w:tcPr>
          <w:p>
            <w:pPr>
              <w:jc w:val="right"/>
              <w:ind w:right="393"/>
              <w:spacing w:after="0" w:line="138" w:lineRule="exact"/>
              <w:rPr>
                <w:sz w:val="20"/>
                <w:szCs w:val="20"/>
                <w:color w:val="auto"/>
              </w:rPr>
            </w:pPr>
            <w:r>
              <w:rPr>
                <w:rFonts w:ascii="Arial" w:cs="Arial" w:eastAsia="Arial" w:hAnsi="Arial"/>
                <w:sz w:val="13"/>
                <w:szCs w:val="13"/>
                <w:color w:val="auto"/>
              </w:rPr>
              <w:t>—</w:t>
            </w:r>
          </w:p>
        </w:tc>
        <w:tc>
          <w:tcPr>
            <w:tcW w:w="2000" w:type="dxa"/>
            <w:vAlign w:val="bottom"/>
          </w:tcPr>
          <w:p>
            <w:pPr>
              <w:jc w:val="center"/>
              <w:ind w:left="13"/>
              <w:spacing w:after="0" w:line="138" w:lineRule="exact"/>
              <w:rPr>
                <w:sz w:val="20"/>
                <w:szCs w:val="20"/>
                <w:color w:val="auto"/>
              </w:rPr>
            </w:pPr>
            <w:r>
              <w:rPr>
                <w:rFonts w:ascii="Arial" w:cs="Arial" w:eastAsia="Arial" w:hAnsi="Arial"/>
                <w:sz w:val="13"/>
                <w:szCs w:val="13"/>
                <w:color w:val="auto"/>
                <w:w w:val="93"/>
              </w:rPr>
              <w:t>Healthcare, Education</w:t>
            </w:r>
          </w:p>
        </w:tc>
        <w:tc>
          <w:tcPr>
            <w:tcW w:w="1200" w:type="dxa"/>
            <w:vAlign w:val="bottom"/>
          </w:tcPr>
          <w:p>
            <w:pPr>
              <w:jc w:val="right"/>
              <w:ind w:right="513"/>
              <w:spacing w:after="0" w:line="138" w:lineRule="exact"/>
              <w:rPr>
                <w:sz w:val="20"/>
                <w:szCs w:val="20"/>
                <w:color w:val="auto"/>
              </w:rPr>
            </w:pPr>
            <w:r>
              <w:rPr>
                <w:rFonts w:ascii="Arial" w:cs="Arial" w:eastAsia="Arial" w:hAnsi="Arial"/>
                <w:sz w:val="13"/>
                <w:szCs w:val="13"/>
                <w:color w:val="auto"/>
              </w:rPr>
              <w:t>—</w:t>
            </w:r>
          </w:p>
        </w:tc>
        <w:tc>
          <w:tcPr>
            <w:tcW w:w="560" w:type="dxa"/>
            <w:vAlign w:val="bottom"/>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93"/>
              <w:spacing w:after="0" w:line="138" w:lineRule="exact"/>
              <w:rPr>
                <w:sz w:val="20"/>
                <w:szCs w:val="20"/>
                <w:color w:val="auto"/>
              </w:rPr>
            </w:pPr>
            <w:r>
              <w:rPr>
                <w:rFonts w:ascii="Arial" w:cs="Arial" w:eastAsia="Arial" w:hAnsi="Arial"/>
                <w:sz w:val="13"/>
                <w:szCs w:val="13"/>
                <w:color w:val="auto"/>
              </w:rPr>
              <w:t>11,708</w:t>
            </w:r>
          </w:p>
        </w:tc>
        <w:tc>
          <w:tcPr>
            <w:tcW w:w="9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117,346</w:t>
            </w:r>
          </w:p>
        </w:tc>
        <w:tc>
          <w:tcPr>
            <w:tcW w:w="840" w:type="dxa"/>
            <w:vAlign w:val="bottom"/>
            <w:gridSpan w:val="2"/>
          </w:tcPr>
          <w:p>
            <w:pPr>
              <w:ind w:left="5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3720" w:type="dxa"/>
            <w:vAlign w:val="bottom"/>
          </w:tcPr>
          <w:p>
            <w:pPr>
              <w:ind w:left="220"/>
              <w:spacing w:after="0"/>
              <w:rPr>
                <w:sz w:val="20"/>
                <w:szCs w:val="20"/>
                <w:color w:val="auto"/>
              </w:rPr>
            </w:pPr>
            <w:r>
              <w:rPr>
                <w:rFonts w:ascii="Arial" w:cs="Arial" w:eastAsia="Arial" w:hAnsi="Arial"/>
                <w:sz w:val="13"/>
                <w:szCs w:val="13"/>
                <w:color w:val="auto"/>
              </w:rPr>
              <w:t>(Interactive Health Solutions, Inc.)</w:t>
            </w:r>
          </w:p>
        </w:tc>
        <w:tc>
          <w:tcPr>
            <w:tcW w:w="1120" w:type="dxa"/>
            <w:vAlign w:val="bottom"/>
          </w:tcPr>
          <w:p>
            <w:pPr>
              <w:spacing w:after="0"/>
              <w:rPr>
                <w:sz w:val="15"/>
                <w:szCs w:val="15"/>
                <w:color w:val="auto"/>
              </w:rPr>
            </w:pPr>
          </w:p>
        </w:tc>
        <w:tc>
          <w:tcPr>
            <w:tcW w:w="2000" w:type="dxa"/>
            <w:vAlign w:val="bottom"/>
          </w:tcPr>
          <w:p>
            <w:pPr>
              <w:jc w:val="center"/>
              <w:ind w:left="13"/>
              <w:spacing w:after="0"/>
              <w:rPr>
                <w:sz w:val="20"/>
                <w:szCs w:val="20"/>
                <w:color w:val="auto"/>
              </w:rPr>
            </w:pPr>
            <w:r>
              <w:rPr>
                <w:rFonts w:ascii="Arial" w:cs="Arial" w:eastAsia="Arial" w:hAnsi="Arial"/>
                <w:sz w:val="13"/>
                <w:szCs w:val="13"/>
                <w:color w:val="auto"/>
                <w:w w:val="94"/>
              </w:rPr>
              <w:t>and Childcare</w:t>
            </w: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Convergint Technologies Holdings, LLC</w:t>
            </w:r>
          </w:p>
        </w:tc>
        <w:tc>
          <w:tcPr>
            <w:tcW w:w="1120" w:type="dxa"/>
            <w:vAlign w:val="bottom"/>
            <w:shd w:val="clear" w:color="auto" w:fill="CCEEFF"/>
          </w:tcPr>
          <w:p>
            <w:pPr>
              <w:jc w:val="right"/>
              <w:ind w:right="393"/>
              <w:spacing w:after="0" w:line="138" w:lineRule="exact"/>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jc w:val="center"/>
              <w:ind w:left="13"/>
              <w:spacing w:after="0" w:line="138" w:lineRule="exact"/>
              <w:rPr>
                <w:sz w:val="20"/>
                <w:szCs w:val="20"/>
                <w:color w:val="auto"/>
              </w:rPr>
            </w:pPr>
            <w:r>
              <w:rPr>
                <w:rFonts w:ascii="Arial" w:cs="Arial" w:eastAsia="Arial" w:hAnsi="Arial"/>
                <w:sz w:val="13"/>
                <w:szCs w:val="13"/>
                <w:color w:val="auto"/>
                <w:w w:val="94"/>
              </w:rPr>
              <w:t>Electronics</w:t>
            </w:r>
          </w:p>
        </w:tc>
        <w:tc>
          <w:tcPr>
            <w:tcW w:w="1200" w:type="dxa"/>
            <w:vAlign w:val="bottom"/>
            <w:shd w:val="clear" w:color="auto" w:fill="CCEEFF"/>
          </w:tcPr>
          <w:p>
            <w:pPr>
              <w:jc w:val="right"/>
              <w:ind w:right="513"/>
              <w:spacing w:after="0" w:line="13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2,375</w:t>
            </w:r>
          </w:p>
        </w:tc>
        <w:tc>
          <w:tcPr>
            <w:tcW w:w="9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5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37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(Convergint Technologies) LLC</w:t>
            </w:r>
          </w:p>
        </w:tc>
        <w:tc>
          <w:tcPr>
            <w:tcW w:w="11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20"/>
                <w:szCs w:val="20"/>
                <w:color w:val="auto"/>
              </w:rPr>
            </w:pPr>
            <w:r>
              <w:rPr>
                <w:rFonts w:ascii="Arial" w:cs="Arial" w:eastAsia="Arial" w:hAnsi="Arial"/>
                <w:sz w:val="13"/>
                <w:szCs w:val="13"/>
                <w:color w:val="auto"/>
              </w:rPr>
              <w:t>CT Technologies Holdings, LLC</w:t>
            </w:r>
          </w:p>
        </w:tc>
        <w:tc>
          <w:tcPr>
            <w:tcW w:w="112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2000" w:type="dxa"/>
            <w:vAlign w:val="bottom"/>
          </w:tcPr>
          <w:p>
            <w:pPr>
              <w:jc w:val="center"/>
              <w:ind w:left="13"/>
              <w:spacing w:after="0"/>
              <w:rPr>
                <w:sz w:val="20"/>
                <w:szCs w:val="20"/>
                <w:color w:val="auto"/>
              </w:rPr>
            </w:pPr>
            <w:r>
              <w:rPr>
                <w:rFonts w:ascii="Arial" w:cs="Arial" w:eastAsia="Arial" w:hAnsi="Arial"/>
                <w:sz w:val="13"/>
                <w:szCs w:val="13"/>
                <w:color w:val="auto"/>
                <w:w w:val="90"/>
              </w:rPr>
              <w:t>Business Services</w:t>
            </w:r>
          </w:p>
        </w:tc>
        <w:tc>
          <w:tcPr>
            <w:tcW w:w="120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560" w:type="dxa"/>
            <w:vAlign w:val="bottom"/>
          </w:tcPr>
          <w:p>
            <w:pPr>
              <w:ind w:left="28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5,556</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1,904,033</w:t>
            </w:r>
          </w:p>
        </w:tc>
        <w:tc>
          <w:tcPr>
            <w:tcW w:w="780" w:type="dxa"/>
            <w:vAlign w:val="bottom"/>
          </w:tcPr>
          <w:p>
            <w:pPr>
              <w:jc w:val="right"/>
              <w:spacing w:after="0"/>
              <w:rPr>
                <w:sz w:val="20"/>
                <w:szCs w:val="20"/>
                <w:color w:val="auto"/>
              </w:rPr>
            </w:pPr>
            <w:r>
              <w:rPr>
                <w:rFonts w:ascii="Arial" w:cs="Arial" w:eastAsia="Arial" w:hAnsi="Arial"/>
                <w:sz w:val="13"/>
                <w:szCs w:val="13"/>
                <w:color w:val="auto"/>
              </w:rPr>
              <w:t>6,665,183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DirectBuy Investors, L.P.</w:t>
            </w:r>
          </w:p>
        </w:tc>
        <w:tc>
          <w:tcPr>
            <w:tcW w:w="112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2000" w:type="dxa"/>
            <w:vAlign w:val="bottom"/>
            <w:shd w:val="clear" w:color="auto" w:fill="CCEEFF"/>
          </w:tcPr>
          <w:p>
            <w:pPr>
              <w:jc w:val="center"/>
              <w:ind w:left="33"/>
              <w:spacing w:after="0"/>
              <w:rPr>
                <w:sz w:val="20"/>
                <w:szCs w:val="20"/>
                <w:color w:val="auto"/>
              </w:rPr>
            </w:pPr>
            <w:r>
              <w:rPr>
                <w:rFonts w:ascii="Arial" w:cs="Arial" w:eastAsia="Arial" w:hAnsi="Arial"/>
                <w:sz w:val="13"/>
                <w:szCs w:val="13"/>
                <w:color w:val="auto"/>
                <w:w w:val="92"/>
              </w:rPr>
              <w:t>Consumer Products</w:t>
            </w:r>
          </w:p>
        </w:tc>
        <w:tc>
          <w:tcPr>
            <w:tcW w:w="1200" w:type="dxa"/>
            <w:vAlign w:val="bottom"/>
            <w:shd w:val="clear" w:color="auto" w:fill="CCEEFF"/>
          </w:tcPr>
          <w:p>
            <w:pPr>
              <w:jc w:val="right"/>
              <w:ind w:right="513"/>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30,000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1,350,000</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3720" w:type="dxa"/>
            <w:vAlign w:val="bottom"/>
          </w:tcPr>
          <w:p>
            <w:pPr>
              <w:spacing w:after="0"/>
              <w:rPr>
                <w:sz w:val="20"/>
                <w:szCs w:val="20"/>
                <w:color w:val="auto"/>
              </w:rPr>
            </w:pPr>
            <w:r>
              <w:rPr>
                <w:rFonts w:ascii="Arial" w:cs="Arial" w:eastAsia="Arial" w:hAnsi="Arial"/>
                <w:sz w:val="13"/>
                <w:szCs w:val="13"/>
                <w:color w:val="auto"/>
              </w:rPr>
              <w:t>HW Topco, Inc. (Hanley-Wood, LLC)</w:t>
            </w:r>
          </w:p>
        </w:tc>
        <w:tc>
          <w:tcPr>
            <w:tcW w:w="112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2000" w:type="dxa"/>
            <w:vAlign w:val="bottom"/>
          </w:tcPr>
          <w:p>
            <w:pPr>
              <w:jc w:val="center"/>
              <w:ind w:left="13"/>
              <w:spacing w:after="0"/>
              <w:rPr>
                <w:sz w:val="20"/>
                <w:szCs w:val="20"/>
                <w:color w:val="auto"/>
              </w:rPr>
            </w:pPr>
            <w:r>
              <w:rPr>
                <w:rFonts w:ascii="Arial" w:cs="Arial" w:eastAsia="Arial" w:hAnsi="Arial"/>
                <w:sz w:val="13"/>
                <w:szCs w:val="13"/>
                <w:color w:val="auto"/>
                <w:w w:val="95"/>
              </w:rPr>
              <w:t>Other Media</w:t>
            </w:r>
          </w:p>
        </w:tc>
        <w:tc>
          <w:tcPr>
            <w:tcW w:w="120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560" w:type="dxa"/>
            <w:vAlign w:val="bottom"/>
          </w:tcPr>
          <w:p>
            <w:pPr>
              <w:ind w:left="28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3"/>
              <w:spacing w:after="0"/>
              <w:rPr>
                <w:sz w:val="20"/>
                <w:szCs w:val="20"/>
                <w:color w:val="auto"/>
              </w:rPr>
            </w:pPr>
            <w:r>
              <w:rPr>
                <w:rFonts w:ascii="Arial" w:cs="Arial" w:eastAsia="Arial" w:hAnsi="Arial"/>
                <w:sz w:val="13"/>
                <w:szCs w:val="13"/>
                <w:color w:val="auto"/>
              </w:rPr>
              <w:t>348,912</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2,443,050</w:t>
            </w:r>
          </w:p>
        </w:tc>
        <w:tc>
          <w:tcPr>
            <w:tcW w:w="780" w:type="dxa"/>
            <w:vAlign w:val="bottom"/>
          </w:tcPr>
          <w:p>
            <w:pPr>
              <w:jc w:val="right"/>
              <w:spacing w:after="0"/>
              <w:rPr>
                <w:sz w:val="20"/>
                <w:szCs w:val="20"/>
                <w:color w:val="auto"/>
              </w:rPr>
            </w:pPr>
            <w:r>
              <w:rPr>
                <w:rFonts w:ascii="Arial" w:cs="Arial" w:eastAsia="Arial" w:hAnsi="Arial"/>
                <w:sz w:val="13"/>
                <w:szCs w:val="13"/>
                <w:color w:val="auto"/>
              </w:rPr>
              <w:t>2,642,438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ectPr>
          <w:pgSz w:w="11900" w:h="16838" w:orient="portrait"/>
          <w:cols w:equalWidth="0" w:num="1">
            <w:col w:w="11240"/>
          </w:cols>
          <w:pgMar w:left="320" w:top="459" w:right="3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 (CONTINUED)</w:t>
      </w:r>
    </w:p>
    <w:p>
      <w:pPr>
        <w:jc w:val="center"/>
        <w:spacing w:after="0"/>
        <w:rPr>
          <w:sz w:val="20"/>
          <w:szCs w:val="20"/>
          <w:color w:val="auto"/>
        </w:rPr>
      </w:pPr>
      <w:r>
        <w:rPr>
          <w:rFonts w:ascii="Arial" w:cs="Arial" w:eastAsia="Arial" w:hAnsi="Arial"/>
          <w:sz w:val="13"/>
          <w:szCs w:val="13"/>
          <w:b w:val="1"/>
          <w:bCs w:val="1"/>
          <w:color w:val="auto"/>
        </w:rPr>
        <w:t>SEPTEMBER 30, 2012</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Basis Point</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Spread</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Maturity</w:t>
            </w:r>
          </w:p>
        </w:tc>
        <w:tc>
          <w:tcPr>
            <w:tcW w:w="19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7"/>
              </w:rPr>
              <w:t>Industry</w:t>
            </w: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Current</w:t>
            </w:r>
          </w:p>
        </w:tc>
        <w:tc>
          <w:tcPr>
            <w:tcW w:w="9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Above</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Par/</w:t>
            </w:r>
          </w:p>
        </w:tc>
        <w:tc>
          <w:tcPr>
            <w:tcW w:w="200" w:type="dxa"/>
            <w:vAlign w:val="bottom"/>
          </w:tcPr>
          <w:p>
            <w:pPr>
              <w:spacing w:after="0"/>
              <w:rPr>
                <w:sz w:val="14"/>
                <w:szCs w:val="14"/>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38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Coupon</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6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6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Kadmon Holdings, LLC, Class A</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1"/>
              </w:rPr>
              <w:t>—</w:t>
            </w:r>
          </w:p>
        </w:tc>
        <w:tc>
          <w:tcPr>
            <w:tcW w:w="220" w:type="dxa"/>
            <w:vAlign w:val="bottom"/>
            <w:tcBorders>
              <w:top w:val="single" w:sz="8" w:color="CCEEFF"/>
            </w:tcBorders>
            <w:shd w:val="clear" w:color="auto" w:fill="CCEEFF"/>
          </w:tcPr>
          <w:p>
            <w:pPr>
              <w:spacing w:after="0"/>
              <w:rPr>
                <w:sz w:val="11"/>
                <w:szCs w:val="11"/>
                <w:color w:val="auto"/>
              </w:rPr>
            </w:pPr>
          </w:p>
        </w:tc>
        <w:tc>
          <w:tcPr>
            <w:tcW w:w="176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3"/>
              </w:rPr>
              <w:t>Healthcare, Education</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ind w:left="280"/>
              <w:spacing w:after="0" w:line="131" w:lineRule="exact"/>
              <w:rPr>
                <w:sz w:val="20"/>
                <w:szCs w:val="20"/>
                <w:color w:val="auto"/>
              </w:rPr>
            </w:pPr>
            <w:r>
              <w:rPr>
                <w:rFonts w:ascii="Arial" w:cs="Arial" w:eastAsia="Arial" w:hAnsi="Arial"/>
                <w:sz w:val="13"/>
                <w:szCs w:val="13"/>
                <w:color w:val="auto"/>
              </w:rPr>
              <w:t>—</w:t>
            </w:r>
          </w:p>
        </w:tc>
        <w:tc>
          <w:tcPr>
            <w:tcW w:w="4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460"/>
              <w:spacing w:after="0" w:line="131"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1,079,920</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99"/>
              </w:rPr>
              <w:t>$  1,236,832</w:t>
            </w: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97"/>
              </w:rPr>
              <w:t>$ 12,013,688</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(Kadmon Pharmaceuticals, LLC)</w:t>
            </w: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4"/>
              </w:rPr>
              <w:t>and Childcare</w:t>
            </w: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800" w:type="dxa"/>
            <w:vAlign w:val="bottom"/>
            <w:gridSpan w:val="2"/>
          </w:tcPr>
          <w:p>
            <w:pPr>
              <w:spacing w:after="0" w:line="138" w:lineRule="exact"/>
              <w:rPr>
                <w:sz w:val="20"/>
                <w:szCs w:val="20"/>
                <w:color w:val="auto"/>
              </w:rPr>
            </w:pPr>
            <w:r>
              <w:rPr>
                <w:rFonts w:ascii="Arial" w:cs="Arial" w:eastAsia="Arial" w:hAnsi="Arial"/>
                <w:sz w:val="13"/>
                <w:szCs w:val="13"/>
                <w:color w:val="auto"/>
              </w:rPr>
              <w:t>Kadmon Holdings, LLC, Class D</w:t>
            </w:r>
          </w:p>
        </w:tc>
        <w:tc>
          <w:tcPr>
            <w:tcW w:w="880" w:type="dxa"/>
            <w:vAlign w:val="bottom"/>
            <w:gridSpan w:val="2"/>
          </w:tcPr>
          <w:p>
            <w:pPr>
              <w:jc w:val="center"/>
              <w:ind w:right="240"/>
              <w:spacing w:after="0" w:line="138" w:lineRule="exact"/>
              <w:rPr>
                <w:sz w:val="20"/>
                <w:szCs w:val="20"/>
                <w:color w:val="auto"/>
              </w:rPr>
            </w:pPr>
            <w:r>
              <w:rPr>
                <w:rFonts w:ascii="Arial" w:cs="Arial" w:eastAsia="Arial" w:hAnsi="Arial"/>
                <w:sz w:val="13"/>
                <w:szCs w:val="13"/>
                <w:color w:val="auto"/>
                <w:w w:val="91"/>
              </w:rPr>
              <w:t>—</w:t>
            </w:r>
          </w:p>
        </w:tc>
        <w:tc>
          <w:tcPr>
            <w:tcW w:w="1900" w:type="dxa"/>
            <w:vAlign w:val="bottom"/>
            <w:gridSpan w:val="2"/>
          </w:tcPr>
          <w:p>
            <w:pPr>
              <w:jc w:val="center"/>
              <w:ind w:right="140"/>
              <w:spacing w:after="0" w:line="138" w:lineRule="exact"/>
              <w:rPr>
                <w:sz w:val="20"/>
                <w:szCs w:val="20"/>
                <w:color w:val="auto"/>
              </w:rPr>
            </w:pPr>
            <w:r>
              <w:rPr>
                <w:rFonts w:ascii="Arial" w:cs="Arial" w:eastAsia="Arial" w:hAnsi="Arial"/>
                <w:sz w:val="13"/>
                <w:szCs w:val="13"/>
                <w:color w:val="auto"/>
                <w:w w:val="93"/>
              </w:rPr>
              <w:t>Healthcare, Education</w:t>
            </w:r>
          </w:p>
        </w:tc>
        <w:tc>
          <w:tcPr>
            <w:tcW w:w="90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1,079,920</w:t>
            </w:r>
          </w:p>
        </w:tc>
        <w:tc>
          <w:tcPr>
            <w:tcW w:w="1140" w:type="dxa"/>
            <w:vAlign w:val="bottom"/>
            <w:gridSpan w:val="3"/>
          </w:tcPr>
          <w:p>
            <w:pPr>
              <w:jc w:val="right"/>
              <w:ind w:right="200"/>
              <w:spacing w:after="0" w:line="138" w:lineRule="exact"/>
              <w:rPr>
                <w:sz w:val="20"/>
                <w:szCs w:val="20"/>
                <w:color w:val="auto"/>
              </w:rPr>
            </w:pPr>
            <w:r>
              <w:rPr>
                <w:rFonts w:ascii="Arial" w:cs="Arial" w:eastAsia="Arial" w:hAnsi="Arial"/>
                <w:sz w:val="13"/>
                <w:szCs w:val="13"/>
                <w:color w:val="auto"/>
              </w:rPr>
              <w:t>1,028,807</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1,028,807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00" w:type="dxa"/>
            <w:vAlign w:val="bottom"/>
            <w:gridSpan w:val="2"/>
          </w:tcPr>
          <w:p>
            <w:pPr>
              <w:ind w:left="220"/>
              <w:spacing w:after="0"/>
              <w:rPr>
                <w:sz w:val="20"/>
                <w:szCs w:val="20"/>
                <w:color w:val="auto"/>
              </w:rPr>
            </w:pPr>
            <w:r>
              <w:rPr>
                <w:rFonts w:ascii="Arial" w:cs="Arial" w:eastAsia="Arial" w:hAnsi="Arial"/>
                <w:sz w:val="13"/>
                <w:szCs w:val="13"/>
                <w:color w:val="auto"/>
              </w:rPr>
              <w:t>(Kadmon Pharmaceuticals, LLC)</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3"/>
                <w:szCs w:val="13"/>
                <w:color w:val="auto"/>
                <w:w w:val="94"/>
              </w:rPr>
              <w:t>and Childcare</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Learning Care Group (US) Inc. (Warrants)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8"/>
              </w:rPr>
              <w:t>04/27/2020</w:t>
            </w:r>
          </w:p>
        </w:tc>
        <w:tc>
          <w:tcPr>
            <w:tcW w:w="19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6"/>
              </w:rPr>
              <w:t>Education</w:t>
            </w: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1,267</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779,920</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800" w:type="dxa"/>
            <w:vAlign w:val="bottom"/>
            <w:gridSpan w:val="2"/>
          </w:tcPr>
          <w:p>
            <w:pPr>
              <w:spacing w:after="0" w:line="138" w:lineRule="exact"/>
              <w:rPr>
                <w:sz w:val="20"/>
                <w:szCs w:val="20"/>
                <w:color w:val="auto"/>
              </w:rPr>
            </w:pPr>
            <w:r>
              <w:rPr>
                <w:rFonts w:ascii="Arial" w:cs="Arial" w:eastAsia="Arial" w:hAnsi="Arial"/>
                <w:sz w:val="13"/>
                <w:szCs w:val="13"/>
                <w:color w:val="auto"/>
              </w:rPr>
              <w:t>Magnum Hunter Resources Corporation</w:t>
            </w:r>
          </w:p>
        </w:tc>
        <w:tc>
          <w:tcPr>
            <w:tcW w:w="880" w:type="dxa"/>
            <w:vAlign w:val="bottom"/>
            <w:gridSpan w:val="2"/>
          </w:tcPr>
          <w:p>
            <w:pPr>
              <w:jc w:val="center"/>
              <w:ind w:right="240"/>
              <w:spacing w:after="0" w:line="138" w:lineRule="exact"/>
              <w:rPr>
                <w:sz w:val="20"/>
                <w:szCs w:val="20"/>
                <w:color w:val="auto"/>
              </w:rPr>
            </w:pPr>
            <w:r>
              <w:rPr>
                <w:rFonts w:ascii="Arial" w:cs="Arial" w:eastAsia="Arial" w:hAnsi="Arial"/>
                <w:sz w:val="13"/>
                <w:szCs w:val="13"/>
                <w:color w:val="auto"/>
                <w:w w:val="91"/>
              </w:rPr>
              <w:t>—</w:t>
            </w:r>
          </w:p>
        </w:tc>
        <w:tc>
          <w:tcPr>
            <w:tcW w:w="1900" w:type="dxa"/>
            <w:vAlign w:val="bottom"/>
            <w:gridSpan w:val="2"/>
          </w:tcPr>
          <w:p>
            <w:pPr>
              <w:jc w:val="center"/>
              <w:ind w:right="140"/>
              <w:spacing w:after="0" w:line="138" w:lineRule="exact"/>
              <w:rPr>
                <w:sz w:val="20"/>
                <w:szCs w:val="20"/>
                <w:color w:val="auto"/>
              </w:rPr>
            </w:pPr>
            <w:r>
              <w:rPr>
                <w:rFonts w:ascii="Arial" w:cs="Arial" w:eastAsia="Arial" w:hAnsi="Arial"/>
                <w:sz w:val="13"/>
                <w:szCs w:val="13"/>
                <w:color w:val="auto"/>
                <w:w w:val="93"/>
              </w:rPr>
              <w:t>Oil and Gas</w:t>
            </w:r>
          </w:p>
        </w:tc>
        <w:tc>
          <w:tcPr>
            <w:tcW w:w="90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1,221,932</w:t>
            </w:r>
          </w:p>
        </w:tc>
        <w:tc>
          <w:tcPr>
            <w:tcW w:w="1140" w:type="dxa"/>
            <w:vAlign w:val="bottom"/>
            <w:gridSpan w:val="3"/>
          </w:tcPr>
          <w:p>
            <w:pPr>
              <w:jc w:val="right"/>
              <w:ind w:right="200"/>
              <w:spacing w:after="0" w:line="138" w:lineRule="exact"/>
              <w:rPr>
                <w:sz w:val="20"/>
                <w:szCs w:val="20"/>
                <w:color w:val="auto"/>
              </w:rPr>
            </w:pPr>
            <w:r>
              <w:rPr>
                <w:rFonts w:ascii="Arial" w:cs="Arial" w:eastAsia="Arial" w:hAnsi="Arial"/>
                <w:sz w:val="13"/>
                <w:szCs w:val="13"/>
                <w:color w:val="auto"/>
              </w:rPr>
              <w:t>3,239,999</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5,425,378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00" w:type="dxa"/>
            <w:vAlign w:val="bottom"/>
            <w:gridSpan w:val="2"/>
          </w:tcPr>
          <w:p>
            <w:pPr>
              <w:ind w:left="220"/>
              <w:spacing w:after="0"/>
              <w:rPr>
                <w:sz w:val="20"/>
                <w:szCs w:val="20"/>
                <w:color w:val="auto"/>
              </w:rPr>
            </w:pPr>
            <w:r>
              <w:rPr>
                <w:rFonts w:ascii="Arial" w:cs="Arial" w:eastAsia="Arial" w:hAnsi="Arial"/>
                <w:sz w:val="13"/>
                <w:szCs w:val="13"/>
                <w:color w:val="auto"/>
              </w:rPr>
              <w:t>(Eureka Hunter Pipeline, LLC)</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Magnum Hunter Resources Corporation (Warrants)</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10/14/2013</w:t>
            </w:r>
          </w:p>
        </w:tc>
        <w:tc>
          <w:tcPr>
            <w:tcW w:w="22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3"/>
                <w:szCs w:val="13"/>
                <w:color w:val="auto"/>
                <w:w w:val="93"/>
              </w:rPr>
              <w:t>Oil and Gas</w:t>
            </w:r>
          </w:p>
        </w:tc>
        <w:tc>
          <w:tcPr>
            <w:tcW w:w="90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122,193</w:t>
            </w:r>
          </w:p>
        </w:tc>
        <w:tc>
          <w:tcPr>
            <w:tcW w:w="114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105,697</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31,778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(Eureka Hunter Pipeline, LLC)</w:t>
            </w: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800" w:type="dxa"/>
            <w:vAlign w:val="bottom"/>
            <w:gridSpan w:val="2"/>
          </w:tcPr>
          <w:p>
            <w:pPr>
              <w:spacing w:after="0" w:line="138" w:lineRule="exact"/>
              <w:rPr>
                <w:sz w:val="20"/>
                <w:szCs w:val="20"/>
                <w:color w:val="auto"/>
              </w:rPr>
            </w:pPr>
            <w:r>
              <w:rPr>
                <w:rFonts w:ascii="Arial" w:cs="Arial" w:eastAsia="Arial" w:hAnsi="Arial"/>
                <w:sz w:val="13"/>
                <w:szCs w:val="13"/>
                <w:color w:val="auto"/>
              </w:rPr>
              <w:t>MidOcean JF Holdings Corp.</w:t>
            </w:r>
          </w:p>
        </w:tc>
        <w:tc>
          <w:tcPr>
            <w:tcW w:w="880" w:type="dxa"/>
            <w:vAlign w:val="bottom"/>
            <w:gridSpan w:val="2"/>
          </w:tcPr>
          <w:p>
            <w:pPr>
              <w:jc w:val="center"/>
              <w:ind w:right="240"/>
              <w:spacing w:after="0" w:line="138" w:lineRule="exact"/>
              <w:rPr>
                <w:sz w:val="20"/>
                <w:szCs w:val="20"/>
                <w:color w:val="auto"/>
              </w:rPr>
            </w:pPr>
            <w:r>
              <w:rPr>
                <w:rFonts w:ascii="Arial" w:cs="Arial" w:eastAsia="Arial" w:hAnsi="Arial"/>
                <w:sz w:val="13"/>
                <w:szCs w:val="13"/>
                <w:color w:val="auto"/>
                <w:w w:val="91"/>
              </w:rPr>
              <w:t>—</w:t>
            </w:r>
          </w:p>
        </w:tc>
        <w:tc>
          <w:tcPr>
            <w:tcW w:w="1900" w:type="dxa"/>
            <w:vAlign w:val="bottom"/>
            <w:gridSpan w:val="2"/>
          </w:tcPr>
          <w:p>
            <w:pPr>
              <w:jc w:val="center"/>
              <w:ind w:right="140"/>
              <w:spacing w:after="0" w:line="138" w:lineRule="exact"/>
              <w:rPr>
                <w:sz w:val="20"/>
                <w:szCs w:val="20"/>
                <w:color w:val="auto"/>
              </w:rPr>
            </w:pPr>
            <w:r>
              <w:rPr>
                <w:rFonts w:ascii="Arial" w:cs="Arial" w:eastAsia="Arial" w:hAnsi="Arial"/>
                <w:sz w:val="13"/>
                <w:szCs w:val="13"/>
                <w:color w:val="auto"/>
                <w:w w:val="98"/>
              </w:rPr>
              <w:t>Distribution</w:t>
            </w:r>
          </w:p>
        </w:tc>
        <w:tc>
          <w:tcPr>
            <w:tcW w:w="90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1,700</w:t>
            </w:r>
          </w:p>
        </w:tc>
        <w:tc>
          <w:tcPr>
            <w:tcW w:w="1140" w:type="dxa"/>
            <w:vAlign w:val="bottom"/>
            <w:gridSpan w:val="3"/>
          </w:tcPr>
          <w:p>
            <w:pPr>
              <w:jc w:val="right"/>
              <w:ind w:right="200"/>
              <w:spacing w:after="0" w:line="138" w:lineRule="exact"/>
              <w:rPr>
                <w:sz w:val="20"/>
                <w:szCs w:val="20"/>
                <w:color w:val="auto"/>
              </w:rPr>
            </w:pPr>
            <w:r>
              <w:rPr>
                <w:rFonts w:ascii="Arial" w:cs="Arial" w:eastAsia="Arial" w:hAnsi="Arial"/>
                <w:sz w:val="13"/>
                <w:szCs w:val="13"/>
                <w:color w:val="auto"/>
              </w:rPr>
              <w:t>1,700,000</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1,641,575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00" w:type="dxa"/>
            <w:vAlign w:val="bottom"/>
            <w:gridSpan w:val="2"/>
          </w:tcPr>
          <w:p>
            <w:pPr>
              <w:ind w:left="220"/>
              <w:spacing w:after="0"/>
              <w:rPr>
                <w:sz w:val="20"/>
                <w:szCs w:val="20"/>
                <w:color w:val="auto"/>
              </w:rPr>
            </w:pPr>
            <w:r>
              <w:rPr>
                <w:rFonts w:ascii="Arial" w:cs="Arial" w:eastAsia="Arial" w:hAnsi="Arial"/>
                <w:sz w:val="13"/>
                <w:szCs w:val="13"/>
                <w:color w:val="auto"/>
              </w:rPr>
              <w:t>(JF Acquisition, LLC)</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MidOcean PPL Holdings, Inc.</w:t>
            </w:r>
          </w:p>
        </w:tc>
        <w:tc>
          <w:tcPr>
            <w:tcW w:w="880" w:type="dxa"/>
            <w:vAlign w:val="bottom"/>
            <w:gridSpan w:val="2"/>
            <w:shd w:val="clear" w:color="auto" w:fill="CCEEFF"/>
          </w:tcPr>
          <w:p>
            <w:pPr>
              <w:jc w:val="center"/>
              <w:ind w:right="240"/>
              <w:spacing w:after="0" w:line="138" w:lineRule="exact"/>
              <w:rPr>
                <w:sz w:val="20"/>
                <w:szCs w:val="20"/>
                <w:color w:val="auto"/>
              </w:rPr>
            </w:pPr>
            <w:r>
              <w:rPr>
                <w:rFonts w:ascii="Arial" w:cs="Arial" w:eastAsia="Arial" w:hAnsi="Arial"/>
                <w:sz w:val="13"/>
                <w:szCs w:val="13"/>
                <w:color w:val="auto"/>
                <w:w w:val="91"/>
              </w:rPr>
              <w:t>—</w:t>
            </w:r>
          </w:p>
        </w:tc>
        <w:tc>
          <w:tcPr>
            <w:tcW w:w="190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3"/>
                <w:szCs w:val="13"/>
                <w:color w:val="auto"/>
                <w:w w:val="91"/>
              </w:rPr>
              <w:t>Personal, Food and</w:t>
            </w:r>
          </w:p>
        </w:tc>
        <w:tc>
          <w:tcPr>
            <w:tcW w:w="90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3,000</w:t>
            </w:r>
          </w:p>
        </w:tc>
        <w:tc>
          <w:tcPr>
            <w:tcW w:w="114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3,000,000</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4,377,360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(Pre-Paid Legal Services, Inc.)</w:t>
            </w: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4"/>
              </w:rPr>
              <w:t>Miscellaneous Services</w:t>
            </w: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800" w:type="dxa"/>
            <w:vAlign w:val="bottom"/>
            <w:gridSpan w:val="2"/>
          </w:tcPr>
          <w:p>
            <w:pPr>
              <w:spacing w:after="0" w:line="138" w:lineRule="exact"/>
              <w:rPr>
                <w:sz w:val="20"/>
                <w:szCs w:val="20"/>
                <w:color w:val="auto"/>
              </w:rPr>
            </w:pPr>
            <w:r>
              <w:rPr>
                <w:rFonts w:ascii="Arial" w:cs="Arial" w:eastAsia="Arial" w:hAnsi="Arial"/>
                <w:sz w:val="13"/>
                <w:szCs w:val="13"/>
                <w:color w:val="auto"/>
              </w:rPr>
              <w:t>Paradigm Acquisition Corp.</w:t>
            </w:r>
          </w:p>
        </w:tc>
        <w:tc>
          <w:tcPr>
            <w:tcW w:w="880" w:type="dxa"/>
            <w:vAlign w:val="bottom"/>
            <w:gridSpan w:val="2"/>
          </w:tcPr>
          <w:p>
            <w:pPr>
              <w:jc w:val="center"/>
              <w:ind w:right="240"/>
              <w:spacing w:after="0" w:line="138" w:lineRule="exact"/>
              <w:rPr>
                <w:sz w:val="20"/>
                <w:szCs w:val="20"/>
                <w:color w:val="auto"/>
              </w:rPr>
            </w:pPr>
            <w:r>
              <w:rPr>
                <w:rFonts w:ascii="Arial" w:cs="Arial" w:eastAsia="Arial" w:hAnsi="Arial"/>
                <w:sz w:val="13"/>
                <w:szCs w:val="13"/>
                <w:color w:val="auto"/>
                <w:w w:val="91"/>
              </w:rPr>
              <w:t>—</w:t>
            </w:r>
          </w:p>
        </w:tc>
        <w:tc>
          <w:tcPr>
            <w:tcW w:w="1900" w:type="dxa"/>
            <w:vAlign w:val="bottom"/>
            <w:gridSpan w:val="2"/>
          </w:tcPr>
          <w:p>
            <w:pPr>
              <w:jc w:val="center"/>
              <w:ind w:right="140"/>
              <w:spacing w:after="0" w:line="138" w:lineRule="exact"/>
              <w:rPr>
                <w:sz w:val="20"/>
                <w:szCs w:val="20"/>
                <w:color w:val="auto"/>
              </w:rPr>
            </w:pPr>
            <w:r>
              <w:rPr>
                <w:rFonts w:ascii="Arial" w:cs="Arial" w:eastAsia="Arial" w:hAnsi="Arial"/>
                <w:sz w:val="13"/>
                <w:szCs w:val="13"/>
                <w:color w:val="auto"/>
                <w:w w:val="93"/>
              </w:rPr>
              <w:t>Healthcare, Education</w:t>
            </w:r>
          </w:p>
        </w:tc>
        <w:tc>
          <w:tcPr>
            <w:tcW w:w="90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20,000</w:t>
            </w:r>
          </w:p>
        </w:tc>
        <w:tc>
          <w:tcPr>
            <w:tcW w:w="1140" w:type="dxa"/>
            <w:vAlign w:val="bottom"/>
            <w:gridSpan w:val="3"/>
          </w:tcPr>
          <w:p>
            <w:pPr>
              <w:jc w:val="right"/>
              <w:ind w:right="200"/>
              <w:spacing w:after="0" w:line="138" w:lineRule="exact"/>
              <w:rPr>
                <w:sz w:val="20"/>
                <w:szCs w:val="20"/>
                <w:color w:val="auto"/>
              </w:rPr>
            </w:pPr>
            <w:r>
              <w:rPr>
                <w:rFonts w:ascii="Arial" w:cs="Arial" w:eastAsia="Arial" w:hAnsi="Arial"/>
                <w:sz w:val="13"/>
                <w:szCs w:val="13"/>
                <w:color w:val="auto"/>
              </w:rPr>
              <w:t>2,000,000</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2,124,491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00" w:type="dxa"/>
            <w:vAlign w:val="bottom"/>
            <w:gridSpan w:val="2"/>
          </w:tcPr>
          <w:p>
            <w:pPr>
              <w:ind w:left="220"/>
              <w:spacing w:after="0"/>
              <w:rPr>
                <w:sz w:val="20"/>
                <w:szCs w:val="20"/>
                <w:color w:val="auto"/>
              </w:rPr>
            </w:pPr>
            <w:r>
              <w:rPr>
                <w:rFonts w:ascii="Arial" w:cs="Arial" w:eastAsia="Arial" w:hAnsi="Arial"/>
                <w:sz w:val="13"/>
                <w:szCs w:val="13"/>
                <w:color w:val="auto"/>
              </w:rPr>
              <w:t>(Paradigm Management Services, LLC)</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3"/>
                <w:szCs w:val="13"/>
                <w:color w:val="auto"/>
                <w:w w:val="94"/>
              </w:rPr>
              <w:t>and Childcare</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PAS Tech Holdings, Inc.</w:t>
            </w:r>
          </w:p>
        </w:tc>
        <w:tc>
          <w:tcPr>
            <w:tcW w:w="880" w:type="dxa"/>
            <w:vAlign w:val="bottom"/>
            <w:gridSpan w:val="2"/>
            <w:shd w:val="clear" w:color="auto" w:fill="CCEEFF"/>
          </w:tcPr>
          <w:p>
            <w:pPr>
              <w:jc w:val="center"/>
              <w:ind w:right="240"/>
              <w:spacing w:after="0" w:line="138" w:lineRule="exact"/>
              <w:rPr>
                <w:sz w:val="20"/>
                <w:szCs w:val="20"/>
                <w:color w:val="auto"/>
              </w:rPr>
            </w:pPr>
            <w:r>
              <w:rPr>
                <w:rFonts w:ascii="Arial" w:cs="Arial" w:eastAsia="Arial" w:hAnsi="Arial"/>
                <w:sz w:val="13"/>
                <w:szCs w:val="13"/>
                <w:color w:val="auto"/>
                <w:w w:val="91"/>
              </w:rPr>
              <w:t>—</w:t>
            </w:r>
          </w:p>
        </w:tc>
        <w:tc>
          <w:tcPr>
            <w:tcW w:w="190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3"/>
                <w:szCs w:val="13"/>
                <w:color w:val="auto"/>
                <w:w w:val="91"/>
              </w:rPr>
              <w:t>Aerospace and Defense</w:t>
            </w:r>
          </w:p>
        </w:tc>
        <w:tc>
          <w:tcPr>
            <w:tcW w:w="90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20,000</w:t>
            </w:r>
          </w:p>
        </w:tc>
        <w:tc>
          <w:tcPr>
            <w:tcW w:w="114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20,000</w:t>
            </w:r>
          </w:p>
        </w:tc>
        <w:tc>
          <w:tcPr>
            <w:tcW w:w="820" w:type="dxa"/>
            <w:vAlign w:val="bottom"/>
            <w:gridSpan w:val="2"/>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(PAS Technologies, Inc.)</w:t>
            </w: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800" w:type="dxa"/>
            <w:vAlign w:val="bottom"/>
            <w:gridSpan w:val="2"/>
          </w:tcPr>
          <w:p>
            <w:pPr>
              <w:spacing w:after="0" w:line="138" w:lineRule="exact"/>
              <w:rPr>
                <w:sz w:val="20"/>
                <w:szCs w:val="20"/>
                <w:color w:val="auto"/>
              </w:rPr>
            </w:pPr>
            <w:r>
              <w:rPr>
                <w:rFonts w:ascii="Arial" w:cs="Arial" w:eastAsia="Arial" w:hAnsi="Arial"/>
                <w:sz w:val="13"/>
                <w:szCs w:val="13"/>
                <w:color w:val="auto"/>
              </w:rPr>
              <w:t>QMG HoldCo, LLC, Class A</w:t>
            </w:r>
          </w:p>
        </w:tc>
        <w:tc>
          <w:tcPr>
            <w:tcW w:w="880" w:type="dxa"/>
            <w:vAlign w:val="bottom"/>
            <w:gridSpan w:val="2"/>
          </w:tcPr>
          <w:p>
            <w:pPr>
              <w:jc w:val="center"/>
              <w:ind w:right="240"/>
              <w:spacing w:after="0" w:line="138" w:lineRule="exact"/>
              <w:rPr>
                <w:sz w:val="20"/>
                <w:szCs w:val="20"/>
                <w:color w:val="auto"/>
              </w:rPr>
            </w:pPr>
            <w:r>
              <w:rPr>
                <w:rFonts w:ascii="Arial" w:cs="Arial" w:eastAsia="Arial" w:hAnsi="Arial"/>
                <w:sz w:val="13"/>
                <w:szCs w:val="13"/>
                <w:color w:val="auto"/>
                <w:w w:val="91"/>
              </w:rPr>
              <w:t>—</w:t>
            </w:r>
          </w:p>
        </w:tc>
        <w:tc>
          <w:tcPr>
            <w:tcW w:w="1900" w:type="dxa"/>
            <w:vAlign w:val="bottom"/>
            <w:gridSpan w:val="2"/>
          </w:tcPr>
          <w:p>
            <w:pPr>
              <w:jc w:val="center"/>
              <w:ind w:right="140"/>
              <w:spacing w:after="0" w:line="138" w:lineRule="exact"/>
              <w:rPr>
                <w:sz w:val="20"/>
                <w:szCs w:val="20"/>
                <w:color w:val="auto"/>
              </w:rPr>
            </w:pPr>
            <w:r>
              <w:rPr>
                <w:rFonts w:ascii="Arial" w:cs="Arial" w:eastAsia="Arial" w:hAnsi="Arial"/>
                <w:sz w:val="13"/>
                <w:szCs w:val="13"/>
                <w:color w:val="auto"/>
                <w:w w:val="95"/>
              </w:rPr>
              <w:t>Other Media</w:t>
            </w:r>
          </w:p>
        </w:tc>
        <w:tc>
          <w:tcPr>
            <w:tcW w:w="90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4,325</w:t>
            </w:r>
          </w:p>
        </w:tc>
        <w:tc>
          <w:tcPr>
            <w:tcW w:w="1140" w:type="dxa"/>
            <w:vAlign w:val="bottom"/>
            <w:gridSpan w:val="3"/>
          </w:tcPr>
          <w:p>
            <w:pPr>
              <w:jc w:val="right"/>
              <w:ind w:right="200"/>
              <w:spacing w:after="0" w:line="138" w:lineRule="exact"/>
              <w:rPr>
                <w:sz w:val="20"/>
                <w:szCs w:val="20"/>
                <w:color w:val="auto"/>
              </w:rPr>
            </w:pPr>
            <w:r>
              <w:rPr>
                <w:rFonts w:ascii="Arial" w:cs="Arial" w:eastAsia="Arial" w:hAnsi="Arial"/>
                <w:sz w:val="13"/>
                <w:szCs w:val="13"/>
                <w:color w:val="auto"/>
              </w:rPr>
              <w:t>1,306,166</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1,404,661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00" w:type="dxa"/>
            <w:vAlign w:val="bottom"/>
            <w:gridSpan w:val="2"/>
          </w:tcPr>
          <w:p>
            <w:pPr>
              <w:ind w:left="220"/>
              <w:spacing w:after="0"/>
              <w:rPr>
                <w:sz w:val="20"/>
                <w:szCs w:val="20"/>
                <w:color w:val="auto"/>
              </w:rPr>
            </w:pPr>
            <w:r>
              <w:rPr>
                <w:rFonts w:ascii="Arial" w:cs="Arial" w:eastAsia="Arial" w:hAnsi="Arial"/>
                <w:sz w:val="13"/>
                <w:szCs w:val="13"/>
                <w:color w:val="auto"/>
              </w:rPr>
              <w:t>(Questex Media Group, Inc.)</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QMG HoldCo, LLC, Class B</w:t>
            </w:r>
          </w:p>
        </w:tc>
        <w:tc>
          <w:tcPr>
            <w:tcW w:w="880" w:type="dxa"/>
            <w:vAlign w:val="bottom"/>
            <w:gridSpan w:val="2"/>
            <w:shd w:val="clear" w:color="auto" w:fill="CCEEFF"/>
          </w:tcPr>
          <w:p>
            <w:pPr>
              <w:jc w:val="center"/>
              <w:ind w:right="240"/>
              <w:spacing w:after="0" w:line="138" w:lineRule="exact"/>
              <w:rPr>
                <w:sz w:val="20"/>
                <w:szCs w:val="20"/>
                <w:color w:val="auto"/>
              </w:rPr>
            </w:pPr>
            <w:r>
              <w:rPr>
                <w:rFonts w:ascii="Arial" w:cs="Arial" w:eastAsia="Arial" w:hAnsi="Arial"/>
                <w:sz w:val="13"/>
                <w:szCs w:val="13"/>
                <w:color w:val="auto"/>
                <w:w w:val="91"/>
              </w:rPr>
              <w:t>—</w:t>
            </w:r>
          </w:p>
        </w:tc>
        <w:tc>
          <w:tcPr>
            <w:tcW w:w="190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3"/>
                <w:szCs w:val="13"/>
                <w:color w:val="auto"/>
                <w:w w:val="95"/>
              </w:rPr>
              <w:t>Other Media</w:t>
            </w:r>
          </w:p>
        </w:tc>
        <w:tc>
          <w:tcPr>
            <w:tcW w:w="90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531</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172,457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(Questex Media Group, Inc.)</w:t>
            </w: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800" w:type="dxa"/>
            <w:vAlign w:val="bottom"/>
            <w:gridSpan w:val="2"/>
          </w:tcPr>
          <w:p>
            <w:pPr>
              <w:spacing w:after="0" w:line="138" w:lineRule="exact"/>
              <w:rPr>
                <w:sz w:val="20"/>
                <w:szCs w:val="20"/>
                <w:color w:val="auto"/>
              </w:rPr>
            </w:pPr>
            <w:r>
              <w:rPr>
                <w:rFonts w:ascii="Arial" w:cs="Arial" w:eastAsia="Arial" w:hAnsi="Arial"/>
                <w:sz w:val="13"/>
                <w:szCs w:val="13"/>
                <w:color w:val="auto"/>
              </w:rPr>
              <w:t>SPG Boyd Holdings Corp.</w:t>
            </w:r>
          </w:p>
        </w:tc>
        <w:tc>
          <w:tcPr>
            <w:tcW w:w="880" w:type="dxa"/>
            <w:vAlign w:val="bottom"/>
            <w:gridSpan w:val="2"/>
          </w:tcPr>
          <w:p>
            <w:pPr>
              <w:jc w:val="center"/>
              <w:ind w:right="240"/>
              <w:spacing w:after="0" w:line="138" w:lineRule="exact"/>
              <w:rPr>
                <w:sz w:val="20"/>
                <w:szCs w:val="20"/>
                <w:color w:val="auto"/>
              </w:rPr>
            </w:pPr>
            <w:r>
              <w:rPr>
                <w:rFonts w:ascii="Arial" w:cs="Arial" w:eastAsia="Arial" w:hAnsi="Arial"/>
                <w:sz w:val="13"/>
                <w:szCs w:val="13"/>
                <w:color w:val="auto"/>
                <w:w w:val="91"/>
              </w:rPr>
              <w:t>—</w:t>
            </w:r>
          </w:p>
        </w:tc>
        <w:tc>
          <w:tcPr>
            <w:tcW w:w="1900" w:type="dxa"/>
            <w:vAlign w:val="bottom"/>
            <w:gridSpan w:val="2"/>
          </w:tcPr>
          <w:p>
            <w:pPr>
              <w:jc w:val="center"/>
              <w:ind w:right="160"/>
              <w:spacing w:after="0" w:line="138" w:lineRule="exact"/>
              <w:rPr>
                <w:sz w:val="20"/>
                <w:szCs w:val="20"/>
                <w:color w:val="auto"/>
              </w:rPr>
            </w:pPr>
            <w:r>
              <w:rPr>
                <w:rFonts w:ascii="Arial" w:cs="Arial" w:eastAsia="Arial" w:hAnsi="Arial"/>
                <w:sz w:val="13"/>
                <w:szCs w:val="13"/>
                <w:color w:val="auto"/>
                <w:w w:val="94"/>
              </w:rPr>
              <w:t>Chemical, Plastic</w:t>
            </w:r>
          </w:p>
        </w:tc>
        <w:tc>
          <w:tcPr>
            <w:tcW w:w="90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300,000</w:t>
            </w:r>
          </w:p>
        </w:tc>
        <w:tc>
          <w:tcPr>
            <w:tcW w:w="1140" w:type="dxa"/>
            <w:vAlign w:val="bottom"/>
            <w:gridSpan w:val="3"/>
          </w:tcPr>
          <w:p>
            <w:pPr>
              <w:jc w:val="right"/>
              <w:ind w:right="200"/>
              <w:spacing w:after="0" w:line="138" w:lineRule="exact"/>
              <w:rPr>
                <w:sz w:val="20"/>
                <w:szCs w:val="20"/>
                <w:color w:val="auto"/>
              </w:rPr>
            </w:pPr>
            <w:r>
              <w:rPr>
                <w:rFonts w:ascii="Arial" w:cs="Arial" w:eastAsia="Arial" w:hAnsi="Arial"/>
                <w:sz w:val="13"/>
                <w:szCs w:val="13"/>
                <w:color w:val="auto"/>
              </w:rPr>
              <w:t>3,000,000</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3,000,000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00" w:type="dxa"/>
            <w:vAlign w:val="bottom"/>
            <w:gridSpan w:val="2"/>
          </w:tcPr>
          <w:p>
            <w:pPr>
              <w:ind w:left="220"/>
              <w:spacing w:after="0"/>
              <w:rPr>
                <w:sz w:val="20"/>
                <w:szCs w:val="20"/>
                <w:color w:val="auto"/>
              </w:rPr>
            </w:pPr>
            <w:r>
              <w:rPr>
                <w:rFonts w:ascii="Arial" w:cs="Arial" w:eastAsia="Arial" w:hAnsi="Arial"/>
                <w:sz w:val="13"/>
                <w:szCs w:val="13"/>
                <w:color w:val="auto"/>
              </w:rPr>
              <w:t>(LTI Flexible Products, Inc.)</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3"/>
                <w:szCs w:val="13"/>
                <w:color w:val="auto"/>
                <w:w w:val="91"/>
              </w:rPr>
              <w:t>and Rubber</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Titan Private Holdings I, LLC – Class A</w:t>
            </w:r>
          </w:p>
        </w:tc>
        <w:tc>
          <w:tcPr>
            <w:tcW w:w="880" w:type="dxa"/>
            <w:vAlign w:val="bottom"/>
            <w:gridSpan w:val="2"/>
            <w:shd w:val="clear" w:color="auto" w:fill="CCEEFF"/>
          </w:tcPr>
          <w:p>
            <w:pPr>
              <w:jc w:val="center"/>
              <w:ind w:right="240"/>
              <w:spacing w:after="0" w:line="138" w:lineRule="exact"/>
              <w:rPr>
                <w:sz w:val="20"/>
                <w:szCs w:val="20"/>
                <w:color w:val="auto"/>
              </w:rPr>
            </w:pPr>
            <w:r>
              <w:rPr>
                <w:rFonts w:ascii="Arial" w:cs="Arial" w:eastAsia="Arial" w:hAnsi="Arial"/>
                <w:sz w:val="13"/>
                <w:szCs w:val="13"/>
                <w:color w:val="auto"/>
                <w:w w:val="91"/>
              </w:rPr>
              <w:t>—</w:t>
            </w:r>
          </w:p>
        </w:tc>
        <w:tc>
          <w:tcPr>
            <w:tcW w:w="190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3"/>
                <w:szCs w:val="13"/>
                <w:color w:val="auto"/>
                <w:w w:val="93"/>
              </w:rPr>
              <w:t>Telecommunications</w:t>
            </w:r>
          </w:p>
        </w:tc>
        <w:tc>
          <w:tcPr>
            <w:tcW w:w="90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2,276,847</w:t>
            </w:r>
          </w:p>
        </w:tc>
        <w:tc>
          <w:tcPr>
            <w:tcW w:w="114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2,274,883</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6,182,426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(Tekelec Global, Inc.)</w:t>
            </w: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800" w:type="dxa"/>
            <w:vAlign w:val="bottom"/>
            <w:gridSpan w:val="2"/>
          </w:tcPr>
          <w:p>
            <w:pPr>
              <w:spacing w:after="0"/>
              <w:rPr>
                <w:sz w:val="20"/>
                <w:szCs w:val="20"/>
                <w:color w:val="auto"/>
              </w:rPr>
            </w:pPr>
            <w:r>
              <w:rPr>
                <w:rFonts w:ascii="Arial" w:cs="Arial" w:eastAsia="Arial" w:hAnsi="Arial"/>
                <w:sz w:val="13"/>
                <w:szCs w:val="13"/>
                <w:color w:val="auto"/>
              </w:rPr>
              <w:t>TRAK Acquisition Corp. (Warrants)</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12/29/2019</w:t>
            </w:r>
          </w:p>
        </w:tc>
        <w:tc>
          <w:tcPr>
            <w:tcW w:w="220" w:type="dxa"/>
            <w:vAlign w:val="bottom"/>
          </w:tcPr>
          <w:p>
            <w:pPr>
              <w:spacing w:after="0"/>
              <w:rPr>
                <w:sz w:val="12"/>
                <w:szCs w:val="12"/>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3"/>
                <w:szCs w:val="13"/>
                <w:color w:val="auto"/>
                <w:w w:val="90"/>
              </w:rPr>
              <w:t>Business Services</w:t>
            </w:r>
          </w:p>
        </w:tc>
        <w:tc>
          <w:tcPr>
            <w:tcW w:w="9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3,500</w:t>
            </w:r>
          </w:p>
        </w:tc>
        <w:tc>
          <w:tcPr>
            <w:tcW w:w="1140" w:type="dxa"/>
            <w:vAlign w:val="bottom"/>
            <w:gridSpan w:val="3"/>
          </w:tcPr>
          <w:p>
            <w:pPr>
              <w:jc w:val="right"/>
              <w:ind w:right="200"/>
              <w:spacing w:after="0"/>
              <w:rPr>
                <w:sz w:val="20"/>
                <w:szCs w:val="20"/>
                <w:color w:val="auto"/>
              </w:rPr>
            </w:pPr>
            <w:r>
              <w:rPr>
                <w:rFonts w:ascii="Arial" w:cs="Arial" w:eastAsia="Arial" w:hAnsi="Arial"/>
                <w:sz w:val="13"/>
                <w:szCs w:val="13"/>
                <w:color w:val="auto"/>
              </w:rPr>
              <w:t>29,400</w:t>
            </w:r>
          </w:p>
        </w:tc>
        <w:tc>
          <w:tcPr>
            <w:tcW w:w="760" w:type="dxa"/>
            <w:vAlign w:val="bottom"/>
          </w:tcPr>
          <w:p>
            <w:pPr>
              <w:jc w:val="right"/>
              <w:spacing w:after="0"/>
              <w:rPr>
                <w:sz w:val="20"/>
                <w:szCs w:val="20"/>
                <w:color w:val="auto"/>
              </w:rPr>
            </w:pPr>
            <w:r>
              <w:rPr>
                <w:rFonts w:ascii="Arial" w:cs="Arial" w:eastAsia="Arial" w:hAnsi="Arial"/>
                <w:sz w:val="13"/>
                <w:szCs w:val="13"/>
                <w:color w:val="auto"/>
              </w:rPr>
              <w:t>1,197,412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Transportation 100 Holdco, L.L.C. </w:t>
            </w:r>
            <w:r>
              <w:rPr>
                <w:rFonts w:ascii="Arial" w:cs="Arial" w:eastAsia="Arial" w:hAnsi="Arial"/>
                <w:sz w:val="15"/>
                <w:szCs w:val="15"/>
                <w:color w:val="auto"/>
                <w:vertAlign w:val="superscript"/>
              </w:rPr>
              <w:t>(13)</w:t>
            </w:r>
          </w:p>
        </w:tc>
        <w:tc>
          <w:tcPr>
            <w:tcW w:w="880" w:type="dxa"/>
            <w:vAlign w:val="bottom"/>
            <w:gridSpan w:val="2"/>
            <w:shd w:val="clear" w:color="auto" w:fill="CCEEFF"/>
          </w:tcPr>
          <w:p>
            <w:pPr>
              <w:jc w:val="center"/>
              <w:ind w:right="240"/>
              <w:spacing w:after="0" w:line="138" w:lineRule="exact"/>
              <w:rPr>
                <w:sz w:val="20"/>
                <w:szCs w:val="20"/>
                <w:color w:val="auto"/>
              </w:rPr>
            </w:pPr>
            <w:r>
              <w:rPr>
                <w:rFonts w:ascii="Arial" w:cs="Arial" w:eastAsia="Arial" w:hAnsi="Arial"/>
                <w:sz w:val="13"/>
                <w:szCs w:val="13"/>
                <w:color w:val="auto"/>
                <w:w w:val="91"/>
              </w:rPr>
              <w:t>—</w:t>
            </w:r>
          </w:p>
        </w:tc>
        <w:tc>
          <w:tcPr>
            <w:tcW w:w="190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3"/>
                <w:szCs w:val="13"/>
                <w:color w:val="auto"/>
                <w:w w:val="92"/>
              </w:rPr>
              <w:t>Cargo Transport</w:t>
            </w:r>
          </w:p>
        </w:tc>
        <w:tc>
          <w:tcPr>
            <w:tcW w:w="90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137,923</w:t>
            </w:r>
          </w:p>
        </w:tc>
        <w:tc>
          <w:tcPr>
            <w:tcW w:w="114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2,111,588</w:t>
            </w:r>
          </w:p>
        </w:tc>
        <w:tc>
          <w:tcPr>
            <w:tcW w:w="820" w:type="dxa"/>
            <w:vAlign w:val="bottom"/>
            <w:gridSpan w:val="2"/>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(Greatwide Logistics Services, L.L.C.)</w:t>
            </w: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800" w:type="dxa"/>
            <w:vAlign w:val="bottom"/>
            <w:gridSpan w:val="2"/>
          </w:tcPr>
          <w:p>
            <w:pPr>
              <w:spacing w:after="0" w:line="138" w:lineRule="exact"/>
              <w:rPr>
                <w:sz w:val="20"/>
                <w:szCs w:val="20"/>
                <w:color w:val="auto"/>
              </w:rPr>
            </w:pPr>
            <w:r>
              <w:rPr>
                <w:rFonts w:ascii="Arial" w:cs="Arial" w:eastAsia="Arial" w:hAnsi="Arial"/>
                <w:sz w:val="13"/>
                <w:szCs w:val="13"/>
                <w:color w:val="auto"/>
              </w:rPr>
              <w:t>TZ Holdings, L.P.</w:t>
            </w:r>
          </w:p>
        </w:tc>
        <w:tc>
          <w:tcPr>
            <w:tcW w:w="880" w:type="dxa"/>
            <w:vAlign w:val="bottom"/>
            <w:gridSpan w:val="2"/>
          </w:tcPr>
          <w:p>
            <w:pPr>
              <w:jc w:val="center"/>
              <w:ind w:right="240"/>
              <w:spacing w:after="0" w:line="138" w:lineRule="exact"/>
              <w:rPr>
                <w:sz w:val="20"/>
                <w:szCs w:val="20"/>
                <w:color w:val="auto"/>
              </w:rPr>
            </w:pPr>
            <w:r>
              <w:rPr>
                <w:rFonts w:ascii="Arial" w:cs="Arial" w:eastAsia="Arial" w:hAnsi="Arial"/>
                <w:sz w:val="13"/>
                <w:szCs w:val="13"/>
                <w:color w:val="auto"/>
                <w:w w:val="91"/>
              </w:rPr>
              <w:t>—</w:t>
            </w:r>
          </w:p>
        </w:tc>
        <w:tc>
          <w:tcPr>
            <w:tcW w:w="1900" w:type="dxa"/>
            <w:vAlign w:val="bottom"/>
            <w:gridSpan w:val="2"/>
          </w:tcPr>
          <w:p>
            <w:pPr>
              <w:jc w:val="center"/>
              <w:ind w:right="140"/>
              <w:spacing w:after="0" w:line="138" w:lineRule="exact"/>
              <w:rPr>
                <w:sz w:val="20"/>
                <w:szCs w:val="20"/>
                <w:color w:val="auto"/>
              </w:rPr>
            </w:pPr>
            <w:r>
              <w:rPr>
                <w:rFonts w:ascii="Arial" w:cs="Arial" w:eastAsia="Arial" w:hAnsi="Arial"/>
                <w:sz w:val="13"/>
                <w:szCs w:val="13"/>
                <w:color w:val="auto"/>
                <w:w w:val="91"/>
              </w:rPr>
              <w:t>Insurance</w:t>
            </w:r>
          </w:p>
        </w:tc>
        <w:tc>
          <w:tcPr>
            <w:tcW w:w="90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2</w:t>
            </w:r>
          </w:p>
        </w:tc>
        <w:tc>
          <w:tcPr>
            <w:tcW w:w="1140" w:type="dxa"/>
            <w:vAlign w:val="bottom"/>
            <w:gridSpan w:val="3"/>
          </w:tcPr>
          <w:p>
            <w:pPr>
              <w:jc w:val="right"/>
              <w:ind w:right="200"/>
              <w:spacing w:after="0" w:line="138" w:lineRule="exact"/>
              <w:rPr>
                <w:sz w:val="20"/>
                <w:szCs w:val="20"/>
                <w:color w:val="auto"/>
              </w:rPr>
            </w:pPr>
            <w:r>
              <w:rPr>
                <w:rFonts w:ascii="Arial" w:cs="Arial" w:eastAsia="Arial" w:hAnsi="Arial"/>
                <w:sz w:val="13"/>
                <w:szCs w:val="13"/>
                <w:color w:val="auto"/>
              </w:rPr>
              <w:t>9,567</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713,718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00" w:type="dxa"/>
            <w:vAlign w:val="bottom"/>
            <w:gridSpan w:val="2"/>
          </w:tcPr>
          <w:p>
            <w:pPr>
              <w:ind w:left="220"/>
              <w:spacing w:after="0"/>
              <w:rPr>
                <w:sz w:val="20"/>
                <w:szCs w:val="20"/>
                <w:color w:val="auto"/>
              </w:rPr>
            </w:pPr>
            <w:r>
              <w:rPr>
                <w:rFonts w:ascii="Arial" w:cs="Arial" w:eastAsia="Arial" w:hAnsi="Arial"/>
                <w:sz w:val="13"/>
                <w:szCs w:val="13"/>
                <w:color w:val="auto"/>
              </w:rPr>
              <w:t>(Trizetto Group, Inc.)</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Verde Parent Holdings, Inc.</w:t>
            </w:r>
          </w:p>
        </w:tc>
        <w:tc>
          <w:tcPr>
            <w:tcW w:w="88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color w:val="auto"/>
                <w:w w:val="91"/>
              </w:rPr>
              <w:t>—</w:t>
            </w:r>
          </w:p>
        </w:tc>
        <w:tc>
          <w:tcPr>
            <w:tcW w:w="19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2"/>
              </w:rPr>
              <w:t>Personal Transportation</w:t>
            </w: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9,166</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9,167</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800" w:type="dxa"/>
            <w:vAlign w:val="bottom"/>
            <w:gridSpan w:val="2"/>
          </w:tcPr>
          <w:p>
            <w:pPr>
              <w:spacing w:after="0" w:line="138" w:lineRule="exact"/>
              <w:rPr>
                <w:sz w:val="20"/>
                <w:szCs w:val="20"/>
                <w:color w:val="auto"/>
              </w:rPr>
            </w:pPr>
            <w:r>
              <w:rPr>
                <w:rFonts w:ascii="Arial" w:cs="Arial" w:eastAsia="Arial" w:hAnsi="Arial"/>
                <w:sz w:val="13"/>
                <w:szCs w:val="13"/>
                <w:color w:val="auto"/>
              </w:rPr>
              <w:t>VText Holdings, Inc.</w:t>
            </w:r>
          </w:p>
        </w:tc>
        <w:tc>
          <w:tcPr>
            <w:tcW w:w="880" w:type="dxa"/>
            <w:vAlign w:val="bottom"/>
            <w:gridSpan w:val="2"/>
          </w:tcPr>
          <w:p>
            <w:pPr>
              <w:jc w:val="center"/>
              <w:ind w:right="240"/>
              <w:spacing w:after="0" w:line="138" w:lineRule="exact"/>
              <w:rPr>
                <w:sz w:val="20"/>
                <w:szCs w:val="20"/>
                <w:color w:val="auto"/>
              </w:rPr>
            </w:pPr>
            <w:r>
              <w:rPr>
                <w:rFonts w:ascii="Arial" w:cs="Arial" w:eastAsia="Arial" w:hAnsi="Arial"/>
                <w:sz w:val="13"/>
                <w:szCs w:val="13"/>
                <w:color w:val="auto"/>
                <w:w w:val="91"/>
              </w:rPr>
              <w:t>—</w:t>
            </w:r>
          </w:p>
        </w:tc>
        <w:tc>
          <w:tcPr>
            <w:tcW w:w="1900" w:type="dxa"/>
            <w:vAlign w:val="bottom"/>
            <w:gridSpan w:val="2"/>
          </w:tcPr>
          <w:p>
            <w:pPr>
              <w:jc w:val="center"/>
              <w:ind w:right="140"/>
              <w:spacing w:after="0" w:line="138" w:lineRule="exact"/>
              <w:rPr>
                <w:sz w:val="20"/>
                <w:szCs w:val="20"/>
                <w:color w:val="auto"/>
              </w:rPr>
            </w:pPr>
            <w:r>
              <w:rPr>
                <w:rFonts w:ascii="Arial" w:cs="Arial" w:eastAsia="Arial" w:hAnsi="Arial"/>
                <w:sz w:val="13"/>
                <w:szCs w:val="13"/>
                <w:color w:val="auto"/>
                <w:w w:val="90"/>
              </w:rPr>
              <w:t>Business Services</w:t>
            </w:r>
          </w:p>
        </w:tc>
        <w:tc>
          <w:tcPr>
            <w:tcW w:w="90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35,526</w:t>
            </w:r>
          </w:p>
        </w:tc>
        <w:tc>
          <w:tcPr>
            <w:tcW w:w="1140" w:type="dxa"/>
            <w:vAlign w:val="bottom"/>
            <w:gridSpan w:val="3"/>
          </w:tcPr>
          <w:p>
            <w:pPr>
              <w:jc w:val="right"/>
              <w:ind w:right="200"/>
              <w:spacing w:after="0" w:line="138" w:lineRule="exact"/>
              <w:rPr>
                <w:sz w:val="20"/>
                <w:szCs w:val="20"/>
                <w:color w:val="auto"/>
              </w:rPr>
            </w:pPr>
            <w:r>
              <w:rPr>
                <w:rFonts w:ascii="Arial" w:cs="Arial" w:eastAsia="Arial" w:hAnsi="Arial"/>
                <w:sz w:val="13"/>
                <w:szCs w:val="13"/>
                <w:color w:val="auto"/>
              </w:rPr>
              <w:t>4,050,000</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6,941,000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800" w:type="dxa"/>
            <w:vAlign w:val="bottom"/>
            <w:gridSpan w:val="2"/>
          </w:tcPr>
          <w:p>
            <w:pPr>
              <w:ind w:left="220"/>
              <w:spacing w:after="0"/>
              <w:rPr>
                <w:sz w:val="20"/>
                <w:szCs w:val="20"/>
                <w:color w:val="auto"/>
              </w:rPr>
            </w:pPr>
            <w:r>
              <w:rPr>
                <w:rFonts w:ascii="Arial" w:cs="Arial" w:eastAsia="Arial" w:hAnsi="Arial"/>
                <w:sz w:val="13"/>
                <w:szCs w:val="13"/>
                <w:color w:val="auto"/>
              </w:rPr>
              <w:t>(Veritext Corp.)</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Common Equity/Warrants/ Partnership Interests</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38,457,098</w:t>
            </w:r>
          </w:p>
        </w:tc>
        <w:tc>
          <w:tcPr>
            <w:tcW w:w="20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61,315,758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680" w:type="dxa"/>
            <w:vAlign w:val="bottom"/>
            <w:gridSpan w:val="4"/>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3"/>
                <w:szCs w:val="13"/>
                <w:color w:val="auto"/>
              </w:rPr>
              <w:t>871,867,953</w:t>
            </w:r>
          </w:p>
        </w:tc>
        <w:tc>
          <w:tcPr>
            <w:tcW w:w="760" w:type="dxa"/>
            <w:vAlign w:val="bottom"/>
          </w:tcPr>
          <w:p>
            <w:pPr>
              <w:jc w:val="right"/>
              <w:spacing w:after="0"/>
              <w:rPr>
                <w:sz w:val="20"/>
                <w:szCs w:val="20"/>
                <w:color w:val="auto"/>
              </w:rPr>
            </w:pPr>
            <w:r>
              <w:rPr>
                <w:rFonts w:ascii="Arial" w:cs="Arial" w:eastAsia="Arial" w:hAnsi="Arial"/>
                <w:sz w:val="13"/>
                <w:szCs w:val="13"/>
                <w:color w:val="auto"/>
              </w:rPr>
              <w:t>871,892,745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gridSpan w:val="4"/>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Non-Controlled, Affiliated Portfolio Companies—12.0% </w:t>
            </w:r>
            <w:r>
              <w:rPr>
                <w:rFonts w:ascii="Arial" w:cs="Arial" w:eastAsia="Arial" w:hAnsi="Arial"/>
                <w:sz w:val="17"/>
                <w:szCs w:val="17"/>
                <w:b w:val="1"/>
                <w:bCs w:val="1"/>
                <w:color w:val="auto"/>
                <w:vertAlign w:val="superscript"/>
              </w:rPr>
              <w:t>(1),(2)</w:t>
            </w:r>
          </w:p>
        </w:tc>
        <w:tc>
          <w:tcPr>
            <w:tcW w:w="1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Debt—1.1%</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Performance, Inc.</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01/16/2015</w:t>
            </w:r>
          </w:p>
        </w:tc>
        <w:tc>
          <w:tcPr>
            <w:tcW w:w="22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3"/>
                <w:szCs w:val="13"/>
                <w:color w:val="auto"/>
                <w:w w:val="96"/>
              </w:rPr>
              <w:t>Leisure, Amusement Motion</w:t>
            </w:r>
          </w:p>
        </w:tc>
        <w:tc>
          <w:tcPr>
            <w:tcW w:w="900" w:type="dxa"/>
            <w:vAlign w:val="bottom"/>
            <w:gridSpan w:val="2"/>
            <w:shd w:val="clear" w:color="auto" w:fill="CCEEFF"/>
          </w:tcPr>
          <w:p>
            <w:pPr>
              <w:jc w:val="right"/>
              <w:ind w:right="320"/>
              <w:spacing w:after="0" w:line="138" w:lineRule="exact"/>
              <w:rPr>
                <w:sz w:val="20"/>
                <w:szCs w:val="20"/>
                <w:color w:val="auto"/>
              </w:rPr>
            </w:pPr>
            <w:r>
              <w:rPr>
                <w:rFonts w:ascii="Arial" w:cs="Arial" w:eastAsia="Arial" w:hAnsi="Arial"/>
                <w:sz w:val="13"/>
                <w:szCs w:val="13"/>
                <w:color w:val="auto"/>
              </w:rPr>
              <w:t>7.25%</w:t>
            </w:r>
          </w:p>
        </w:tc>
        <w:tc>
          <w:tcPr>
            <w:tcW w:w="980" w:type="dxa"/>
            <w:vAlign w:val="bottom"/>
            <w:gridSpan w:val="2"/>
            <w:shd w:val="clear" w:color="auto" w:fill="CCEEFF"/>
          </w:tcPr>
          <w:p>
            <w:pPr>
              <w:ind w:left="300"/>
              <w:spacing w:after="0" w:line="138" w:lineRule="exact"/>
              <w:rPr>
                <w:sz w:val="20"/>
                <w:szCs w:val="20"/>
                <w:color w:val="auto"/>
              </w:rPr>
            </w:pPr>
            <w:r>
              <w:rPr>
                <w:rFonts w:ascii="Arial" w:cs="Arial" w:eastAsia="Arial" w:hAnsi="Arial"/>
                <w:sz w:val="10"/>
                <w:szCs w:val="10"/>
                <w:color w:val="auto"/>
              </w:rPr>
              <w:t>L+625</w:t>
            </w:r>
            <w:r>
              <w:rPr>
                <w:rFonts w:ascii="Arial" w:cs="Arial" w:eastAsia="Arial" w:hAnsi="Arial"/>
                <w:sz w:val="15"/>
                <w:szCs w:val="15"/>
                <w:color w:val="auto"/>
                <w:vertAlign w:val="superscript"/>
              </w:rPr>
              <w:t>(8)</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8,000,000</w:t>
            </w:r>
          </w:p>
        </w:tc>
        <w:tc>
          <w:tcPr>
            <w:tcW w:w="114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8,000,000</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7,672,000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3"/>
              </w:rPr>
              <w:t>Pictures and Entertainment</w:t>
            </w: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0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Debt/Corporate Notes—7.1%</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Performance Holdings, Inc.</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8"/>
              </w:rPr>
              <w:t>07/16/2015</w:t>
            </w:r>
          </w:p>
        </w:tc>
        <w:tc>
          <w:tcPr>
            <w:tcW w:w="22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3"/>
                <w:szCs w:val="13"/>
                <w:color w:val="auto"/>
                <w:w w:val="94"/>
              </w:rPr>
              <w:t>Leisure, Amusement,</w:t>
            </w:r>
          </w:p>
        </w:tc>
        <w:tc>
          <w:tcPr>
            <w:tcW w:w="90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0"/>
                <w:szCs w:val="10"/>
                <w:color w:val="auto"/>
              </w:rPr>
              <w:t>15.00%</w:t>
            </w:r>
            <w:r>
              <w:rPr>
                <w:rFonts w:ascii="Arial" w:cs="Arial" w:eastAsia="Arial" w:hAnsi="Arial"/>
                <w:sz w:val="15"/>
                <w:szCs w:val="15"/>
                <w:color w:val="auto"/>
                <w:vertAlign w:val="superscript"/>
              </w:rPr>
              <w:t>(7)</w:t>
            </w:r>
          </w:p>
        </w:tc>
        <w:tc>
          <w:tcPr>
            <w:tcW w:w="9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7,567,234</w:t>
            </w:r>
          </w:p>
        </w:tc>
        <w:tc>
          <w:tcPr>
            <w:tcW w:w="114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7,435,314</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7,453,725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5"/>
              </w:rPr>
              <w:t>Motion Pictures and</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3"/>
              </w:rPr>
              <w:t>Entertainment</w:t>
            </w: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800" w:type="dxa"/>
            <w:vAlign w:val="bottom"/>
            <w:gridSpan w:val="2"/>
          </w:tcPr>
          <w:p>
            <w:pPr>
              <w:spacing w:after="0"/>
              <w:rPr>
                <w:sz w:val="20"/>
                <w:szCs w:val="20"/>
                <w:color w:val="auto"/>
              </w:rPr>
            </w:pPr>
            <w:r>
              <w:rPr>
                <w:rFonts w:ascii="Arial" w:cs="Arial" w:eastAsia="Arial" w:hAnsi="Arial"/>
                <w:sz w:val="13"/>
                <w:szCs w:val="13"/>
                <w:color w:val="auto"/>
              </w:rPr>
              <w:t>Service Champ, Inc.</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10/02/2017</w:t>
            </w:r>
          </w:p>
        </w:tc>
        <w:tc>
          <w:tcPr>
            <w:tcW w:w="220" w:type="dxa"/>
            <w:vAlign w:val="bottom"/>
          </w:tcPr>
          <w:p>
            <w:pPr>
              <w:spacing w:after="0"/>
              <w:rPr>
                <w:sz w:val="12"/>
                <w:szCs w:val="12"/>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3"/>
                <w:szCs w:val="13"/>
                <w:color w:val="auto"/>
                <w:w w:val="94"/>
              </w:rPr>
              <w:t>Auto Sector</w:t>
            </w:r>
          </w:p>
        </w:tc>
        <w:tc>
          <w:tcPr>
            <w:tcW w:w="900" w:type="dxa"/>
            <w:vAlign w:val="bottom"/>
            <w:gridSpan w:val="2"/>
          </w:tcPr>
          <w:p>
            <w:pPr>
              <w:jc w:val="right"/>
              <w:ind w:right="320"/>
              <w:spacing w:after="0"/>
              <w:rPr>
                <w:sz w:val="20"/>
                <w:szCs w:val="20"/>
                <w:color w:val="auto"/>
              </w:rPr>
            </w:pPr>
            <w:r>
              <w:rPr>
                <w:rFonts w:ascii="Arial" w:cs="Arial" w:eastAsia="Arial" w:hAnsi="Arial"/>
                <w:sz w:val="13"/>
                <w:szCs w:val="13"/>
                <w:color w:val="auto"/>
              </w:rPr>
              <w:t>12.50%</w:t>
            </w:r>
          </w:p>
        </w:tc>
        <w:tc>
          <w:tcPr>
            <w:tcW w:w="9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w w:val="95"/>
              </w:rPr>
              <w:t>24,000,000</w:t>
            </w:r>
          </w:p>
        </w:tc>
        <w:tc>
          <w:tcPr>
            <w:tcW w:w="1140" w:type="dxa"/>
            <w:vAlign w:val="bottom"/>
            <w:gridSpan w:val="3"/>
          </w:tcPr>
          <w:p>
            <w:pPr>
              <w:jc w:val="right"/>
              <w:ind w:right="200"/>
              <w:spacing w:after="0"/>
              <w:rPr>
                <w:sz w:val="20"/>
                <w:szCs w:val="20"/>
                <w:color w:val="auto"/>
              </w:rPr>
            </w:pPr>
            <w:r>
              <w:rPr>
                <w:rFonts w:ascii="Arial" w:cs="Arial" w:eastAsia="Arial" w:hAnsi="Arial"/>
                <w:sz w:val="13"/>
                <w:szCs w:val="13"/>
                <w:color w:val="auto"/>
              </w:rPr>
              <w:t>23,495,700</w:t>
            </w:r>
          </w:p>
        </w:tc>
        <w:tc>
          <w:tcPr>
            <w:tcW w:w="760" w:type="dxa"/>
            <w:vAlign w:val="bottom"/>
          </w:tcPr>
          <w:p>
            <w:pPr>
              <w:jc w:val="right"/>
              <w:spacing w:after="0"/>
              <w:rPr>
                <w:sz w:val="20"/>
                <w:szCs w:val="20"/>
                <w:color w:val="auto"/>
              </w:rPr>
            </w:pPr>
            <w:r>
              <w:rPr>
                <w:rFonts w:ascii="Arial" w:cs="Arial" w:eastAsia="Arial" w:hAnsi="Arial"/>
                <w:sz w:val="13"/>
                <w:szCs w:val="13"/>
                <w:color w:val="auto"/>
              </w:rPr>
              <w:t>24,000,000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Service Champ, Inc. </w:t>
            </w:r>
            <w:r>
              <w:rPr>
                <w:rFonts w:ascii="Arial" w:cs="Arial" w:eastAsia="Arial" w:hAnsi="Arial"/>
                <w:sz w:val="17"/>
                <w:szCs w:val="17"/>
                <w:color w:val="auto"/>
                <w:vertAlign w:val="superscript"/>
              </w:rPr>
              <w:t>(9)</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10/02/2013</w:t>
            </w:r>
          </w:p>
        </w:tc>
        <w:tc>
          <w:tcPr>
            <w:tcW w:w="22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4"/>
              </w:rPr>
              <w:t>Auto Sector</w:t>
            </w:r>
          </w:p>
        </w:tc>
        <w:tc>
          <w:tcPr>
            <w:tcW w:w="9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5"/>
              </w:rPr>
              <w:t>16,000,000</w:t>
            </w: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15,640,000</w:t>
            </w:r>
          </w:p>
        </w:tc>
        <w:tc>
          <w:tcPr>
            <w:tcW w:w="20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00" w:type="dxa"/>
            <w:vAlign w:val="bottom"/>
            <w:gridSpan w:val="2"/>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3"/>
                <w:szCs w:val="13"/>
                <w:color w:val="auto"/>
              </w:rPr>
              <w:t>46,571,014</w:t>
            </w:r>
          </w:p>
        </w:tc>
        <w:tc>
          <w:tcPr>
            <w:tcW w:w="760" w:type="dxa"/>
            <w:vAlign w:val="bottom"/>
          </w:tcPr>
          <w:p>
            <w:pPr>
              <w:jc w:val="right"/>
              <w:spacing w:after="0"/>
              <w:rPr>
                <w:sz w:val="20"/>
                <w:szCs w:val="20"/>
                <w:color w:val="auto"/>
              </w:rPr>
            </w:pPr>
            <w:r>
              <w:rPr>
                <w:rFonts w:ascii="Arial" w:cs="Arial" w:eastAsia="Arial" w:hAnsi="Arial"/>
                <w:sz w:val="13"/>
                <w:szCs w:val="13"/>
                <w:color w:val="auto"/>
              </w:rPr>
              <w:t>47,453,725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Interest—3.8% </w:t>
            </w:r>
            <w:r>
              <w:rPr>
                <w:rFonts w:ascii="Arial" w:cs="Arial" w:eastAsia="Arial" w:hAnsi="Arial"/>
                <w:sz w:val="17"/>
                <w:szCs w:val="17"/>
                <w:b w:val="1"/>
                <w:bCs w:val="1"/>
                <w:color w:val="auto"/>
                <w:vertAlign w:val="superscript"/>
              </w:rPr>
              <w:t>(6)</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gridSpan w:val="2"/>
          </w:tcPr>
          <w:p>
            <w:pPr>
              <w:spacing w:after="0"/>
              <w:rPr>
                <w:sz w:val="20"/>
                <w:szCs w:val="20"/>
                <w:color w:val="auto"/>
              </w:rPr>
            </w:pPr>
            <w:r>
              <w:rPr>
                <w:rFonts w:ascii="Arial" w:cs="Arial" w:eastAsia="Arial" w:hAnsi="Arial"/>
                <w:sz w:val="13"/>
                <w:szCs w:val="13"/>
                <w:color w:val="auto"/>
              </w:rPr>
              <w:t>EnviroSolutions, Inc.</w:t>
            </w:r>
          </w:p>
        </w:tc>
        <w:tc>
          <w:tcPr>
            <w:tcW w:w="880" w:type="dxa"/>
            <w:vAlign w:val="bottom"/>
            <w:gridSpan w:val="2"/>
          </w:tcPr>
          <w:p>
            <w:pPr>
              <w:jc w:val="center"/>
              <w:ind w:right="240"/>
              <w:spacing w:after="0"/>
              <w:rPr>
                <w:sz w:val="20"/>
                <w:szCs w:val="20"/>
                <w:color w:val="auto"/>
              </w:rPr>
            </w:pPr>
            <w:r>
              <w:rPr>
                <w:rFonts w:ascii="Arial" w:cs="Arial" w:eastAsia="Arial" w:hAnsi="Arial"/>
                <w:sz w:val="13"/>
                <w:szCs w:val="13"/>
                <w:color w:val="auto"/>
                <w:w w:val="91"/>
              </w:rPr>
              <w:t>—</w:t>
            </w:r>
          </w:p>
        </w:tc>
        <w:tc>
          <w:tcPr>
            <w:tcW w:w="1900" w:type="dxa"/>
            <w:vAlign w:val="bottom"/>
            <w:gridSpan w:val="2"/>
          </w:tcPr>
          <w:p>
            <w:pPr>
              <w:jc w:val="center"/>
              <w:ind w:right="160"/>
              <w:spacing w:after="0"/>
              <w:rPr>
                <w:sz w:val="20"/>
                <w:szCs w:val="20"/>
                <w:color w:val="auto"/>
              </w:rPr>
            </w:pPr>
            <w:r>
              <w:rPr>
                <w:rFonts w:ascii="Arial" w:cs="Arial" w:eastAsia="Arial" w:hAnsi="Arial"/>
                <w:sz w:val="13"/>
                <w:szCs w:val="13"/>
                <w:color w:val="auto"/>
                <w:w w:val="95"/>
              </w:rPr>
              <w:t>Environmental Services</w:t>
            </w:r>
          </w:p>
        </w:tc>
        <w:tc>
          <w:tcPr>
            <w:tcW w:w="9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125,106</w:t>
            </w:r>
          </w:p>
        </w:tc>
        <w:tc>
          <w:tcPr>
            <w:tcW w:w="1140" w:type="dxa"/>
            <w:vAlign w:val="bottom"/>
            <w:gridSpan w:val="3"/>
          </w:tcPr>
          <w:p>
            <w:pPr>
              <w:jc w:val="right"/>
              <w:ind w:right="200"/>
              <w:spacing w:after="0"/>
              <w:rPr>
                <w:sz w:val="20"/>
                <w:szCs w:val="20"/>
                <w:color w:val="auto"/>
              </w:rPr>
            </w:pPr>
            <w:r>
              <w:rPr>
                <w:rFonts w:ascii="Arial" w:cs="Arial" w:eastAsia="Arial" w:hAnsi="Arial"/>
                <w:sz w:val="13"/>
                <w:szCs w:val="13"/>
                <w:color w:val="auto"/>
              </w:rPr>
              <w:t>10,055,844</w:t>
            </w:r>
          </w:p>
        </w:tc>
        <w:tc>
          <w:tcPr>
            <w:tcW w:w="760" w:type="dxa"/>
            <w:vAlign w:val="bottom"/>
          </w:tcPr>
          <w:p>
            <w:pPr>
              <w:jc w:val="right"/>
              <w:spacing w:after="0"/>
              <w:rPr>
                <w:sz w:val="20"/>
                <w:szCs w:val="20"/>
                <w:color w:val="auto"/>
              </w:rPr>
            </w:pPr>
            <w:r>
              <w:rPr>
                <w:rFonts w:ascii="Arial" w:cs="Arial" w:eastAsia="Arial" w:hAnsi="Arial"/>
                <w:sz w:val="13"/>
                <w:szCs w:val="13"/>
                <w:color w:val="auto"/>
              </w:rPr>
              <w:t>18,425,519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NCP-Performance</w:t>
            </w:r>
          </w:p>
        </w:tc>
        <w:tc>
          <w:tcPr>
            <w:tcW w:w="880" w:type="dxa"/>
            <w:vAlign w:val="bottom"/>
            <w:gridSpan w:val="2"/>
            <w:shd w:val="clear" w:color="auto" w:fill="CCEEFF"/>
          </w:tcPr>
          <w:p>
            <w:pPr>
              <w:jc w:val="center"/>
              <w:ind w:right="240"/>
              <w:spacing w:after="0" w:line="138" w:lineRule="exact"/>
              <w:rPr>
                <w:sz w:val="20"/>
                <w:szCs w:val="20"/>
                <w:color w:val="auto"/>
              </w:rPr>
            </w:pPr>
            <w:r>
              <w:rPr>
                <w:rFonts w:ascii="Arial" w:cs="Arial" w:eastAsia="Arial" w:hAnsi="Arial"/>
                <w:sz w:val="13"/>
                <w:szCs w:val="13"/>
                <w:color w:val="auto"/>
                <w:w w:val="91"/>
              </w:rPr>
              <w:t>—</w:t>
            </w:r>
          </w:p>
        </w:tc>
        <w:tc>
          <w:tcPr>
            <w:tcW w:w="1900" w:type="dxa"/>
            <w:vAlign w:val="bottom"/>
            <w:gridSpan w:val="2"/>
            <w:shd w:val="clear" w:color="auto" w:fill="CCEEFF"/>
          </w:tcPr>
          <w:p>
            <w:pPr>
              <w:jc w:val="center"/>
              <w:ind w:right="140"/>
              <w:spacing w:after="0" w:line="138" w:lineRule="exact"/>
              <w:rPr>
                <w:sz w:val="20"/>
                <w:szCs w:val="20"/>
                <w:color w:val="auto"/>
              </w:rPr>
            </w:pPr>
            <w:r>
              <w:rPr>
                <w:rFonts w:ascii="Arial" w:cs="Arial" w:eastAsia="Arial" w:hAnsi="Arial"/>
                <w:sz w:val="13"/>
                <w:szCs w:val="13"/>
                <w:color w:val="auto"/>
                <w:w w:val="94"/>
              </w:rPr>
              <w:t>Leisure, Amusement,</w:t>
            </w:r>
          </w:p>
        </w:tc>
        <w:tc>
          <w:tcPr>
            <w:tcW w:w="90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4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375,000</w:t>
            </w:r>
          </w:p>
        </w:tc>
        <w:tc>
          <w:tcPr>
            <w:tcW w:w="114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3,750,000</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2,902,355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(Performance Holdings, Inc.)</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5"/>
              </w:rPr>
              <w:t>Motion Pictures and</w:t>
            </w: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3"/>
              </w:rPr>
              <w:t>Entertainment</w:t>
            </w: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800" w:type="dxa"/>
            <w:vAlign w:val="bottom"/>
            <w:gridSpan w:val="2"/>
          </w:tcPr>
          <w:p>
            <w:pPr>
              <w:spacing w:after="0" w:line="138" w:lineRule="exact"/>
              <w:rPr>
                <w:sz w:val="20"/>
                <w:szCs w:val="20"/>
                <w:color w:val="auto"/>
              </w:rPr>
            </w:pPr>
            <w:r>
              <w:rPr>
                <w:rFonts w:ascii="Arial" w:cs="Arial" w:eastAsia="Arial" w:hAnsi="Arial"/>
                <w:sz w:val="13"/>
                <w:szCs w:val="13"/>
                <w:color w:val="auto"/>
              </w:rPr>
              <w:t>New Service Champ Holdings, Inc.</w:t>
            </w:r>
          </w:p>
        </w:tc>
        <w:tc>
          <w:tcPr>
            <w:tcW w:w="880" w:type="dxa"/>
            <w:vAlign w:val="bottom"/>
            <w:gridSpan w:val="2"/>
          </w:tcPr>
          <w:p>
            <w:pPr>
              <w:jc w:val="center"/>
              <w:ind w:right="240"/>
              <w:spacing w:after="0" w:line="138" w:lineRule="exact"/>
              <w:rPr>
                <w:sz w:val="20"/>
                <w:szCs w:val="20"/>
                <w:color w:val="auto"/>
              </w:rPr>
            </w:pPr>
            <w:r>
              <w:rPr>
                <w:rFonts w:ascii="Arial" w:cs="Arial" w:eastAsia="Arial" w:hAnsi="Arial"/>
                <w:sz w:val="13"/>
                <w:szCs w:val="13"/>
                <w:color w:val="auto"/>
                <w:w w:val="91"/>
              </w:rPr>
              <w:t>—</w:t>
            </w:r>
          </w:p>
        </w:tc>
        <w:tc>
          <w:tcPr>
            <w:tcW w:w="1900" w:type="dxa"/>
            <w:vAlign w:val="bottom"/>
            <w:gridSpan w:val="2"/>
          </w:tcPr>
          <w:p>
            <w:pPr>
              <w:jc w:val="center"/>
              <w:ind w:right="140"/>
              <w:spacing w:after="0" w:line="138" w:lineRule="exact"/>
              <w:rPr>
                <w:sz w:val="20"/>
                <w:szCs w:val="20"/>
                <w:color w:val="auto"/>
              </w:rPr>
            </w:pPr>
            <w:r>
              <w:rPr>
                <w:rFonts w:ascii="Arial" w:cs="Arial" w:eastAsia="Arial" w:hAnsi="Arial"/>
                <w:sz w:val="13"/>
                <w:szCs w:val="13"/>
                <w:color w:val="auto"/>
                <w:w w:val="94"/>
              </w:rPr>
              <w:t>Auto Sector</w:t>
            </w:r>
          </w:p>
        </w:tc>
        <w:tc>
          <w:tcPr>
            <w:tcW w:w="90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98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16,800</w:t>
            </w:r>
          </w:p>
        </w:tc>
        <w:tc>
          <w:tcPr>
            <w:tcW w:w="1140" w:type="dxa"/>
            <w:vAlign w:val="bottom"/>
            <w:gridSpan w:val="3"/>
          </w:tcPr>
          <w:p>
            <w:pPr>
              <w:jc w:val="right"/>
              <w:ind w:right="200"/>
              <w:spacing w:after="0" w:line="138" w:lineRule="exact"/>
              <w:rPr>
                <w:sz w:val="20"/>
                <w:szCs w:val="20"/>
                <w:color w:val="auto"/>
              </w:rPr>
            </w:pPr>
            <w:r>
              <w:rPr>
                <w:rFonts w:ascii="Arial" w:cs="Arial" w:eastAsia="Arial" w:hAnsi="Arial"/>
                <w:sz w:val="13"/>
                <w:szCs w:val="13"/>
                <w:color w:val="auto"/>
              </w:rPr>
              <w:t>4,200,000</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4,501,658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800" w:type="dxa"/>
            <w:vAlign w:val="bottom"/>
            <w:gridSpan w:val="2"/>
          </w:tcPr>
          <w:p>
            <w:pPr>
              <w:ind w:left="220"/>
              <w:spacing w:after="0"/>
              <w:rPr>
                <w:sz w:val="20"/>
                <w:szCs w:val="20"/>
                <w:color w:val="auto"/>
              </w:rPr>
            </w:pPr>
            <w:r>
              <w:rPr>
                <w:rFonts w:ascii="Arial" w:cs="Arial" w:eastAsia="Arial" w:hAnsi="Arial"/>
                <w:sz w:val="13"/>
                <w:szCs w:val="13"/>
                <w:color w:val="auto"/>
              </w:rPr>
              <w:t>(Service Champ, Inc.)</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3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38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Common Equity/Partnership Interest</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18,005,844</w:t>
            </w:r>
          </w:p>
        </w:tc>
        <w:tc>
          <w:tcPr>
            <w:tcW w:w="20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25,829,532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680" w:type="dxa"/>
            <w:vAlign w:val="bottom"/>
            <w:gridSpan w:val="4"/>
          </w:tcPr>
          <w:p>
            <w:pPr>
              <w:spacing w:after="0"/>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3"/>
                <w:szCs w:val="13"/>
                <w:color w:val="auto"/>
              </w:rPr>
              <w:t>72,576,858</w:t>
            </w:r>
          </w:p>
        </w:tc>
        <w:tc>
          <w:tcPr>
            <w:tcW w:w="760" w:type="dxa"/>
            <w:vAlign w:val="bottom"/>
          </w:tcPr>
          <w:p>
            <w:pPr>
              <w:jc w:val="right"/>
              <w:spacing w:after="0"/>
              <w:rPr>
                <w:sz w:val="20"/>
                <w:szCs w:val="20"/>
                <w:color w:val="auto"/>
              </w:rPr>
            </w:pPr>
            <w:r>
              <w:rPr>
                <w:rFonts w:ascii="Arial" w:cs="Arial" w:eastAsia="Arial" w:hAnsi="Arial"/>
                <w:sz w:val="13"/>
                <w:szCs w:val="13"/>
                <w:color w:val="auto"/>
              </w:rPr>
              <w:t>80,955,257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80" w:type="dxa"/>
            <w:vAlign w:val="bottom"/>
            <w:gridSpan w:val="6"/>
          </w:tcPr>
          <w:p>
            <w:pPr>
              <w:jc w:val="center"/>
              <w:ind w:right="20"/>
              <w:spacing w:after="0"/>
              <w:rPr>
                <w:sz w:val="20"/>
                <w:szCs w:val="20"/>
                <w:color w:val="auto"/>
              </w:rPr>
            </w:pPr>
            <w:r>
              <w:rPr>
                <w:rFonts w:ascii="Arial" w:cs="Arial" w:eastAsia="Arial" w:hAnsi="Arial"/>
                <w:sz w:val="13"/>
                <w:szCs w:val="13"/>
                <w:color w:val="auto"/>
                <w:w w:val="99"/>
              </w:rPr>
              <w:t>SEE NOTES TO CONSOLIDATED FINANCIAL STATEMENTS</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jc w:val="right"/>
              <w:ind w:right="673"/>
              <w:spacing w:after="0"/>
              <w:rPr>
                <w:sz w:val="20"/>
                <w:szCs w:val="20"/>
                <w:color w:val="auto"/>
              </w:rPr>
            </w:pPr>
            <w:r>
              <w:rPr>
                <w:rFonts w:ascii="Arial" w:cs="Arial" w:eastAsia="Arial" w:hAnsi="Arial"/>
                <w:sz w:val="13"/>
                <w:szCs w:val="13"/>
                <w:color w:val="auto"/>
              </w:rPr>
              <w:t>64</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 (CONTINUED)</w:t>
      </w:r>
    </w:p>
    <w:p>
      <w:pPr>
        <w:jc w:val="center"/>
        <w:spacing w:after="0"/>
        <w:rPr>
          <w:sz w:val="20"/>
          <w:szCs w:val="20"/>
          <w:color w:val="auto"/>
        </w:rPr>
      </w:pPr>
      <w:r>
        <w:rPr>
          <w:rFonts w:ascii="Arial" w:cs="Arial" w:eastAsia="Arial" w:hAnsi="Arial"/>
          <w:sz w:val="13"/>
          <w:szCs w:val="13"/>
          <w:b w:val="1"/>
          <w:bCs w:val="1"/>
          <w:color w:val="auto"/>
        </w:rPr>
        <w:t>SEPTEMBER 30, 2012</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Basis Point</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Spread</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2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900" w:type="dxa"/>
            <w:vAlign w:val="bottom"/>
            <w:vMerge w:val="restart"/>
          </w:tcPr>
          <w:p>
            <w:pPr>
              <w:jc w:val="center"/>
              <w:ind w:left="53"/>
              <w:spacing w:after="0"/>
              <w:rPr>
                <w:sz w:val="20"/>
                <w:szCs w:val="20"/>
                <w:color w:val="auto"/>
              </w:rPr>
            </w:pPr>
            <w:r>
              <w:rPr>
                <w:rFonts w:ascii="Arial" w:cs="Arial" w:eastAsia="Arial" w:hAnsi="Arial"/>
                <w:sz w:val="13"/>
                <w:szCs w:val="13"/>
                <w:b w:val="1"/>
                <w:bCs w:val="1"/>
                <w:color w:val="auto"/>
              </w:rPr>
              <w:t>Maturity</w:t>
            </w: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Industry</w:t>
            </w:r>
          </w:p>
        </w:tc>
        <w:tc>
          <w:tcPr>
            <w:tcW w:w="10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Current</w:t>
            </w: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Above</w:t>
            </w:r>
          </w:p>
        </w:tc>
        <w:tc>
          <w:tcPr>
            <w:tcW w:w="9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Par/</w:t>
            </w:r>
          </w:p>
        </w:tc>
        <w:tc>
          <w:tcPr>
            <w:tcW w:w="60" w:type="dxa"/>
            <w:vAlign w:val="bottom"/>
          </w:tcPr>
          <w:p>
            <w:pPr>
              <w:spacing w:after="0"/>
              <w:rPr>
                <w:sz w:val="14"/>
                <w:szCs w:val="14"/>
                <w:color w:val="auto"/>
              </w:rPr>
            </w:pPr>
          </w:p>
        </w:tc>
        <w:tc>
          <w:tcPr>
            <w:tcW w:w="1100" w:type="dxa"/>
            <w:vAlign w:val="bottom"/>
            <w:gridSpan w:val="2"/>
            <w:vMerge w:val="restart"/>
          </w:tcPr>
          <w:p>
            <w:pPr>
              <w:jc w:val="right"/>
              <w:ind w:right="600"/>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48"/>
        </w:trPr>
        <w:tc>
          <w:tcPr>
            <w:tcW w:w="43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Coupon</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9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 xml:space="preserve">Investments in Controlled, Affiliated Portfolio Companies—5.6% </w:t>
            </w:r>
            <w:r>
              <w:rPr>
                <w:rFonts w:ascii="Arial" w:cs="Arial" w:eastAsia="Arial" w:hAnsi="Arial"/>
                <w:sz w:val="16"/>
                <w:szCs w:val="16"/>
                <w:b w:val="1"/>
                <w:bCs w:val="1"/>
                <w:color w:val="auto"/>
                <w:vertAlign w:val="superscript"/>
              </w:rPr>
              <w:t>(1),(2)</w:t>
            </w:r>
          </w:p>
        </w:tc>
        <w:tc>
          <w:tcPr>
            <w:tcW w:w="9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20"/>
                <w:szCs w:val="20"/>
                <w:color w:val="auto"/>
              </w:rPr>
            </w:pPr>
            <w:r>
              <w:rPr>
                <w:rFonts w:ascii="Arial" w:cs="Arial" w:eastAsia="Arial" w:hAnsi="Arial"/>
                <w:sz w:val="13"/>
                <w:szCs w:val="13"/>
                <w:b w:val="1"/>
                <w:bCs w:val="1"/>
                <w:color w:val="auto"/>
              </w:rPr>
              <w:t>First Lien Secured Debt—1.9%</w:t>
            </w: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900" w:type="dxa"/>
            <w:vAlign w:val="bottom"/>
            <w:shd w:val="clear" w:color="auto" w:fill="CCEEFF"/>
          </w:tcPr>
          <w:p>
            <w:pPr>
              <w:jc w:val="center"/>
              <w:ind w:left="53"/>
              <w:spacing w:after="0"/>
              <w:rPr>
                <w:sz w:val="20"/>
                <w:szCs w:val="20"/>
                <w:color w:val="auto"/>
              </w:rPr>
            </w:pPr>
            <w:r>
              <w:rPr>
                <w:rFonts w:ascii="Arial" w:cs="Arial" w:eastAsia="Arial" w:hAnsi="Arial"/>
                <w:sz w:val="13"/>
                <w:szCs w:val="13"/>
                <w:color w:val="auto"/>
                <w:w w:val="95"/>
              </w:rPr>
              <w:t>06/30/2020</w:t>
            </w: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0"/>
              </w:rPr>
              <w:t>Business Services</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(7)</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10,800,000</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10,800,000</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320" w:type="dxa"/>
            <w:vAlign w:val="bottom"/>
          </w:tcPr>
          <w:p>
            <w:pPr>
              <w:spacing w:after="0" w:line="156" w:lineRule="exact"/>
              <w:rPr>
                <w:sz w:val="20"/>
                <w:szCs w:val="20"/>
                <w:color w:val="auto"/>
              </w:rPr>
            </w:pPr>
            <w:r>
              <w:rPr>
                <w:rFonts w:ascii="Arial" w:cs="Arial" w:eastAsia="Arial" w:hAnsi="Arial"/>
                <w:sz w:val="11"/>
                <w:szCs w:val="11"/>
                <w:color w:val="auto"/>
              </w:rPr>
              <w:t xml:space="preserve">UP Support Services, Inc. </w:t>
            </w:r>
            <w:r>
              <w:rPr>
                <w:rFonts w:ascii="Arial" w:cs="Arial" w:eastAsia="Arial" w:hAnsi="Arial"/>
                <w:sz w:val="18"/>
                <w:szCs w:val="18"/>
                <w:color w:val="auto"/>
                <w:vertAlign w:val="superscript"/>
              </w:rPr>
              <w:t>(9)</w:t>
            </w:r>
          </w:p>
        </w:tc>
        <w:tc>
          <w:tcPr>
            <w:tcW w:w="900" w:type="dxa"/>
            <w:vAlign w:val="bottom"/>
          </w:tcPr>
          <w:p>
            <w:pPr>
              <w:jc w:val="center"/>
              <w:ind w:left="53"/>
              <w:spacing w:after="0"/>
              <w:rPr>
                <w:sz w:val="20"/>
                <w:szCs w:val="20"/>
                <w:color w:val="auto"/>
              </w:rPr>
            </w:pPr>
            <w:r>
              <w:rPr>
                <w:rFonts w:ascii="Arial" w:cs="Arial" w:eastAsia="Arial" w:hAnsi="Arial"/>
                <w:sz w:val="13"/>
                <w:szCs w:val="13"/>
                <w:color w:val="auto"/>
                <w:w w:val="95"/>
              </w:rPr>
              <w:t>12/31/2015</w:t>
            </w:r>
          </w:p>
        </w:tc>
        <w:tc>
          <w:tcPr>
            <w:tcW w:w="120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Oil and Gas</w:t>
            </w:r>
          </w:p>
        </w:tc>
        <w:tc>
          <w:tcPr>
            <w:tcW w:w="102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743,187</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668,632</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743,187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UP Support Services, Inc. </w:t>
            </w:r>
            <w:r>
              <w:rPr>
                <w:rFonts w:ascii="Arial" w:cs="Arial" w:eastAsia="Arial" w:hAnsi="Arial"/>
                <w:sz w:val="17"/>
                <w:szCs w:val="17"/>
                <w:color w:val="auto"/>
                <w:vertAlign w:val="superscript"/>
              </w:rPr>
              <w:t>(9)</w:t>
            </w:r>
          </w:p>
        </w:tc>
        <w:tc>
          <w:tcPr>
            <w:tcW w:w="900" w:type="dxa"/>
            <w:vAlign w:val="bottom"/>
            <w:shd w:val="clear" w:color="auto" w:fill="CCEEFF"/>
          </w:tcPr>
          <w:p>
            <w:pPr>
              <w:jc w:val="center"/>
              <w:ind w:left="53"/>
              <w:spacing w:after="0"/>
              <w:rPr>
                <w:sz w:val="20"/>
                <w:szCs w:val="20"/>
                <w:color w:val="auto"/>
              </w:rPr>
            </w:pPr>
            <w:r>
              <w:rPr>
                <w:rFonts w:ascii="Arial" w:cs="Arial" w:eastAsia="Arial" w:hAnsi="Arial"/>
                <w:sz w:val="13"/>
                <w:szCs w:val="13"/>
                <w:color w:val="auto"/>
                <w:w w:val="95"/>
              </w:rPr>
              <w:t>12/31/2015</w:t>
            </w: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3"/>
              </w:rPr>
              <w:t>Oil and Gas</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1,173,479</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1,068,059</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1,173,479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320" w:type="dxa"/>
            <w:vAlign w:val="bottom"/>
          </w:tcPr>
          <w:p>
            <w:pPr>
              <w:spacing w:after="0"/>
              <w:rPr>
                <w:sz w:val="20"/>
                <w:szCs w:val="20"/>
                <w:color w:val="auto"/>
              </w:rPr>
            </w:pPr>
            <w:r>
              <w:rPr>
                <w:rFonts w:ascii="Arial" w:cs="Arial" w:eastAsia="Arial" w:hAnsi="Arial"/>
                <w:sz w:val="13"/>
                <w:szCs w:val="13"/>
                <w:b w:val="1"/>
                <w:bCs w:val="1"/>
                <w:color w:val="auto"/>
              </w:rPr>
              <w:t>Total First Lien Secured Debt</w:t>
            </w: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12,536,691</w:t>
            </w: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12,716,666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Debt—2.1%</w:t>
            </w:r>
          </w:p>
        </w:tc>
        <w:tc>
          <w:tcPr>
            <w:tcW w:w="9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20" w:type="dxa"/>
            <w:vAlign w:val="bottom"/>
          </w:tcPr>
          <w:p>
            <w:pPr>
              <w:spacing w:after="0" w:line="138" w:lineRule="exact"/>
              <w:rPr>
                <w:sz w:val="20"/>
                <w:szCs w:val="20"/>
                <w:color w:val="auto"/>
              </w:rPr>
            </w:pPr>
            <w:r>
              <w:rPr>
                <w:rFonts w:ascii="Arial" w:cs="Arial" w:eastAsia="Arial" w:hAnsi="Arial"/>
                <w:sz w:val="13"/>
                <w:szCs w:val="13"/>
                <w:color w:val="auto"/>
              </w:rPr>
              <w:t>UP Support Services, Inc.</w:t>
            </w:r>
          </w:p>
        </w:tc>
        <w:tc>
          <w:tcPr>
            <w:tcW w:w="900" w:type="dxa"/>
            <w:vAlign w:val="bottom"/>
          </w:tcPr>
          <w:p>
            <w:pPr>
              <w:jc w:val="center"/>
              <w:ind w:left="53"/>
              <w:spacing w:after="0" w:line="138" w:lineRule="exact"/>
              <w:rPr>
                <w:sz w:val="20"/>
                <w:szCs w:val="20"/>
                <w:color w:val="auto"/>
              </w:rPr>
            </w:pPr>
            <w:r>
              <w:rPr>
                <w:rFonts w:ascii="Arial" w:cs="Arial" w:eastAsia="Arial" w:hAnsi="Arial"/>
                <w:sz w:val="13"/>
                <w:szCs w:val="13"/>
                <w:color w:val="auto"/>
                <w:w w:val="95"/>
              </w:rPr>
              <w:t>12/31/2015</w:t>
            </w:r>
          </w:p>
        </w:tc>
        <w:tc>
          <w:tcPr>
            <w:tcW w:w="1200" w:type="dxa"/>
            <w:vAlign w:val="bottom"/>
            <w:gridSpan w:val="2"/>
          </w:tcPr>
          <w:p>
            <w:pPr>
              <w:jc w:val="center"/>
              <w:ind w:right="80"/>
              <w:spacing w:after="0" w:line="138" w:lineRule="exact"/>
              <w:rPr>
                <w:sz w:val="20"/>
                <w:szCs w:val="20"/>
                <w:color w:val="auto"/>
              </w:rPr>
            </w:pPr>
            <w:r>
              <w:rPr>
                <w:rFonts w:ascii="Arial" w:cs="Arial" w:eastAsia="Arial" w:hAnsi="Arial"/>
                <w:sz w:val="13"/>
                <w:szCs w:val="13"/>
                <w:color w:val="auto"/>
                <w:w w:val="93"/>
              </w:rPr>
              <w:t>Oil and Gas</w:t>
            </w:r>
          </w:p>
        </w:tc>
        <w:tc>
          <w:tcPr>
            <w:tcW w:w="102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15.00%</w:t>
            </w:r>
          </w:p>
        </w:tc>
        <w:tc>
          <w:tcPr>
            <w:tcW w:w="820" w:type="dxa"/>
            <w:vAlign w:val="bottom"/>
            <w:gridSpan w:val="2"/>
          </w:tcPr>
          <w:p>
            <w:pPr>
              <w:ind w:left="46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w w:val="95"/>
              </w:rPr>
              <w:t>14,300,282</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2"/>
          </w:tcPr>
          <w:p>
            <w:pPr>
              <w:jc w:val="right"/>
              <w:ind w:right="320"/>
              <w:spacing w:after="0" w:line="138" w:lineRule="exact"/>
              <w:rPr>
                <w:sz w:val="20"/>
                <w:szCs w:val="20"/>
                <w:color w:val="auto"/>
              </w:rPr>
            </w:pPr>
            <w:r>
              <w:rPr>
                <w:rFonts w:ascii="Arial" w:cs="Arial" w:eastAsia="Arial" w:hAnsi="Arial"/>
                <w:sz w:val="13"/>
                <w:szCs w:val="13"/>
                <w:color w:val="auto"/>
              </w:rPr>
              <w:t>11,809,647</w:t>
            </w:r>
          </w:p>
        </w:tc>
        <w:tc>
          <w:tcPr>
            <w:tcW w:w="6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3"/>
                <w:szCs w:val="13"/>
                <w:color w:val="auto"/>
              </w:rPr>
              <w:t>14,300,282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(PIK 15.00)%</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Subordinated Debt/Corporate Notes—0.3%</w:t>
            </w:r>
          </w:p>
        </w:tc>
        <w:tc>
          <w:tcPr>
            <w:tcW w:w="9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20"/>
                <w:szCs w:val="20"/>
                <w:color w:val="auto"/>
              </w:rPr>
            </w:pPr>
            <w:r>
              <w:rPr>
                <w:rFonts w:ascii="Arial" w:cs="Arial" w:eastAsia="Arial" w:hAnsi="Arial"/>
                <w:sz w:val="13"/>
                <w:szCs w:val="13"/>
                <w:color w:val="auto"/>
              </w:rPr>
              <w:t>SuttonPark Holdings, Inc.</w:t>
            </w:r>
          </w:p>
        </w:tc>
        <w:tc>
          <w:tcPr>
            <w:tcW w:w="900" w:type="dxa"/>
            <w:vAlign w:val="bottom"/>
          </w:tcPr>
          <w:p>
            <w:pPr>
              <w:jc w:val="center"/>
              <w:ind w:left="53"/>
              <w:spacing w:after="0"/>
              <w:rPr>
                <w:sz w:val="20"/>
                <w:szCs w:val="20"/>
                <w:color w:val="auto"/>
              </w:rPr>
            </w:pPr>
            <w:r>
              <w:rPr>
                <w:rFonts w:ascii="Arial" w:cs="Arial" w:eastAsia="Arial" w:hAnsi="Arial"/>
                <w:sz w:val="13"/>
                <w:szCs w:val="13"/>
                <w:color w:val="auto"/>
                <w:w w:val="95"/>
              </w:rPr>
              <w:t>06/30/2020</w:t>
            </w:r>
          </w:p>
        </w:tc>
        <w:tc>
          <w:tcPr>
            <w:tcW w:w="120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Business Services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(7)</w:t>
            </w: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2,700,000</w:t>
            </w:r>
          </w:p>
        </w:tc>
        <w:tc>
          <w:tcPr>
            <w:tcW w:w="3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2,700,000</w:t>
            </w:r>
          </w:p>
        </w:tc>
        <w:tc>
          <w:tcPr>
            <w:tcW w:w="3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2,158,053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43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Equity—1.3%</w:t>
            </w:r>
            <w:r>
              <w:rPr>
                <w:rFonts w:ascii="Arial" w:cs="Arial" w:eastAsia="Arial" w:hAnsi="Arial"/>
                <w:sz w:val="17"/>
                <w:szCs w:val="17"/>
                <w:b w:val="1"/>
                <w:bCs w:val="1"/>
                <w:color w:val="auto"/>
                <w:vertAlign w:val="superscript"/>
              </w:rPr>
              <w:t>(6)</w:t>
            </w:r>
          </w:p>
        </w:tc>
        <w:tc>
          <w:tcPr>
            <w:tcW w:w="9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20"/>
                <w:szCs w:val="20"/>
                <w:color w:val="auto"/>
              </w:rPr>
            </w:pPr>
            <w:r>
              <w:rPr>
                <w:rFonts w:ascii="Arial" w:cs="Arial" w:eastAsia="Arial" w:hAnsi="Arial"/>
                <w:sz w:val="13"/>
                <w:szCs w:val="13"/>
                <w:color w:val="auto"/>
              </w:rPr>
              <w:t>SuttonPark Holdings, Inc.</w:t>
            </w:r>
          </w:p>
        </w:tc>
        <w:tc>
          <w:tcPr>
            <w:tcW w:w="900" w:type="dxa"/>
            <w:vAlign w:val="bottom"/>
          </w:tcPr>
          <w:p>
            <w:pPr>
              <w:ind w:left="40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Business Services</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14.00%</w:t>
            </w: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216,947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Universal Pegasus International Holdings, Inc.</w:t>
            </w:r>
          </w:p>
        </w:tc>
        <w:tc>
          <w:tcPr>
            <w:tcW w:w="9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93"/>
              </w:rPr>
              <w:t>Oil and Gas</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8.00%</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411,988</w:t>
            </w: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35,120,613</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8,239,760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20"/>
                <w:szCs w:val="20"/>
                <w:color w:val="auto"/>
              </w:rPr>
            </w:pPr>
            <w:r>
              <w:rPr>
                <w:rFonts w:ascii="Arial" w:cs="Arial" w:eastAsia="Arial" w:hAnsi="Arial"/>
                <w:sz w:val="13"/>
                <w:szCs w:val="13"/>
                <w:b w:val="1"/>
                <w:bCs w:val="1"/>
                <w:color w:val="auto"/>
              </w:rPr>
              <w:t>Total Preferred Equity</w:t>
            </w: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37,120,613</w:t>
            </w: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8,456,707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7"/>
                <w:szCs w:val="17"/>
                <w:b w:val="1"/>
                <w:bCs w:val="1"/>
                <w:color w:val="auto"/>
                <w:vertAlign w:val="superscript"/>
              </w:rPr>
              <w:t>(6)</w:t>
            </w:r>
          </w:p>
        </w:tc>
        <w:tc>
          <w:tcPr>
            <w:tcW w:w="9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3"/>
                <w:szCs w:val="13"/>
                <w:color w:val="auto"/>
              </w:rPr>
              <w:t>SuttonPark Holdings, Inc.</w:t>
            </w:r>
          </w:p>
        </w:tc>
        <w:tc>
          <w:tcPr>
            <w:tcW w:w="900" w:type="dxa"/>
            <w:vAlign w:val="bottom"/>
          </w:tcPr>
          <w:p>
            <w:pPr>
              <w:ind w:left="40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Business Services</w:t>
            </w:r>
          </w:p>
        </w:tc>
        <w:tc>
          <w:tcPr>
            <w:tcW w:w="102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8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100</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Investments in Controlled, Affiliated Portfolio Companies</w:t>
            </w:r>
          </w:p>
        </w:tc>
        <w:tc>
          <w:tcPr>
            <w:tcW w:w="9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64,167,051</w:t>
            </w: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37,631,708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320" w:type="dxa"/>
            <w:vAlign w:val="bottom"/>
          </w:tcPr>
          <w:p>
            <w:pPr>
              <w:spacing w:after="0"/>
              <w:rPr>
                <w:sz w:val="20"/>
                <w:szCs w:val="20"/>
                <w:color w:val="auto"/>
              </w:rPr>
            </w:pPr>
            <w:r>
              <w:rPr>
                <w:rFonts w:ascii="Arial" w:cs="Arial" w:eastAsia="Arial" w:hAnsi="Arial"/>
                <w:sz w:val="13"/>
                <w:szCs w:val="13"/>
                <w:b w:val="1"/>
                <w:bCs w:val="1"/>
                <w:color w:val="auto"/>
              </w:rPr>
              <w:t>Total Investments—147.9%</w:t>
            </w: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3"/>
                <w:szCs w:val="13"/>
                <w:color w:val="auto"/>
                <w:w w:val="91"/>
              </w:rPr>
              <w:t>1,008,611,862</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96"/>
              </w:rPr>
              <w:t>990,479,710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4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Equivalents—1.1%</w:t>
            </w:r>
          </w:p>
        </w:tc>
        <w:tc>
          <w:tcPr>
            <w:tcW w:w="9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7,559,453</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7,559,453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320" w:type="dxa"/>
            <w:vAlign w:val="bottom"/>
          </w:tcPr>
          <w:p>
            <w:pPr>
              <w:spacing w:after="0"/>
              <w:rPr>
                <w:sz w:val="20"/>
                <w:szCs w:val="20"/>
                <w:color w:val="auto"/>
              </w:rPr>
            </w:pPr>
            <w:r>
              <w:rPr>
                <w:rFonts w:ascii="Arial" w:cs="Arial" w:eastAsia="Arial" w:hAnsi="Arial"/>
                <w:sz w:val="13"/>
                <w:szCs w:val="13"/>
                <w:b w:val="1"/>
                <w:bCs w:val="1"/>
                <w:color w:val="auto"/>
              </w:rPr>
              <w:t>Total Investments and Cash Equivalents—149.0%</w:t>
            </w: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1,016,171,315</w:t>
            </w:r>
          </w:p>
        </w:tc>
        <w:tc>
          <w:tcPr>
            <w:tcW w:w="32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998,039,163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 in Excess of Other Assets—(49.0%)</w:t>
            </w:r>
          </w:p>
        </w:tc>
        <w:tc>
          <w:tcPr>
            <w:tcW w:w="9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1"/>
              </w:rPr>
              <w:t>(328,322,116)</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20"/>
                <w:szCs w:val="20"/>
                <w:color w:val="auto"/>
              </w:rPr>
            </w:pPr>
            <w:r>
              <w:rPr>
                <w:rFonts w:ascii="Arial" w:cs="Arial" w:eastAsia="Arial" w:hAnsi="Arial"/>
                <w:sz w:val="13"/>
                <w:szCs w:val="13"/>
                <w:b w:val="1"/>
                <w:bCs w:val="1"/>
                <w:color w:val="auto"/>
              </w:rPr>
              <w:t>Net Assets—100.0%</w:t>
            </w:r>
          </w:p>
        </w:tc>
        <w:tc>
          <w:tcPr>
            <w:tcW w:w="9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669,717,047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23571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31" w:lineRule="exact"/>
        <w:rPr>
          <w:sz w:val="20"/>
          <w:szCs w:val="20"/>
          <w:color w:val="auto"/>
        </w:rPr>
      </w:pPr>
    </w:p>
    <w:p>
      <w:pPr>
        <w:ind w:left="460" w:right="420" w:hanging="452"/>
        <w:spacing w:after="0" w:line="268" w:lineRule="auto"/>
        <w:tabs>
          <w:tab w:leader="none" w:pos="46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460" w:right="180" w:hanging="452"/>
        <w:spacing w:after="0" w:line="238" w:lineRule="auto"/>
        <w:tabs>
          <w:tab w:leader="none" w:pos="4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460" w:hanging="452"/>
        <w:spacing w:after="0"/>
        <w:tabs>
          <w:tab w:leader="none" w:pos="4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460" w:hanging="452"/>
        <w:spacing w:after="0"/>
        <w:tabs>
          <w:tab w:leader="none" w:pos="4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(“L”) or Prime (“P”) rate.</w:t>
      </w:r>
    </w:p>
    <w:p>
      <w:pPr>
        <w:ind w:left="460" w:right="460" w:hanging="452"/>
        <w:spacing w:after="0" w:line="238" w:lineRule="auto"/>
        <w:tabs>
          <w:tab w:leader="none" w:pos="4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ind w:left="460" w:hanging="452"/>
        <w:spacing w:after="0"/>
        <w:tabs>
          <w:tab w:leader="none" w:pos="4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460" w:hanging="452"/>
        <w:spacing w:after="0"/>
        <w:tabs>
          <w:tab w:leader="none" w:pos="4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Coupon is payable in cash and/or in-kind, or PIK.</w:t>
      </w:r>
    </w:p>
    <w:p>
      <w:pPr>
        <w:ind w:left="460" w:hanging="452"/>
        <w:spacing w:after="0"/>
        <w:tabs>
          <w:tab w:leader="none" w:pos="4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Coupon is subject to a LIBOR or Prime rate floor.</w:t>
      </w:r>
    </w:p>
    <w:p>
      <w:pPr>
        <w:ind w:left="460" w:hanging="452"/>
        <w:spacing w:after="0"/>
        <w:tabs>
          <w:tab w:leader="none" w:pos="4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investments). This security does not have a basis point spread above an index.</w:t>
      </w:r>
    </w:p>
    <w:p>
      <w:pPr>
        <w:ind w:left="460" w:hanging="452"/>
        <w:spacing w:after="0"/>
        <w:tabs>
          <w:tab w:leader="none" w:pos="4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U.S.</w:t>
      </w:r>
    </w:p>
    <w:p>
      <w:pPr>
        <w:ind w:left="460" w:hanging="452"/>
        <w:spacing w:after="0"/>
        <w:tabs>
          <w:tab w:leader="none" w:pos="4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Investment is held through PNNT CI (Galls) Prime Investment Holdings, LLC, a consolidated subsidiary.</w:t>
      </w:r>
    </w:p>
    <w:p>
      <w:pPr>
        <w:ind w:left="460" w:hanging="452"/>
        <w:spacing w:after="0"/>
        <w:tabs>
          <w:tab w:leader="none" w:pos="4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Investment is held through PNNT Acentia LLC, a consolidated subsidiary.</w:t>
      </w:r>
    </w:p>
    <w:p>
      <w:pPr>
        <w:ind w:left="460" w:hanging="452"/>
        <w:spacing w:after="0"/>
        <w:tabs>
          <w:tab w:leader="none" w:pos="4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Investment is held through PNNT Transportation 100 Holdco, LLC, a consolidated subsidiary.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ectPr>
          <w:pgSz w:w="11900" w:h="16838" w:orient="portrait"/>
          <w:cols w:equalWidth="0" w:num="1">
            <w:col w:w="11240"/>
          </w:cols>
          <w:pgMar w:left="32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INVESTMENT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w:t>
      </w:r>
    </w:p>
    <w:p>
      <w:pPr>
        <w:jc w:val="center"/>
        <w:spacing w:after="0"/>
        <w:rPr>
          <w:sz w:val="20"/>
          <w:szCs w:val="20"/>
          <w:color w:val="auto"/>
        </w:rPr>
      </w:pPr>
      <w:r>
        <w:rPr>
          <w:rFonts w:ascii="Arial" w:cs="Arial" w:eastAsia="Arial" w:hAnsi="Arial"/>
          <w:sz w:val="13"/>
          <w:szCs w:val="13"/>
          <w:b w:val="1"/>
          <w:bCs w:val="1"/>
          <w:color w:val="auto"/>
        </w:rPr>
        <w:t>SEPTEMBER 30, 2011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w w:val="87"/>
              </w:rPr>
              <w:t>Basis Point</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5"/>
              </w:rPr>
              <w:t>Spread</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2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700" w:type="dxa"/>
            <w:vAlign w:val="bottom"/>
            <w:vMerge w:val="restart"/>
          </w:tcPr>
          <w:p>
            <w:pPr>
              <w:jc w:val="center"/>
              <w:ind w:left="913"/>
              <w:spacing w:after="0"/>
              <w:rPr>
                <w:sz w:val="20"/>
                <w:szCs w:val="20"/>
                <w:color w:val="auto"/>
              </w:rPr>
            </w:pPr>
            <w:r>
              <w:rPr>
                <w:rFonts w:ascii="Arial" w:cs="Arial" w:eastAsia="Arial" w:hAnsi="Arial"/>
                <w:sz w:val="13"/>
                <w:szCs w:val="13"/>
                <w:b w:val="1"/>
                <w:bCs w:val="1"/>
                <w:color w:val="auto"/>
              </w:rPr>
              <w:t>Maturity</w:t>
            </w:r>
          </w:p>
        </w:tc>
        <w:tc>
          <w:tcPr>
            <w:tcW w:w="1580" w:type="dxa"/>
            <w:vAlign w:val="bottom"/>
            <w:gridSpan w:val="2"/>
            <w:vMerge w:val="restart"/>
          </w:tcPr>
          <w:p>
            <w:pPr>
              <w:jc w:val="center"/>
              <w:ind w:right="40"/>
              <w:spacing w:after="0"/>
              <w:rPr>
                <w:sz w:val="20"/>
                <w:szCs w:val="20"/>
                <w:color w:val="auto"/>
              </w:rPr>
            </w:pPr>
            <w:r>
              <w:rPr>
                <w:rFonts w:ascii="Arial" w:cs="Arial" w:eastAsia="Arial" w:hAnsi="Arial"/>
                <w:sz w:val="13"/>
                <w:szCs w:val="13"/>
                <w:b w:val="1"/>
                <w:bCs w:val="1"/>
                <w:color w:val="auto"/>
                <w:w w:val="97"/>
              </w:rPr>
              <w:t>Industry</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3"/>
              </w:rPr>
              <w:t>Current</w:t>
            </w:r>
          </w:p>
        </w:tc>
        <w:tc>
          <w:tcPr>
            <w:tcW w:w="2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0"/>
              </w:rPr>
              <w:t>Above</w:t>
            </w:r>
          </w:p>
        </w:tc>
        <w:tc>
          <w:tcPr>
            <w:tcW w:w="3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Par/</w:t>
            </w:r>
          </w:p>
        </w:tc>
        <w:tc>
          <w:tcPr>
            <w:tcW w:w="80" w:type="dxa"/>
            <w:vAlign w:val="bottom"/>
          </w:tcPr>
          <w:p>
            <w:pPr>
              <w:spacing w:after="0"/>
              <w:rPr>
                <w:sz w:val="14"/>
                <w:szCs w:val="14"/>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362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9"/>
              </w:rPr>
              <w:t>Coupon</w:t>
            </w:r>
          </w:p>
        </w:tc>
        <w:tc>
          <w:tcPr>
            <w:tcW w:w="2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30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6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0"/>
                <w:szCs w:val="10"/>
                <w:b w:val="1"/>
                <w:bCs w:val="1"/>
                <w:color w:val="auto"/>
              </w:rPr>
              <w:t>Investments in Non-Controlled, Non-Affiliated Portfolio Companies—167.2%</w:t>
            </w:r>
            <w:r>
              <w:rPr>
                <w:rFonts w:ascii="Arial" w:cs="Arial" w:eastAsia="Arial" w:hAnsi="Arial"/>
                <w:sz w:val="16"/>
                <w:szCs w:val="16"/>
                <w:b w:val="1"/>
                <w:bCs w:val="1"/>
                <w:color w:val="auto"/>
                <w:vertAlign w:val="superscript"/>
              </w:rPr>
              <w:t>(1),(2)</w:t>
            </w:r>
          </w:p>
        </w:tc>
        <w:tc>
          <w:tcPr>
            <w:tcW w:w="1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3"/>
                <w:szCs w:val="13"/>
                <w:b w:val="1"/>
                <w:bCs w:val="1"/>
                <w:color w:val="auto"/>
              </w:rPr>
              <w:t>First Lien Secured Debt—60.6%</w:t>
            </w:r>
          </w:p>
        </w:tc>
        <w:tc>
          <w:tcPr>
            <w:tcW w:w="1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auto"/>
                <w:w w:val="74"/>
              </w:rPr>
              <w:t>(8)</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20" w:type="dxa"/>
            <w:vAlign w:val="bottom"/>
          </w:tcPr>
          <w:p>
            <w:pPr>
              <w:spacing w:after="0" w:line="138" w:lineRule="exact"/>
              <w:rPr>
                <w:sz w:val="20"/>
                <w:szCs w:val="20"/>
                <w:color w:val="auto"/>
              </w:rPr>
            </w:pPr>
            <w:r>
              <w:rPr>
                <w:rFonts w:ascii="Arial" w:cs="Arial" w:eastAsia="Arial" w:hAnsi="Arial"/>
                <w:sz w:val="13"/>
                <w:szCs w:val="13"/>
                <w:color w:val="auto"/>
              </w:rPr>
              <w:t>American Surgical Holdings, Inc.</w:t>
            </w:r>
          </w:p>
        </w:tc>
        <w:tc>
          <w:tcPr>
            <w:tcW w:w="1700" w:type="dxa"/>
            <w:vAlign w:val="bottom"/>
          </w:tcPr>
          <w:p>
            <w:pPr>
              <w:jc w:val="center"/>
              <w:ind w:left="933"/>
              <w:spacing w:after="0" w:line="138" w:lineRule="exact"/>
              <w:rPr>
                <w:sz w:val="20"/>
                <w:szCs w:val="20"/>
                <w:color w:val="auto"/>
              </w:rPr>
            </w:pPr>
            <w:r>
              <w:rPr>
                <w:rFonts w:ascii="Arial" w:cs="Arial" w:eastAsia="Arial" w:hAnsi="Arial"/>
                <w:sz w:val="13"/>
                <w:szCs w:val="13"/>
                <w:color w:val="auto"/>
                <w:w w:val="95"/>
              </w:rPr>
              <w:t>03/23/2015</w:t>
            </w:r>
          </w:p>
        </w:tc>
        <w:tc>
          <w:tcPr>
            <w:tcW w:w="158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3"/>
              </w:rPr>
              <w:t>Healthcare,</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14.00%</w:t>
            </w:r>
          </w:p>
        </w:tc>
        <w:tc>
          <w:tcPr>
            <w:tcW w:w="28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L+1,000</w:t>
            </w:r>
          </w:p>
        </w:tc>
        <w:tc>
          <w:tcPr>
            <w:tcW w:w="300" w:type="dxa"/>
            <w:vAlign w:val="bottom"/>
            <w:vMerge w:val="continue"/>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w w:val="95"/>
              </w:rPr>
              <w:t>20,300,000</w:t>
            </w:r>
          </w:p>
        </w:tc>
        <w:tc>
          <w:tcPr>
            <w:tcW w:w="80" w:type="dxa"/>
            <w:vAlign w:val="bottom"/>
          </w:tcPr>
          <w:p>
            <w:pPr>
              <w:spacing w:after="0"/>
              <w:rPr>
                <w:sz w:val="11"/>
                <w:szCs w:val="11"/>
                <w:color w:val="auto"/>
              </w:rPr>
            </w:pPr>
          </w:p>
        </w:tc>
        <w:tc>
          <w:tcPr>
            <w:tcW w:w="98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$ 19,748,930</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w w:val="97"/>
              </w:rPr>
              <w:t>$ 20,300,000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3"/>
              </w:rPr>
              <w:t>Education and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3"/>
                <w:szCs w:val="13"/>
                <w:color w:val="auto"/>
                <w:w w:val="94"/>
              </w:rPr>
              <w:t>Childcare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20" w:type="dxa"/>
            <w:vAlign w:val="bottom"/>
          </w:tcPr>
          <w:p>
            <w:pPr>
              <w:spacing w:after="0" w:line="190" w:lineRule="exact"/>
              <w:rPr>
                <w:sz w:val="20"/>
                <w:szCs w:val="20"/>
                <w:color w:val="auto"/>
              </w:rPr>
            </w:pPr>
            <w:r>
              <w:rPr>
                <w:rFonts w:ascii="Arial" w:cs="Arial" w:eastAsia="Arial" w:hAnsi="Arial"/>
                <w:sz w:val="13"/>
                <w:szCs w:val="13"/>
                <w:color w:val="auto"/>
              </w:rPr>
              <w:t xml:space="preserve">CEVA Group PLC </w:t>
            </w:r>
            <w:r>
              <w:rPr>
                <w:rFonts w:ascii="Arial" w:cs="Arial" w:eastAsia="Arial" w:hAnsi="Arial"/>
                <w:sz w:val="21"/>
                <w:szCs w:val="21"/>
                <w:color w:val="auto"/>
                <w:vertAlign w:val="superscript"/>
              </w:rPr>
              <w:t>(5), (10)</w:t>
            </w:r>
          </w:p>
        </w:tc>
        <w:tc>
          <w:tcPr>
            <w:tcW w:w="1700" w:type="dxa"/>
            <w:vAlign w:val="bottom"/>
          </w:tcPr>
          <w:p>
            <w:pPr>
              <w:jc w:val="center"/>
              <w:ind w:left="933"/>
              <w:spacing w:after="0"/>
              <w:rPr>
                <w:sz w:val="20"/>
                <w:szCs w:val="20"/>
                <w:color w:val="auto"/>
              </w:rPr>
            </w:pPr>
            <w:r>
              <w:rPr>
                <w:rFonts w:ascii="Arial" w:cs="Arial" w:eastAsia="Arial" w:hAnsi="Arial"/>
                <w:sz w:val="13"/>
                <w:szCs w:val="13"/>
                <w:color w:val="auto"/>
                <w:w w:val="95"/>
              </w:rPr>
              <w:t>10/01/2016</w:t>
            </w: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Logistics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11.63%</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7,500,000</w:t>
            </w:r>
          </w:p>
        </w:tc>
        <w:tc>
          <w:tcPr>
            <w:tcW w:w="8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7,328,729</w:t>
            </w:r>
          </w:p>
        </w:tc>
        <w:tc>
          <w:tcPr>
            <w:tcW w:w="760" w:type="dxa"/>
            <w:vAlign w:val="bottom"/>
          </w:tcPr>
          <w:p>
            <w:pPr>
              <w:jc w:val="right"/>
              <w:spacing w:after="0"/>
              <w:rPr>
                <w:sz w:val="20"/>
                <w:szCs w:val="20"/>
                <w:color w:val="auto"/>
              </w:rPr>
            </w:pPr>
            <w:r>
              <w:rPr>
                <w:rFonts w:ascii="Arial" w:cs="Arial" w:eastAsia="Arial" w:hAnsi="Arial"/>
                <w:sz w:val="13"/>
                <w:szCs w:val="13"/>
                <w:color w:val="auto"/>
              </w:rPr>
              <w:t>7,331,250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line="176" w:lineRule="exact"/>
              <w:rPr>
                <w:sz w:val="20"/>
                <w:szCs w:val="20"/>
                <w:color w:val="auto"/>
              </w:rPr>
            </w:pPr>
            <w:r>
              <w:rPr>
                <w:rFonts w:ascii="Arial" w:cs="Arial" w:eastAsia="Arial" w:hAnsi="Arial"/>
                <w:sz w:val="12"/>
                <w:szCs w:val="12"/>
                <w:color w:val="auto"/>
              </w:rPr>
              <w:t xml:space="preserve">CEVA Group PLC </w:t>
            </w:r>
            <w:r>
              <w:rPr>
                <w:rFonts w:ascii="Arial" w:cs="Arial" w:eastAsia="Arial" w:hAnsi="Arial"/>
                <w:sz w:val="20"/>
                <w:szCs w:val="20"/>
                <w:color w:val="auto"/>
                <w:vertAlign w:val="superscript"/>
              </w:rPr>
              <w:t>(5), (10)</w:t>
            </w:r>
          </w:p>
        </w:tc>
        <w:tc>
          <w:tcPr>
            <w:tcW w:w="1700" w:type="dxa"/>
            <w:vAlign w:val="bottom"/>
          </w:tcPr>
          <w:p>
            <w:pPr>
              <w:jc w:val="center"/>
              <w:ind w:left="933"/>
              <w:spacing w:after="0"/>
              <w:rPr>
                <w:sz w:val="20"/>
                <w:szCs w:val="20"/>
                <w:color w:val="auto"/>
              </w:rPr>
            </w:pPr>
            <w:r>
              <w:rPr>
                <w:rFonts w:ascii="Arial" w:cs="Arial" w:eastAsia="Arial" w:hAnsi="Arial"/>
                <w:sz w:val="13"/>
                <w:szCs w:val="13"/>
                <w:color w:val="auto"/>
                <w:w w:val="95"/>
              </w:rPr>
              <w:t>04/01/2018</w:t>
            </w: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8"/>
              </w:rPr>
              <w:t>Logistics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11.50%</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auto"/>
                <w:w w:val="74"/>
              </w:rPr>
              <w:t>(8)</w:t>
            </w:r>
          </w:p>
        </w:tc>
        <w:tc>
          <w:tcPr>
            <w:tcW w:w="640" w:type="dxa"/>
            <w:vAlign w:val="bottom"/>
          </w:tcPr>
          <w:p>
            <w:pPr>
              <w:jc w:val="right"/>
              <w:spacing w:after="0"/>
              <w:rPr>
                <w:sz w:val="20"/>
                <w:szCs w:val="20"/>
                <w:color w:val="auto"/>
              </w:rPr>
            </w:pPr>
            <w:r>
              <w:rPr>
                <w:rFonts w:ascii="Arial" w:cs="Arial" w:eastAsia="Arial" w:hAnsi="Arial"/>
                <w:sz w:val="13"/>
                <w:szCs w:val="13"/>
                <w:color w:val="auto"/>
              </w:rPr>
              <w:t>1,000,000</w:t>
            </w:r>
          </w:p>
        </w:tc>
        <w:tc>
          <w:tcPr>
            <w:tcW w:w="8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988,872</w:t>
            </w:r>
          </w:p>
        </w:tc>
        <w:tc>
          <w:tcPr>
            <w:tcW w:w="760" w:type="dxa"/>
            <w:vAlign w:val="bottom"/>
          </w:tcPr>
          <w:p>
            <w:pPr>
              <w:jc w:val="right"/>
              <w:spacing w:after="0"/>
              <w:rPr>
                <w:sz w:val="20"/>
                <w:szCs w:val="20"/>
                <w:color w:val="auto"/>
              </w:rPr>
            </w:pPr>
            <w:r>
              <w:rPr>
                <w:rFonts w:ascii="Arial" w:cs="Arial" w:eastAsia="Arial" w:hAnsi="Arial"/>
                <w:sz w:val="13"/>
                <w:szCs w:val="13"/>
                <w:color w:val="auto"/>
              </w:rPr>
              <w:t>920,000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620" w:type="dxa"/>
            <w:vAlign w:val="bottom"/>
          </w:tcPr>
          <w:p>
            <w:pPr>
              <w:spacing w:after="0" w:line="138" w:lineRule="exact"/>
              <w:rPr>
                <w:sz w:val="20"/>
                <w:szCs w:val="20"/>
                <w:color w:val="auto"/>
              </w:rPr>
            </w:pPr>
            <w:r>
              <w:rPr>
                <w:rFonts w:ascii="Arial" w:cs="Arial" w:eastAsia="Arial" w:hAnsi="Arial"/>
                <w:sz w:val="13"/>
                <w:szCs w:val="13"/>
                <w:color w:val="auto"/>
              </w:rPr>
              <w:t>Chester Downs and Marina, LLC</w:t>
            </w:r>
          </w:p>
        </w:tc>
        <w:tc>
          <w:tcPr>
            <w:tcW w:w="1700" w:type="dxa"/>
            <w:vAlign w:val="bottom"/>
          </w:tcPr>
          <w:p>
            <w:pPr>
              <w:jc w:val="center"/>
              <w:ind w:left="933"/>
              <w:spacing w:after="0" w:line="138" w:lineRule="exact"/>
              <w:rPr>
                <w:sz w:val="20"/>
                <w:szCs w:val="20"/>
                <w:color w:val="auto"/>
              </w:rPr>
            </w:pPr>
            <w:r>
              <w:rPr>
                <w:rFonts w:ascii="Arial" w:cs="Arial" w:eastAsia="Arial" w:hAnsi="Arial"/>
                <w:sz w:val="13"/>
                <w:szCs w:val="13"/>
                <w:color w:val="auto"/>
                <w:w w:val="95"/>
              </w:rPr>
              <w:t>07/29/2016</w:t>
            </w:r>
          </w:p>
        </w:tc>
        <w:tc>
          <w:tcPr>
            <w:tcW w:w="158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6"/>
              </w:rPr>
              <w:t>Hotels, Motels, Inns</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12.38%</w:t>
            </w:r>
          </w:p>
        </w:tc>
        <w:tc>
          <w:tcPr>
            <w:tcW w:w="28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L+988</w:t>
            </w:r>
          </w:p>
        </w:tc>
        <w:tc>
          <w:tcPr>
            <w:tcW w:w="300" w:type="dxa"/>
            <w:vAlign w:val="bottom"/>
            <w:vMerge w:val="continue"/>
          </w:tcPr>
          <w:p>
            <w:pPr>
              <w:spacing w:after="0"/>
              <w:rPr>
                <w:sz w:val="11"/>
                <w:szCs w:val="11"/>
                <w:color w:val="auto"/>
              </w:rPr>
            </w:pP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w w:val="95"/>
              </w:rPr>
              <w:t>11,358,254</w:t>
            </w:r>
          </w:p>
        </w:tc>
        <w:tc>
          <w:tcPr>
            <w:tcW w:w="98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11,024,166</w:t>
            </w:r>
          </w:p>
        </w:tc>
        <w:tc>
          <w:tcPr>
            <w:tcW w:w="82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11,310,924</w:t>
            </w:r>
          </w:p>
        </w:tc>
        <w:tc>
          <w:tcPr>
            <w:tcW w:w="0" w:type="dxa"/>
            <w:vAlign w:val="bottom"/>
          </w:tcPr>
          <w:p>
            <w:pPr>
              <w:spacing w:after="0"/>
              <w:rPr>
                <w:sz w:val="1"/>
                <w:szCs w:val="1"/>
                <w:color w:val="auto"/>
              </w:rPr>
            </w:pPr>
          </w:p>
        </w:tc>
      </w:tr>
      <w:tr>
        <w:trPr>
          <w:trHeight w:val="159"/>
        </w:trPr>
        <w:tc>
          <w:tcPr>
            <w:tcW w:w="3620" w:type="dxa"/>
            <w:vAlign w:val="bottom"/>
            <w:vMerge w:val="restart"/>
          </w:tcPr>
          <w:p>
            <w:pPr>
              <w:spacing w:after="0"/>
              <w:rPr>
                <w:sz w:val="20"/>
                <w:szCs w:val="20"/>
                <w:color w:val="auto"/>
              </w:rPr>
            </w:pPr>
            <w:r>
              <w:rPr>
                <w:rFonts w:ascii="Arial" w:cs="Arial" w:eastAsia="Arial" w:hAnsi="Arial"/>
                <w:sz w:val="13"/>
                <w:szCs w:val="13"/>
                <w:color w:val="auto"/>
              </w:rPr>
              <w:t>Columbus International, Inc.</w:t>
            </w:r>
            <w:r>
              <w:rPr>
                <w:rFonts w:ascii="Arial" w:cs="Arial" w:eastAsia="Arial" w:hAnsi="Arial"/>
                <w:sz w:val="22"/>
                <w:szCs w:val="22"/>
                <w:color w:val="auto"/>
                <w:vertAlign w:val="superscript"/>
              </w:rPr>
              <w:t>(5), (10)</w:t>
            </w:r>
          </w:p>
        </w:tc>
        <w:tc>
          <w:tcPr>
            <w:tcW w:w="1700" w:type="dxa"/>
            <w:vAlign w:val="bottom"/>
          </w:tcPr>
          <w:p>
            <w:pPr>
              <w:spacing w:after="0"/>
              <w:rPr>
                <w:sz w:val="13"/>
                <w:szCs w:val="13"/>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3"/>
              </w:rPr>
              <w:t>and Gaming</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620" w:type="dxa"/>
            <w:vAlign w:val="bottom"/>
            <w:vMerge w:val="continue"/>
          </w:tcPr>
          <w:p>
            <w:pPr>
              <w:spacing w:after="0"/>
              <w:rPr>
                <w:sz w:val="10"/>
                <w:szCs w:val="10"/>
                <w:color w:val="auto"/>
              </w:rPr>
            </w:pPr>
          </w:p>
        </w:tc>
        <w:tc>
          <w:tcPr>
            <w:tcW w:w="1700" w:type="dxa"/>
            <w:vAlign w:val="bottom"/>
          </w:tcPr>
          <w:p>
            <w:pPr>
              <w:jc w:val="center"/>
              <w:ind w:left="913"/>
              <w:spacing w:after="0" w:line="122" w:lineRule="exact"/>
              <w:rPr>
                <w:sz w:val="20"/>
                <w:szCs w:val="20"/>
                <w:color w:val="auto"/>
              </w:rPr>
            </w:pPr>
            <w:r>
              <w:rPr>
                <w:rFonts w:ascii="Arial" w:cs="Arial" w:eastAsia="Arial" w:hAnsi="Arial"/>
                <w:sz w:val="13"/>
                <w:szCs w:val="13"/>
                <w:color w:val="auto"/>
                <w:w w:val="92"/>
              </w:rPr>
              <w:t>11/20/2014</w:t>
            </w:r>
          </w:p>
        </w:tc>
        <w:tc>
          <w:tcPr>
            <w:tcW w:w="1580" w:type="dxa"/>
            <w:vAlign w:val="bottom"/>
            <w:gridSpan w:val="2"/>
          </w:tcPr>
          <w:p>
            <w:pPr>
              <w:jc w:val="center"/>
              <w:ind w:right="60"/>
              <w:spacing w:after="0" w:line="122" w:lineRule="exact"/>
              <w:rPr>
                <w:sz w:val="20"/>
                <w:szCs w:val="20"/>
                <w:color w:val="auto"/>
              </w:rPr>
            </w:pPr>
            <w:r>
              <w:rPr>
                <w:rFonts w:ascii="Arial" w:cs="Arial" w:eastAsia="Arial" w:hAnsi="Arial"/>
                <w:sz w:val="13"/>
                <w:szCs w:val="13"/>
                <w:color w:val="auto"/>
                <w:w w:val="94"/>
              </w:rPr>
              <w:t>Communications</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3"/>
                <w:szCs w:val="13"/>
                <w:color w:val="auto"/>
              </w:rPr>
              <w:t>11.50%</w:t>
            </w:r>
          </w:p>
        </w:tc>
        <w:tc>
          <w:tcPr>
            <w:tcW w:w="2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auto"/>
                <w:w w:val="74"/>
              </w:rPr>
              <w:t>(8)</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w w:val="95"/>
              </w:rPr>
              <w:t>10,000,000</w:t>
            </w:r>
          </w:p>
        </w:tc>
        <w:tc>
          <w:tcPr>
            <w:tcW w:w="80" w:type="dxa"/>
            <w:vAlign w:val="bottom"/>
          </w:tcPr>
          <w:p>
            <w:pPr>
              <w:spacing w:after="0"/>
              <w:rPr>
                <w:sz w:val="10"/>
                <w:szCs w:val="10"/>
                <w:color w:val="auto"/>
              </w:rPr>
            </w:pPr>
          </w:p>
        </w:tc>
        <w:tc>
          <w:tcPr>
            <w:tcW w:w="980" w:type="dxa"/>
            <w:vAlign w:val="bottom"/>
            <w:gridSpan w:val="3"/>
          </w:tcPr>
          <w:p>
            <w:pPr>
              <w:jc w:val="right"/>
              <w:ind w:right="160"/>
              <w:spacing w:after="0" w:line="122" w:lineRule="exact"/>
              <w:rPr>
                <w:sz w:val="20"/>
                <w:szCs w:val="20"/>
                <w:color w:val="auto"/>
              </w:rPr>
            </w:pPr>
            <w:r>
              <w:rPr>
                <w:rFonts w:ascii="Arial" w:cs="Arial" w:eastAsia="Arial" w:hAnsi="Arial"/>
                <w:sz w:val="13"/>
                <w:szCs w:val="13"/>
                <w:color w:val="auto"/>
              </w:rPr>
              <w:t>10,000,000</w:t>
            </w:r>
          </w:p>
        </w:tc>
        <w:tc>
          <w:tcPr>
            <w:tcW w:w="760" w:type="dxa"/>
            <w:vAlign w:val="bottom"/>
          </w:tcPr>
          <w:p>
            <w:pPr>
              <w:jc w:val="right"/>
              <w:spacing w:after="0" w:line="122" w:lineRule="exact"/>
              <w:rPr>
                <w:sz w:val="20"/>
                <w:szCs w:val="20"/>
                <w:color w:val="auto"/>
              </w:rPr>
            </w:pPr>
            <w:r>
              <w:rPr>
                <w:rFonts w:ascii="Arial" w:cs="Arial" w:eastAsia="Arial" w:hAnsi="Arial"/>
                <w:sz w:val="13"/>
                <w:szCs w:val="13"/>
                <w:color w:val="auto"/>
              </w:rPr>
              <w:t>9,800,000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line="176" w:lineRule="exact"/>
              <w:rPr>
                <w:sz w:val="20"/>
                <w:szCs w:val="20"/>
                <w:color w:val="auto"/>
              </w:rPr>
            </w:pPr>
            <w:r>
              <w:rPr>
                <w:rFonts w:ascii="Arial" w:cs="Arial" w:eastAsia="Arial" w:hAnsi="Arial"/>
                <w:sz w:val="12"/>
                <w:szCs w:val="12"/>
                <w:color w:val="auto"/>
              </w:rPr>
              <w:t xml:space="preserve">Covad Communications Group, Inc. </w:t>
            </w:r>
            <w:r>
              <w:rPr>
                <w:rFonts w:ascii="Arial" w:cs="Arial" w:eastAsia="Arial" w:hAnsi="Arial"/>
                <w:sz w:val="20"/>
                <w:szCs w:val="20"/>
                <w:color w:val="auto"/>
                <w:vertAlign w:val="superscript"/>
              </w:rPr>
              <w:t>(5)</w:t>
            </w:r>
          </w:p>
        </w:tc>
        <w:tc>
          <w:tcPr>
            <w:tcW w:w="1700" w:type="dxa"/>
            <w:vAlign w:val="bottom"/>
          </w:tcPr>
          <w:p>
            <w:pPr>
              <w:jc w:val="center"/>
              <w:ind w:left="913"/>
              <w:spacing w:after="0"/>
              <w:rPr>
                <w:sz w:val="20"/>
                <w:szCs w:val="20"/>
                <w:color w:val="auto"/>
              </w:rPr>
            </w:pPr>
            <w:r>
              <w:rPr>
                <w:rFonts w:ascii="Arial" w:cs="Arial" w:eastAsia="Arial" w:hAnsi="Arial"/>
                <w:sz w:val="13"/>
                <w:szCs w:val="13"/>
                <w:color w:val="auto"/>
                <w:w w:val="92"/>
              </w:rPr>
              <w:t>11/03/2015</w:t>
            </w:r>
          </w:p>
        </w:tc>
        <w:tc>
          <w:tcPr>
            <w:tcW w:w="1580" w:type="dxa"/>
            <w:vAlign w:val="bottom"/>
            <w:gridSpan w:val="2"/>
          </w:tcPr>
          <w:p>
            <w:pPr>
              <w:jc w:val="center"/>
              <w:ind w:right="60"/>
              <w:spacing w:after="0"/>
              <w:rPr>
                <w:sz w:val="20"/>
                <w:szCs w:val="20"/>
                <w:color w:val="auto"/>
              </w:rPr>
            </w:pPr>
            <w:r>
              <w:rPr>
                <w:rFonts w:ascii="Arial" w:cs="Arial" w:eastAsia="Arial" w:hAnsi="Arial"/>
                <w:sz w:val="13"/>
                <w:szCs w:val="13"/>
                <w:color w:val="auto"/>
                <w:w w:val="93"/>
              </w:rPr>
              <w:t>Telecommunications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12.00%</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L+1,000</w:t>
            </w:r>
          </w:p>
        </w:tc>
        <w:tc>
          <w:tcPr>
            <w:tcW w:w="300" w:type="dxa"/>
            <w:vAlign w:val="bottom"/>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6,475,000</w:t>
            </w:r>
          </w:p>
        </w:tc>
        <w:tc>
          <w:tcPr>
            <w:tcW w:w="8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6,362,696</w:t>
            </w:r>
          </w:p>
        </w:tc>
        <w:tc>
          <w:tcPr>
            <w:tcW w:w="760" w:type="dxa"/>
            <w:vAlign w:val="bottom"/>
          </w:tcPr>
          <w:p>
            <w:pPr>
              <w:jc w:val="right"/>
              <w:spacing w:after="0"/>
              <w:rPr>
                <w:sz w:val="20"/>
                <w:szCs w:val="20"/>
                <w:color w:val="auto"/>
              </w:rPr>
            </w:pPr>
            <w:r>
              <w:rPr>
                <w:rFonts w:ascii="Arial" w:cs="Arial" w:eastAsia="Arial" w:hAnsi="Arial"/>
                <w:sz w:val="13"/>
                <w:szCs w:val="13"/>
                <w:color w:val="auto"/>
              </w:rPr>
              <w:t>6,345,500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Good Sam Enterprises, LLC (5)</w:t>
            </w:r>
          </w:p>
        </w:tc>
        <w:tc>
          <w:tcPr>
            <w:tcW w:w="1700" w:type="dxa"/>
            <w:vAlign w:val="bottom"/>
            <w:shd w:val="clear" w:color="auto" w:fill="CCEEFF"/>
          </w:tcPr>
          <w:p>
            <w:pPr>
              <w:jc w:val="center"/>
              <w:ind w:left="933"/>
              <w:spacing w:after="0" w:line="138" w:lineRule="exact"/>
              <w:rPr>
                <w:sz w:val="20"/>
                <w:szCs w:val="20"/>
                <w:color w:val="auto"/>
              </w:rPr>
            </w:pPr>
            <w:r>
              <w:rPr>
                <w:rFonts w:ascii="Arial" w:cs="Arial" w:eastAsia="Arial" w:hAnsi="Arial"/>
                <w:sz w:val="13"/>
                <w:szCs w:val="13"/>
                <w:color w:val="auto"/>
                <w:w w:val="95"/>
              </w:rPr>
              <w:t>12/01/2016</w:t>
            </w:r>
          </w:p>
        </w:tc>
        <w:tc>
          <w:tcPr>
            <w:tcW w:w="158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3"/>
                <w:szCs w:val="13"/>
                <w:color w:val="auto"/>
                <w:w w:val="92"/>
              </w:rPr>
              <w:t>Consumer Products</w:t>
            </w:r>
          </w:p>
        </w:tc>
        <w:tc>
          <w:tcPr>
            <w:tcW w:w="6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11.50%</w:t>
            </w: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12,000,000</w:t>
            </w:r>
          </w:p>
        </w:tc>
        <w:tc>
          <w:tcPr>
            <w:tcW w:w="8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11,759,625</w:t>
            </w:r>
          </w:p>
        </w:tc>
        <w:tc>
          <w:tcPr>
            <w:tcW w:w="8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11,220,000</w:t>
            </w:r>
          </w:p>
        </w:tc>
        <w:tc>
          <w:tcPr>
            <w:tcW w:w="0" w:type="dxa"/>
            <w:vAlign w:val="bottom"/>
          </w:tcPr>
          <w:p>
            <w:pPr>
              <w:spacing w:after="0"/>
              <w:rPr>
                <w:sz w:val="1"/>
                <w:szCs w:val="1"/>
                <w:color w:val="auto"/>
              </w:rPr>
            </w:pPr>
          </w:p>
        </w:tc>
      </w:tr>
      <w:tr>
        <w:trPr>
          <w:trHeight w:val="173"/>
        </w:trPr>
        <w:tc>
          <w:tcPr>
            <w:tcW w:w="36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(f/k/a Affinity Group Holdings Inc.)</w:t>
            </w:r>
          </w:p>
        </w:tc>
        <w:tc>
          <w:tcPr>
            <w:tcW w:w="17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620" w:type="dxa"/>
            <w:vAlign w:val="bottom"/>
          </w:tcPr>
          <w:p>
            <w:pPr>
              <w:spacing w:after="0" w:line="122" w:lineRule="exact"/>
              <w:rPr>
                <w:sz w:val="20"/>
                <w:szCs w:val="20"/>
                <w:color w:val="auto"/>
              </w:rPr>
            </w:pPr>
            <w:r>
              <w:rPr>
                <w:rFonts w:ascii="Arial" w:cs="Arial" w:eastAsia="Arial" w:hAnsi="Arial"/>
                <w:sz w:val="13"/>
                <w:szCs w:val="13"/>
                <w:color w:val="auto"/>
              </w:rPr>
              <w:t>Hanley-Wood, L.L.C.</w:t>
            </w:r>
          </w:p>
        </w:tc>
        <w:tc>
          <w:tcPr>
            <w:tcW w:w="1700" w:type="dxa"/>
            <w:vAlign w:val="bottom"/>
          </w:tcPr>
          <w:p>
            <w:pPr>
              <w:jc w:val="center"/>
              <w:ind w:left="933"/>
              <w:spacing w:after="0" w:line="122" w:lineRule="exact"/>
              <w:rPr>
                <w:sz w:val="20"/>
                <w:szCs w:val="20"/>
                <w:color w:val="auto"/>
              </w:rPr>
            </w:pPr>
            <w:r>
              <w:rPr>
                <w:rFonts w:ascii="Arial" w:cs="Arial" w:eastAsia="Arial" w:hAnsi="Arial"/>
                <w:sz w:val="13"/>
                <w:szCs w:val="13"/>
                <w:color w:val="auto"/>
                <w:w w:val="95"/>
              </w:rPr>
              <w:t>03/10/2014</w:t>
            </w:r>
          </w:p>
        </w:tc>
        <w:tc>
          <w:tcPr>
            <w:tcW w:w="1580" w:type="dxa"/>
            <w:vAlign w:val="bottom"/>
            <w:gridSpan w:val="2"/>
          </w:tcPr>
          <w:p>
            <w:pPr>
              <w:jc w:val="center"/>
              <w:ind w:right="60"/>
              <w:spacing w:after="0" w:line="122" w:lineRule="exact"/>
              <w:rPr>
                <w:sz w:val="20"/>
                <w:szCs w:val="20"/>
                <w:color w:val="auto"/>
              </w:rPr>
            </w:pPr>
            <w:r>
              <w:rPr>
                <w:rFonts w:ascii="Arial" w:cs="Arial" w:eastAsia="Arial" w:hAnsi="Arial"/>
                <w:sz w:val="13"/>
                <w:szCs w:val="13"/>
                <w:color w:val="auto"/>
                <w:w w:val="95"/>
              </w:rPr>
              <w:t>Other Media</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3"/>
                <w:szCs w:val="13"/>
                <w:color w:val="auto"/>
              </w:rPr>
              <w:t>2.56%</w:t>
            </w:r>
          </w:p>
        </w:tc>
        <w:tc>
          <w:tcPr>
            <w:tcW w:w="280" w:type="dxa"/>
            <w:vAlign w:val="bottom"/>
          </w:tcPr>
          <w:p>
            <w:pPr>
              <w:spacing w:after="0"/>
              <w:rPr>
                <w:sz w:val="10"/>
                <w:szCs w:val="10"/>
                <w:color w:val="auto"/>
              </w:rPr>
            </w:pPr>
          </w:p>
        </w:tc>
        <w:tc>
          <w:tcPr>
            <w:tcW w:w="940" w:type="dxa"/>
            <w:vAlign w:val="bottom"/>
            <w:gridSpan w:val="2"/>
          </w:tcPr>
          <w:p>
            <w:pPr>
              <w:jc w:val="right"/>
              <w:ind w:right="244"/>
              <w:spacing w:after="0" w:line="122" w:lineRule="exact"/>
              <w:rPr>
                <w:sz w:val="20"/>
                <w:szCs w:val="20"/>
                <w:color w:val="auto"/>
              </w:rPr>
            </w:pPr>
            <w:r>
              <w:rPr>
                <w:rFonts w:ascii="Arial" w:cs="Arial" w:eastAsia="Arial" w:hAnsi="Arial"/>
                <w:sz w:val="13"/>
                <w:szCs w:val="13"/>
                <w:color w:val="auto"/>
              </w:rPr>
              <w:t>L+225</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8,662,500</w:t>
            </w:r>
          </w:p>
        </w:tc>
        <w:tc>
          <w:tcPr>
            <w:tcW w:w="80" w:type="dxa"/>
            <w:vAlign w:val="bottom"/>
          </w:tcPr>
          <w:p>
            <w:pPr>
              <w:spacing w:after="0"/>
              <w:rPr>
                <w:sz w:val="10"/>
                <w:szCs w:val="10"/>
                <w:color w:val="auto"/>
              </w:rPr>
            </w:pPr>
          </w:p>
        </w:tc>
        <w:tc>
          <w:tcPr>
            <w:tcW w:w="980" w:type="dxa"/>
            <w:vAlign w:val="bottom"/>
            <w:gridSpan w:val="3"/>
          </w:tcPr>
          <w:p>
            <w:pPr>
              <w:jc w:val="right"/>
              <w:ind w:right="160"/>
              <w:spacing w:after="0" w:line="122" w:lineRule="exact"/>
              <w:rPr>
                <w:sz w:val="20"/>
                <w:szCs w:val="20"/>
                <w:color w:val="auto"/>
              </w:rPr>
            </w:pPr>
            <w:r>
              <w:rPr>
                <w:rFonts w:ascii="Arial" w:cs="Arial" w:eastAsia="Arial" w:hAnsi="Arial"/>
                <w:sz w:val="13"/>
                <w:szCs w:val="13"/>
                <w:color w:val="auto"/>
              </w:rPr>
              <w:t>8,662,500</w:t>
            </w:r>
          </w:p>
        </w:tc>
        <w:tc>
          <w:tcPr>
            <w:tcW w:w="760" w:type="dxa"/>
            <w:vAlign w:val="bottom"/>
          </w:tcPr>
          <w:p>
            <w:pPr>
              <w:jc w:val="right"/>
              <w:spacing w:after="0" w:line="122" w:lineRule="exact"/>
              <w:rPr>
                <w:sz w:val="20"/>
                <w:szCs w:val="20"/>
                <w:color w:val="auto"/>
              </w:rPr>
            </w:pPr>
            <w:r>
              <w:rPr>
                <w:rFonts w:ascii="Arial" w:cs="Arial" w:eastAsia="Arial" w:hAnsi="Arial"/>
                <w:sz w:val="13"/>
                <w:szCs w:val="13"/>
                <w:color w:val="auto"/>
              </w:rPr>
              <w:t>4,222,969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20" w:type="dxa"/>
            <w:vAlign w:val="bottom"/>
          </w:tcPr>
          <w:p>
            <w:pPr>
              <w:spacing w:after="0"/>
              <w:rPr>
                <w:sz w:val="20"/>
                <w:szCs w:val="20"/>
                <w:color w:val="auto"/>
              </w:rPr>
            </w:pPr>
            <w:r>
              <w:rPr>
                <w:rFonts w:ascii="Arial" w:cs="Arial" w:eastAsia="Arial" w:hAnsi="Arial"/>
                <w:sz w:val="13"/>
                <w:szCs w:val="13"/>
                <w:color w:val="auto"/>
              </w:rPr>
              <w:t>Instant Web, Inc.</w:t>
            </w:r>
          </w:p>
        </w:tc>
        <w:tc>
          <w:tcPr>
            <w:tcW w:w="1700" w:type="dxa"/>
            <w:vAlign w:val="bottom"/>
          </w:tcPr>
          <w:p>
            <w:pPr>
              <w:jc w:val="center"/>
              <w:ind w:left="933"/>
              <w:spacing w:after="0"/>
              <w:rPr>
                <w:sz w:val="20"/>
                <w:szCs w:val="20"/>
                <w:color w:val="auto"/>
              </w:rPr>
            </w:pPr>
            <w:r>
              <w:rPr>
                <w:rFonts w:ascii="Arial" w:cs="Arial" w:eastAsia="Arial" w:hAnsi="Arial"/>
                <w:sz w:val="13"/>
                <w:szCs w:val="13"/>
                <w:color w:val="auto"/>
                <w:w w:val="95"/>
              </w:rPr>
              <w:t>08/07/2014</w:t>
            </w: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5"/>
              </w:rPr>
              <w:t>Printing and</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14.50%</w:t>
            </w: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L+950</w:t>
            </w:r>
          </w:p>
        </w:tc>
        <w:tc>
          <w:tcPr>
            <w:tcW w:w="300" w:type="dxa"/>
            <w:vAlign w:val="bottom"/>
          </w:tcPr>
          <w:p>
            <w:pPr>
              <w:jc w:val="right"/>
              <w:ind w:right="124"/>
              <w:spacing w:after="0"/>
              <w:rPr>
                <w:sz w:val="20"/>
                <w:szCs w:val="20"/>
                <w:color w:val="auto"/>
              </w:rPr>
            </w:pPr>
            <w:r>
              <w:rPr>
                <w:rFonts w:ascii="Arial" w:cs="Arial" w:eastAsia="Arial" w:hAnsi="Arial"/>
                <w:sz w:val="11"/>
                <w:szCs w:val="11"/>
                <w:color w:val="auto"/>
                <w:w w:val="74"/>
              </w:rPr>
              <w:t>(8)</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24,625,000</w:t>
            </w:r>
          </w:p>
        </w:tc>
        <w:tc>
          <w:tcPr>
            <w:tcW w:w="8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24,227,464</w:t>
            </w:r>
          </w:p>
        </w:tc>
        <w:tc>
          <w:tcPr>
            <w:tcW w:w="760" w:type="dxa"/>
            <w:vAlign w:val="bottom"/>
          </w:tcPr>
          <w:p>
            <w:pPr>
              <w:jc w:val="right"/>
              <w:spacing w:after="0"/>
              <w:rPr>
                <w:sz w:val="20"/>
                <w:szCs w:val="20"/>
                <w:color w:val="auto"/>
              </w:rPr>
            </w:pPr>
            <w:r>
              <w:rPr>
                <w:rFonts w:ascii="Arial" w:cs="Arial" w:eastAsia="Arial" w:hAnsi="Arial"/>
                <w:sz w:val="13"/>
                <w:szCs w:val="13"/>
                <w:color w:val="auto"/>
              </w:rPr>
              <w:t>25,683,875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6"/>
              </w:rPr>
              <w:t>Publishing</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auto"/>
                <w:w w:val="74"/>
              </w:rPr>
              <w:t>(8)</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20" w:type="dxa"/>
            <w:vAlign w:val="bottom"/>
          </w:tcPr>
          <w:p>
            <w:pPr>
              <w:spacing w:after="0" w:line="138" w:lineRule="exact"/>
              <w:rPr>
                <w:sz w:val="20"/>
                <w:szCs w:val="20"/>
                <w:color w:val="auto"/>
              </w:rPr>
            </w:pPr>
            <w:r>
              <w:rPr>
                <w:rFonts w:ascii="Arial" w:cs="Arial" w:eastAsia="Arial" w:hAnsi="Arial"/>
                <w:sz w:val="13"/>
                <w:szCs w:val="13"/>
                <w:color w:val="auto"/>
              </w:rPr>
              <w:t>Interactive Health Solutions, Inc.</w:t>
            </w:r>
          </w:p>
        </w:tc>
        <w:tc>
          <w:tcPr>
            <w:tcW w:w="1700" w:type="dxa"/>
            <w:vAlign w:val="bottom"/>
          </w:tcPr>
          <w:p>
            <w:pPr>
              <w:jc w:val="center"/>
              <w:ind w:left="933"/>
              <w:spacing w:after="0" w:line="138" w:lineRule="exact"/>
              <w:rPr>
                <w:sz w:val="20"/>
                <w:szCs w:val="20"/>
                <w:color w:val="auto"/>
              </w:rPr>
            </w:pPr>
            <w:r>
              <w:rPr>
                <w:rFonts w:ascii="Arial" w:cs="Arial" w:eastAsia="Arial" w:hAnsi="Arial"/>
                <w:sz w:val="13"/>
                <w:szCs w:val="13"/>
                <w:color w:val="auto"/>
                <w:w w:val="95"/>
              </w:rPr>
              <w:t>10/04/2016</w:t>
            </w:r>
          </w:p>
        </w:tc>
        <w:tc>
          <w:tcPr>
            <w:tcW w:w="158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3"/>
              </w:rPr>
              <w:t>Healthcare,</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11.50%</w:t>
            </w:r>
          </w:p>
        </w:tc>
        <w:tc>
          <w:tcPr>
            <w:tcW w:w="280" w:type="dxa"/>
            <w:vAlign w:val="bottom"/>
          </w:tcPr>
          <w:p>
            <w:pPr>
              <w:spacing w:after="0"/>
              <w:rPr>
                <w:sz w:val="12"/>
                <w:szCs w:val="12"/>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L+950</w:t>
            </w:r>
          </w:p>
        </w:tc>
        <w:tc>
          <w:tcPr>
            <w:tcW w:w="300" w:type="dxa"/>
            <w:vAlign w:val="bottom"/>
            <w:vMerge w:val="continue"/>
          </w:tcPr>
          <w:p>
            <w:pPr>
              <w:spacing w:after="0"/>
              <w:rPr>
                <w:sz w:val="12"/>
                <w:szCs w:val="12"/>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w w:val="95"/>
              </w:rPr>
              <w:t>19,000,000</w:t>
            </w:r>
          </w:p>
        </w:tc>
        <w:tc>
          <w:tcPr>
            <w:tcW w:w="80" w:type="dxa"/>
            <w:vAlign w:val="bottom"/>
          </w:tcPr>
          <w:p>
            <w:pPr>
              <w:spacing w:after="0"/>
              <w:rPr>
                <w:sz w:val="12"/>
                <w:szCs w:val="12"/>
                <w:color w:val="auto"/>
              </w:rPr>
            </w:pPr>
          </w:p>
        </w:tc>
        <w:tc>
          <w:tcPr>
            <w:tcW w:w="98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18,572,500</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18,572,500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3"/>
              </w:rPr>
              <w:t>Education and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3"/>
                <w:szCs w:val="13"/>
                <w:color w:val="auto"/>
                <w:w w:val="94"/>
              </w:rPr>
              <w:t>Childcare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20" w:type="dxa"/>
            <w:vAlign w:val="bottom"/>
          </w:tcPr>
          <w:p>
            <w:pPr>
              <w:spacing w:after="0" w:line="138" w:lineRule="exact"/>
              <w:rPr>
                <w:sz w:val="20"/>
                <w:szCs w:val="20"/>
                <w:color w:val="auto"/>
              </w:rPr>
            </w:pPr>
            <w:r>
              <w:rPr>
                <w:rFonts w:ascii="Arial" w:cs="Arial" w:eastAsia="Arial" w:hAnsi="Arial"/>
                <w:sz w:val="13"/>
                <w:szCs w:val="13"/>
                <w:color w:val="auto"/>
              </w:rPr>
              <w:t>Jacuzzi Brands Corp.</w:t>
            </w:r>
          </w:p>
        </w:tc>
        <w:tc>
          <w:tcPr>
            <w:tcW w:w="1700" w:type="dxa"/>
            <w:vAlign w:val="bottom"/>
          </w:tcPr>
          <w:p>
            <w:pPr>
              <w:jc w:val="center"/>
              <w:ind w:left="933"/>
              <w:spacing w:after="0" w:line="138" w:lineRule="exact"/>
              <w:rPr>
                <w:sz w:val="20"/>
                <w:szCs w:val="20"/>
                <w:color w:val="auto"/>
              </w:rPr>
            </w:pPr>
            <w:r>
              <w:rPr>
                <w:rFonts w:ascii="Arial" w:cs="Arial" w:eastAsia="Arial" w:hAnsi="Arial"/>
                <w:sz w:val="13"/>
                <w:szCs w:val="13"/>
                <w:color w:val="auto"/>
                <w:w w:val="95"/>
              </w:rPr>
              <w:t>02/07/2014</w:t>
            </w:r>
          </w:p>
        </w:tc>
        <w:tc>
          <w:tcPr>
            <w:tcW w:w="158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6"/>
              </w:rPr>
              <w:t>Home and Office</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2.51%</w:t>
            </w:r>
          </w:p>
        </w:tc>
        <w:tc>
          <w:tcPr>
            <w:tcW w:w="280" w:type="dxa"/>
            <w:vAlign w:val="bottom"/>
          </w:tcPr>
          <w:p>
            <w:pPr>
              <w:spacing w:after="0"/>
              <w:rPr>
                <w:sz w:val="12"/>
                <w:szCs w:val="12"/>
                <w:color w:val="auto"/>
              </w:rPr>
            </w:pPr>
          </w:p>
        </w:tc>
        <w:tc>
          <w:tcPr>
            <w:tcW w:w="940" w:type="dxa"/>
            <w:vAlign w:val="bottom"/>
            <w:gridSpan w:val="2"/>
          </w:tcPr>
          <w:p>
            <w:pPr>
              <w:jc w:val="right"/>
              <w:ind w:right="244"/>
              <w:spacing w:after="0" w:line="138" w:lineRule="exact"/>
              <w:rPr>
                <w:sz w:val="20"/>
                <w:szCs w:val="20"/>
                <w:color w:val="auto"/>
              </w:rPr>
            </w:pPr>
            <w:r>
              <w:rPr>
                <w:rFonts w:ascii="Arial" w:cs="Arial" w:eastAsia="Arial" w:hAnsi="Arial"/>
                <w:sz w:val="13"/>
                <w:szCs w:val="13"/>
                <w:color w:val="auto"/>
              </w:rPr>
              <w:t>L+225</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9,671,622</w:t>
            </w:r>
          </w:p>
        </w:tc>
        <w:tc>
          <w:tcPr>
            <w:tcW w:w="80" w:type="dxa"/>
            <w:vAlign w:val="bottom"/>
          </w:tcPr>
          <w:p>
            <w:pPr>
              <w:spacing w:after="0"/>
              <w:rPr>
                <w:sz w:val="12"/>
                <w:szCs w:val="12"/>
                <w:color w:val="auto"/>
              </w:rPr>
            </w:pPr>
          </w:p>
        </w:tc>
        <w:tc>
          <w:tcPr>
            <w:tcW w:w="98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9,671,622</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6,866,851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3"/>
                <w:szCs w:val="13"/>
                <w:color w:val="auto"/>
                <w:w w:val="95"/>
              </w:rPr>
              <w:t>Furnishings,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3"/>
                <w:szCs w:val="13"/>
                <w:color w:val="auto"/>
                <w:w w:val="90"/>
              </w:rPr>
              <w:t>Housewares and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3"/>
              </w:rPr>
              <w:t>Durable Consumer</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3"/>
                <w:szCs w:val="13"/>
                <w:color w:val="auto"/>
                <w:w w:val="93"/>
              </w:rPr>
              <w:t>Products</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auto"/>
                <w:w w:val="74"/>
              </w:rPr>
              <w:t>(8)</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20" w:type="dxa"/>
            <w:vAlign w:val="bottom"/>
          </w:tcPr>
          <w:p>
            <w:pPr>
              <w:spacing w:after="0" w:line="138" w:lineRule="exact"/>
              <w:rPr>
                <w:sz w:val="20"/>
                <w:szCs w:val="20"/>
                <w:color w:val="auto"/>
              </w:rPr>
            </w:pPr>
            <w:r>
              <w:rPr>
                <w:rFonts w:ascii="Arial" w:cs="Arial" w:eastAsia="Arial" w:hAnsi="Arial"/>
                <w:sz w:val="13"/>
                <w:szCs w:val="13"/>
                <w:color w:val="auto"/>
              </w:rPr>
              <w:t>K2 Pure Solutions NoCal, L.P.</w:t>
            </w:r>
          </w:p>
        </w:tc>
        <w:tc>
          <w:tcPr>
            <w:tcW w:w="1700" w:type="dxa"/>
            <w:vAlign w:val="bottom"/>
          </w:tcPr>
          <w:p>
            <w:pPr>
              <w:jc w:val="center"/>
              <w:ind w:left="933"/>
              <w:spacing w:after="0" w:line="138" w:lineRule="exact"/>
              <w:rPr>
                <w:sz w:val="20"/>
                <w:szCs w:val="20"/>
                <w:color w:val="auto"/>
              </w:rPr>
            </w:pPr>
            <w:r>
              <w:rPr>
                <w:rFonts w:ascii="Arial" w:cs="Arial" w:eastAsia="Arial" w:hAnsi="Arial"/>
                <w:sz w:val="13"/>
                <w:szCs w:val="13"/>
                <w:color w:val="auto"/>
                <w:w w:val="95"/>
              </w:rPr>
              <w:t>09/10/2015</w:t>
            </w:r>
          </w:p>
        </w:tc>
        <w:tc>
          <w:tcPr>
            <w:tcW w:w="1580" w:type="dxa"/>
            <w:vAlign w:val="bottom"/>
            <w:gridSpan w:val="2"/>
          </w:tcPr>
          <w:p>
            <w:pPr>
              <w:jc w:val="center"/>
              <w:ind w:right="60"/>
              <w:spacing w:after="0" w:line="138" w:lineRule="exact"/>
              <w:rPr>
                <w:sz w:val="20"/>
                <w:szCs w:val="20"/>
                <w:color w:val="auto"/>
              </w:rPr>
            </w:pPr>
            <w:r>
              <w:rPr>
                <w:rFonts w:ascii="Arial" w:cs="Arial" w:eastAsia="Arial" w:hAnsi="Arial"/>
                <w:sz w:val="13"/>
                <w:szCs w:val="13"/>
                <w:color w:val="auto"/>
                <w:w w:val="92"/>
              </w:rPr>
              <w:t>Chemicals, Plastics</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10.00%</w:t>
            </w:r>
          </w:p>
        </w:tc>
        <w:tc>
          <w:tcPr>
            <w:tcW w:w="28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P+675</w:t>
            </w:r>
          </w:p>
        </w:tc>
        <w:tc>
          <w:tcPr>
            <w:tcW w:w="300" w:type="dxa"/>
            <w:vAlign w:val="bottom"/>
            <w:vMerge w:val="continue"/>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w w:val="95"/>
              </w:rPr>
              <w:t>18,952,500</w:t>
            </w:r>
          </w:p>
        </w:tc>
        <w:tc>
          <w:tcPr>
            <w:tcW w:w="80" w:type="dxa"/>
            <w:vAlign w:val="bottom"/>
          </w:tcPr>
          <w:p>
            <w:pPr>
              <w:spacing w:after="0"/>
              <w:rPr>
                <w:sz w:val="11"/>
                <w:szCs w:val="11"/>
                <w:color w:val="auto"/>
              </w:rPr>
            </w:pPr>
          </w:p>
        </w:tc>
        <w:tc>
          <w:tcPr>
            <w:tcW w:w="98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18,002,959</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18,004,875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1"/>
              </w:rPr>
              <w:t>and Rubber</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auto"/>
                <w:w w:val="74"/>
              </w:rPr>
              <w:t>(8)</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20" w:type="dxa"/>
            <w:vAlign w:val="bottom"/>
          </w:tcPr>
          <w:p>
            <w:pPr>
              <w:spacing w:after="0" w:line="138" w:lineRule="exact"/>
              <w:rPr>
                <w:sz w:val="20"/>
                <w:szCs w:val="20"/>
                <w:color w:val="auto"/>
              </w:rPr>
            </w:pPr>
            <w:r>
              <w:rPr>
                <w:rFonts w:ascii="Arial" w:cs="Arial" w:eastAsia="Arial" w:hAnsi="Arial"/>
                <w:sz w:val="13"/>
                <w:szCs w:val="13"/>
                <w:color w:val="auto"/>
              </w:rPr>
              <w:t>Kadmon Pharmaceuticals, LLC</w:t>
            </w:r>
          </w:p>
        </w:tc>
        <w:tc>
          <w:tcPr>
            <w:tcW w:w="1700" w:type="dxa"/>
            <w:vAlign w:val="bottom"/>
          </w:tcPr>
          <w:p>
            <w:pPr>
              <w:jc w:val="center"/>
              <w:ind w:left="913"/>
              <w:spacing w:after="0" w:line="138" w:lineRule="exact"/>
              <w:rPr>
                <w:sz w:val="20"/>
                <w:szCs w:val="20"/>
                <w:color w:val="auto"/>
              </w:rPr>
            </w:pPr>
            <w:r>
              <w:rPr>
                <w:rFonts w:ascii="Arial" w:cs="Arial" w:eastAsia="Arial" w:hAnsi="Arial"/>
                <w:sz w:val="13"/>
                <w:szCs w:val="13"/>
                <w:color w:val="auto"/>
                <w:w w:val="92"/>
              </w:rPr>
              <w:t>10/22/2011</w:t>
            </w:r>
          </w:p>
        </w:tc>
        <w:tc>
          <w:tcPr>
            <w:tcW w:w="1580" w:type="dxa"/>
            <w:vAlign w:val="bottom"/>
            <w:gridSpan w:val="2"/>
          </w:tcPr>
          <w:p>
            <w:pPr>
              <w:jc w:val="center"/>
              <w:ind w:right="40"/>
              <w:spacing w:after="0" w:line="138" w:lineRule="exact"/>
              <w:rPr>
                <w:sz w:val="20"/>
                <w:szCs w:val="20"/>
                <w:color w:val="auto"/>
              </w:rPr>
            </w:pPr>
            <w:r>
              <w:rPr>
                <w:rFonts w:ascii="Arial" w:cs="Arial" w:eastAsia="Arial" w:hAnsi="Arial"/>
                <w:sz w:val="13"/>
                <w:szCs w:val="13"/>
                <w:color w:val="auto"/>
                <w:w w:val="93"/>
              </w:rPr>
              <w:t>Healthcare,</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15.00%</w:t>
            </w:r>
          </w:p>
        </w:tc>
        <w:tc>
          <w:tcPr>
            <w:tcW w:w="28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L+1,300</w:t>
            </w:r>
          </w:p>
        </w:tc>
        <w:tc>
          <w:tcPr>
            <w:tcW w:w="300" w:type="dxa"/>
            <w:vAlign w:val="bottom"/>
            <w:vMerge w:val="continue"/>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w w:val="95"/>
              </w:rPr>
              <w:t>29,066,987</w:t>
            </w:r>
          </w:p>
        </w:tc>
        <w:tc>
          <w:tcPr>
            <w:tcW w:w="80" w:type="dxa"/>
            <w:vAlign w:val="bottom"/>
          </w:tcPr>
          <w:p>
            <w:pPr>
              <w:spacing w:after="0"/>
              <w:rPr>
                <w:sz w:val="11"/>
                <w:szCs w:val="11"/>
                <w:color w:val="auto"/>
              </w:rPr>
            </w:pPr>
          </w:p>
        </w:tc>
        <w:tc>
          <w:tcPr>
            <w:tcW w:w="98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27,940,332</w:t>
            </w:r>
          </w:p>
        </w:tc>
        <w:tc>
          <w:tcPr>
            <w:tcW w:w="82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30,811,006</w:t>
            </w:r>
          </w:p>
        </w:tc>
        <w:tc>
          <w:tcPr>
            <w:tcW w:w="0" w:type="dxa"/>
            <w:vAlign w:val="bottom"/>
          </w:tcPr>
          <w:p>
            <w:pPr>
              <w:spacing w:after="0"/>
              <w:rPr>
                <w:sz w:val="1"/>
                <w:szCs w:val="1"/>
                <w:color w:val="auto"/>
              </w:rPr>
            </w:pPr>
          </w:p>
        </w:tc>
      </w:tr>
      <w:tr>
        <w:trPr>
          <w:trHeight w:val="148"/>
        </w:trPr>
        <w:tc>
          <w:tcPr>
            <w:tcW w:w="3620" w:type="dxa"/>
            <w:vAlign w:val="bottom"/>
          </w:tcPr>
          <w:p>
            <w:pPr>
              <w:ind w:left="220"/>
              <w:spacing w:after="0"/>
              <w:rPr>
                <w:sz w:val="20"/>
                <w:szCs w:val="20"/>
                <w:color w:val="auto"/>
              </w:rPr>
            </w:pPr>
            <w:r>
              <w:rPr>
                <w:rFonts w:ascii="Arial" w:cs="Arial" w:eastAsia="Arial" w:hAnsi="Arial"/>
                <w:sz w:val="13"/>
                <w:szCs w:val="13"/>
                <w:color w:val="auto"/>
              </w:rPr>
              <w:t>(f/k/a Three Rivers Pharmaceutical, L.L.C.)</w:t>
            </w:r>
          </w:p>
        </w:tc>
        <w:tc>
          <w:tcPr>
            <w:tcW w:w="1700" w:type="dxa"/>
            <w:vAlign w:val="bottom"/>
          </w:tcPr>
          <w:p>
            <w:pPr>
              <w:spacing w:after="0"/>
              <w:rPr>
                <w:sz w:val="12"/>
                <w:szCs w:val="12"/>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3"/>
              </w:rPr>
              <w:t>Education and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3"/>
                <w:szCs w:val="13"/>
                <w:color w:val="auto"/>
                <w:w w:val="94"/>
              </w:rPr>
              <w:t>Childcare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20"/>
                <w:szCs w:val="20"/>
                <w:color w:val="auto"/>
              </w:rPr>
            </w:pPr>
            <w:r>
              <w:rPr>
                <w:rFonts w:ascii="Arial" w:cs="Arial" w:eastAsia="Arial" w:hAnsi="Arial"/>
                <w:sz w:val="13"/>
                <w:szCs w:val="13"/>
                <w:color w:val="auto"/>
              </w:rPr>
              <w:t>Learning Care Group, Inc.</w:t>
            </w:r>
          </w:p>
        </w:tc>
        <w:tc>
          <w:tcPr>
            <w:tcW w:w="1700" w:type="dxa"/>
            <w:vAlign w:val="bottom"/>
          </w:tcPr>
          <w:p>
            <w:pPr>
              <w:jc w:val="center"/>
              <w:ind w:left="933"/>
              <w:spacing w:after="0"/>
              <w:rPr>
                <w:sz w:val="20"/>
                <w:szCs w:val="20"/>
                <w:color w:val="auto"/>
              </w:rPr>
            </w:pPr>
            <w:r>
              <w:rPr>
                <w:rFonts w:ascii="Arial" w:cs="Arial" w:eastAsia="Arial" w:hAnsi="Arial"/>
                <w:sz w:val="13"/>
                <w:szCs w:val="13"/>
                <w:color w:val="auto"/>
                <w:w w:val="95"/>
              </w:rPr>
              <w:t>04/27/2016</w:t>
            </w:r>
          </w:p>
        </w:tc>
        <w:tc>
          <w:tcPr>
            <w:tcW w:w="1580" w:type="dxa"/>
            <w:vAlign w:val="bottom"/>
            <w:gridSpan w:val="2"/>
          </w:tcPr>
          <w:p>
            <w:pPr>
              <w:jc w:val="center"/>
              <w:ind w:right="60"/>
              <w:spacing w:after="0"/>
              <w:rPr>
                <w:sz w:val="20"/>
                <w:szCs w:val="20"/>
                <w:color w:val="auto"/>
              </w:rPr>
            </w:pPr>
            <w:r>
              <w:rPr>
                <w:rFonts w:ascii="Arial" w:cs="Arial" w:eastAsia="Arial" w:hAnsi="Arial"/>
                <w:sz w:val="13"/>
                <w:szCs w:val="13"/>
                <w:color w:val="auto"/>
                <w:w w:val="96"/>
              </w:rPr>
              <w:t>Education</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12.00%</w:t>
            </w:r>
          </w:p>
        </w:tc>
        <w:tc>
          <w:tcPr>
            <w:tcW w:w="280" w:type="dxa"/>
            <w:vAlign w:val="bottom"/>
            <w:vMerge w:val="restart"/>
          </w:tcPr>
          <w:p>
            <w:pPr>
              <w:jc w:val="right"/>
              <w:ind w:right="84"/>
              <w:spacing w:after="0"/>
              <w:rPr>
                <w:sz w:val="20"/>
                <w:szCs w:val="20"/>
                <w:color w:val="auto"/>
              </w:rPr>
            </w:pPr>
            <w:r>
              <w:rPr>
                <w:rFonts w:ascii="Arial" w:cs="Arial" w:eastAsia="Arial" w:hAnsi="Arial"/>
                <w:sz w:val="11"/>
                <w:szCs w:val="11"/>
                <w:color w:val="auto"/>
                <w:w w:val="88"/>
              </w:rPr>
              <w:t>(6)</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auto"/>
                <w:w w:val="74"/>
              </w:rPr>
              <w:t>(8)</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26,052,632</w:t>
            </w:r>
          </w:p>
        </w:tc>
        <w:tc>
          <w:tcPr>
            <w:tcW w:w="8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25,555,967</w:t>
            </w:r>
          </w:p>
        </w:tc>
        <w:tc>
          <w:tcPr>
            <w:tcW w:w="760" w:type="dxa"/>
            <w:vAlign w:val="bottom"/>
          </w:tcPr>
          <w:p>
            <w:pPr>
              <w:jc w:val="right"/>
              <w:spacing w:after="0"/>
              <w:rPr>
                <w:sz w:val="20"/>
                <w:szCs w:val="20"/>
                <w:color w:val="auto"/>
              </w:rPr>
            </w:pPr>
            <w:r>
              <w:rPr>
                <w:rFonts w:ascii="Arial" w:cs="Arial" w:eastAsia="Arial" w:hAnsi="Arial"/>
                <w:sz w:val="13"/>
                <w:szCs w:val="13"/>
                <w:color w:val="auto"/>
              </w:rPr>
              <w:t>25,401,316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620" w:type="dxa"/>
            <w:vAlign w:val="bottom"/>
          </w:tcPr>
          <w:p>
            <w:pPr>
              <w:spacing w:after="0" w:line="122" w:lineRule="exact"/>
              <w:rPr>
                <w:sz w:val="20"/>
                <w:szCs w:val="20"/>
                <w:color w:val="auto"/>
              </w:rPr>
            </w:pPr>
            <w:r>
              <w:rPr>
                <w:rFonts w:ascii="Arial" w:cs="Arial" w:eastAsia="Arial" w:hAnsi="Arial"/>
                <w:sz w:val="13"/>
                <w:szCs w:val="13"/>
                <w:color w:val="auto"/>
              </w:rPr>
              <w:t>Penton Media, Inc.</w:t>
            </w:r>
          </w:p>
        </w:tc>
        <w:tc>
          <w:tcPr>
            <w:tcW w:w="1700" w:type="dxa"/>
            <w:vAlign w:val="bottom"/>
          </w:tcPr>
          <w:p>
            <w:pPr>
              <w:jc w:val="center"/>
              <w:ind w:left="933"/>
              <w:spacing w:after="0" w:line="122" w:lineRule="exact"/>
              <w:rPr>
                <w:sz w:val="20"/>
                <w:szCs w:val="20"/>
                <w:color w:val="auto"/>
              </w:rPr>
            </w:pPr>
            <w:r>
              <w:rPr>
                <w:rFonts w:ascii="Arial" w:cs="Arial" w:eastAsia="Arial" w:hAnsi="Arial"/>
                <w:sz w:val="13"/>
                <w:szCs w:val="13"/>
                <w:color w:val="auto"/>
                <w:w w:val="95"/>
              </w:rPr>
              <w:t>08/01/2014</w:t>
            </w:r>
          </w:p>
        </w:tc>
        <w:tc>
          <w:tcPr>
            <w:tcW w:w="1580" w:type="dxa"/>
            <w:vAlign w:val="bottom"/>
            <w:gridSpan w:val="2"/>
          </w:tcPr>
          <w:p>
            <w:pPr>
              <w:jc w:val="center"/>
              <w:ind w:right="60"/>
              <w:spacing w:after="0" w:line="122" w:lineRule="exact"/>
              <w:rPr>
                <w:sz w:val="20"/>
                <w:szCs w:val="20"/>
                <w:color w:val="auto"/>
              </w:rPr>
            </w:pPr>
            <w:r>
              <w:rPr>
                <w:rFonts w:ascii="Arial" w:cs="Arial" w:eastAsia="Arial" w:hAnsi="Arial"/>
                <w:sz w:val="13"/>
                <w:szCs w:val="13"/>
                <w:color w:val="auto"/>
                <w:w w:val="95"/>
              </w:rPr>
              <w:t>Other Media</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3"/>
                <w:szCs w:val="13"/>
                <w:color w:val="auto"/>
              </w:rPr>
              <w:t>5.00%</w:t>
            </w:r>
          </w:p>
        </w:tc>
        <w:tc>
          <w:tcPr>
            <w:tcW w:w="280" w:type="dxa"/>
            <w:vAlign w:val="bottom"/>
            <w:vMerge w:val="continue"/>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L+400</w:t>
            </w:r>
          </w:p>
        </w:tc>
        <w:tc>
          <w:tcPr>
            <w:tcW w:w="300" w:type="dxa"/>
            <w:vAlign w:val="bottom"/>
            <w:vMerge w:val="continue"/>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w w:val="95"/>
              </w:rPr>
              <w:t>37,779,699</w:t>
            </w:r>
          </w:p>
        </w:tc>
        <w:tc>
          <w:tcPr>
            <w:tcW w:w="80" w:type="dxa"/>
            <w:vAlign w:val="bottom"/>
          </w:tcPr>
          <w:p>
            <w:pPr>
              <w:spacing w:after="0"/>
              <w:rPr>
                <w:sz w:val="10"/>
                <w:szCs w:val="10"/>
                <w:color w:val="auto"/>
              </w:rPr>
            </w:pPr>
          </w:p>
        </w:tc>
        <w:tc>
          <w:tcPr>
            <w:tcW w:w="980" w:type="dxa"/>
            <w:vAlign w:val="bottom"/>
            <w:gridSpan w:val="3"/>
          </w:tcPr>
          <w:p>
            <w:pPr>
              <w:jc w:val="right"/>
              <w:ind w:right="160"/>
              <w:spacing w:after="0" w:line="122" w:lineRule="exact"/>
              <w:rPr>
                <w:sz w:val="20"/>
                <w:szCs w:val="20"/>
                <w:color w:val="auto"/>
              </w:rPr>
            </w:pPr>
            <w:r>
              <w:rPr>
                <w:rFonts w:ascii="Arial" w:cs="Arial" w:eastAsia="Arial" w:hAnsi="Arial"/>
                <w:sz w:val="13"/>
                <w:szCs w:val="13"/>
                <w:color w:val="auto"/>
              </w:rPr>
              <w:t>32,241,162</w:t>
            </w:r>
          </w:p>
        </w:tc>
        <w:tc>
          <w:tcPr>
            <w:tcW w:w="760" w:type="dxa"/>
            <w:vAlign w:val="bottom"/>
          </w:tcPr>
          <w:p>
            <w:pPr>
              <w:jc w:val="right"/>
              <w:spacing w:after="0" w:line="122" w:lineRule="exact"/>
              <w:rPr>
                <w:sz w:val="20"/>
                <w:szCs w:val="20"/>
                <w:color w:val="auto"/>
              </w:rPr>
            </w:pPr>
            <w:r>
              <w:rPr>
                <w:rFonts w:ascii="Arial" w:cs="Arial" w:eastAsia="Arial" w:hAnsi="Arial"/>
                <w:sz w:val="13"/>
                <w:szCs w:val="13"/>
                <w:color w:val="auto"/>
              </w:rPr>
              <w:t>26,130,971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20" w:type="dxa"/>
            <w:vAlign w:val="bottom"/>
          </w:tcPr>
          <w:p>
            <w:pPr>
              <w:spacing w:after="0"/>
              <w:rPr>
                <w:sz w:val="20"/>
                <w:szCs w:val="20"/>
                <w:color w:val="auto"/>
              </w:rPr>
            </w:pPr>
            <w:r>
              <w:rPr>
                <w:rFonts w:ascii="Arial" w:cs="Arial" w:eastAsia="Arial" w:hAnsi="Arial"/>
                <w:sz w:val="13"/>
                <w:szCs w:val="13"/>
                <w:color w:val="auto"/>
              </w:rPr>
              <w:t>Prepaid Legal Services, Inc., Tranche A</w:t>
            </w:r>
          </w:p>
        </w:tc>
        <w:tc>
          <w:tcPr>
            <w:tcW w:w="1700" w:type="dxa"/>
            <w:vAlign w:val="bottom"/>
          </w:tcPr>
          <w:p>
            <w:pPr>
              <w:jc w:val="center"/>
              <w:ind w:left="933"/>
              <w:spacing w:after="0"/>
              <w:rPr>
                <w:sz w:val="20"/>
                <w:szCs w:val="20"/>
                <w:color w:val="auto"/>
              </w:rPr>
            </w:pPr>
            <w:r>
              <w:rPr>
                <w:rFonts w:ascii="Arial" w:cs="Arial" w:eastAsia="Arial" w:hAnsi="Arial"/>
                <w:sz w:val="13"/>
                <w:szCs w:val="13"/>
                <w:color w:val="auto"/>
                <w:w w:val="95"/>
              </w:rPr>
              <w:t>12/30/2016</w:t>
            </w:r>
          </w:p>
        </w:tc>
        <w:tc>
          <w:tcPr>
            <w:tcW w:w="1580" w:type="dxa"/>
            <w:vAlign w:val="bottom"/>
            <w:gridSpan w:val="2"/>
          </w:tcPr>
          <w:p>
            <w:pPr>
              <w:jc w:val="center"/>
              <w:ind w:right="60"/>
              <w:spacing w:after="0"/>
              <w:rPr>
                <w:sz w:val="20"/>
                <w:szCs w:val="20"/>
                <w:color w:val="auto"/>
              </w:rPr>
            </w:pPr>
            <w:r>
              <w:rPr>
                <w:rFonts w:ascii="Arial" w:cs="Arial" w:eastAsia="Arial" w:hAnsi="Arial"/>
                <w:sz w:val="13"/>
                <w:szCs w:val="13"/>
                <w:color w:val="auto"/>
                <w:w w:val="91"/>
              </w:rPr>
              <w:t>Personal, Food and</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7.50%</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640" w:type="dxa"/>
            <w:vAlign w:val="bottom"/>
          </w:tcPr>
          <w:p>
            <w:pPr>
              <w:jc w:val="right"/>
              <w:spacing w:after="0"/>
              <w:rPr>
                <w:sz w:val="20"/>
                <w:szCs w:val="20"/>
                <w:color w:val="auto"/>
              </w:rPr>
            </w:pPr>
            <w:r>
              <w:rPr>
                <w:rFonts w:ascii="Arial" w:cs="Arial" w:eastAsia="Arial" w:hAnsi="Arial"/>
                <w:sz w:val="13"/>
                <w:szCs w:val="13"/>
                <w:color w:val="auto"/>
              </w:rPr>
              <w:t>L+600</w:t>
            </w:r>
          </w:p>
        </w:tc>
        <w:tc>
          <w:tcPr>
            <w:tcW w:w="300" w:type="dxa"/>
            <w:vAlign w:val="bottom"/>
          </w:tcPr>
          <w:p>
            <w:pPr>
              <w:jc w:val="right"/>
              <w:ind w:right="124"/>
              <w:spacing w:after="0"/>
              <w:rPr>
                <w:sz w:val="20"/>
                <w:szCs w:val="20"/>
                <w:color w:val="auto"/>
              </w:rPr>
            </w:pPr>
            <w:r>
              <w:rPr>
                <w:rFonts w:ascii="Arial" w:cs="Arial" w:eastAsia="Arial" w:hAnsi="Arial"/>
                <w:sz w:val="11"/>
                <w:szCs w:val="11"/>
                <w:color w:val="auto"/>
                <w:w w:val="74"/>
              </w:rPr>
              <w:t>(8)</w:t>
            </w:r>
          </w:p>
        </w:tc>
        <w:tc>
          <w:tcPr>
            <w:tcW w:w="640" w:type="dxa"/>
            <w:vAlign w:val="bottom"/>
          </w:tcPr>
          <w:p>
            <w:pPr>
              <w:jc w:val="right"/>
              <w:spacing w:after="0"/>
              <w:rPr>
                <w:sz w:val="20"/>
                <w:szCs w:val="20"/>
                <w:color w:val="auto"/>
              </w:rPr>
            </w:pPr>
            <w:r>
              <w:rPr>
                <w:rFonts w:ascii="Arial" w:cs="Arial" w:eastAsia="Arial" w:hAnsi="Arial"/>
                <w:sz w:val="13"/>
                <w:szCs w:val="13"/>
                <w:color w:val="auto"/>
              </w:rPr>
              <w:t>2,000,000</w:t>
            </w:r>
          </w:p>
        </w:tc>
        <w:tc>
          <w:tcPr>
            <w:tcW w:w="8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1,970,966</w:t>
            </w:r>
          </w:p>
        </w:tc>
        <w:tc>
          <w:tcPr>
            <w:tcW w:w="760" w:type="dxa"/>
            <w:vAlign w:val="bottom"/>
          </w:tcPr>
          <w:p>
            <w:pPr>
              <w:jc w:val="right"/>
              <w:spacing w:after="0"/>
              <w:rPr>
                <w:sz w:val="20"/>
                <w:szCs w:val="20"/>
                <w:color w:val="auto"/>
              </w:rPr>
            </w:pPr>
            <w:r>
              <w:rPr>
                <w:rFonts w:ascii="Arial" w:cs="Arial" w:eastAsia="Arial" w:hAnsi="Arial"/>
                <w:sz w:val="13"/>
                <w:szCs w:val="13"/>
                <w:color w:val="auto"/>
              </w:rPr>
              <w:t>1,900,000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4"/>
              </w:rPr>
              <w:t>Miscellaneous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Services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vMerge w:val="restart"/>
          </w:tcPr>
          <w:p>
            <w:pPr>
              <w:jc w:val="right"/>
              <w:ind w:right="84"/>
              <w:spacing w:after="0"/>
              <w:rPr>
                <w:sz w:val="20"/>
                <w:szCs w:val="20"/>
                <w:color w:val="auto"/>
              </w:rPr>
            </w:pPr>
            <w:r>
              <w:rPr>
                <w:rFonts w:ascii="Arial" w:cs="Arial" w:eastAsia="Arial" w:hAnsi="Arial"/>
                <w:sz w:val="11"/>
                <w:szCs w:val="11"/>
                <w:color w:val="auto"/>
                <w:w w:val="88"/>
              </w:rPr>
              <w:t>(6)</w:t>
            </w:r>
          </w:p>
        </w:tc>
        <w:tc>
          <w:tcPr>
            <w:tcW w:w="640" w:type="dxa"/>
            <w:vAlign w:val="bottom"/>
          </w:tcPr>
          <w:p>
            <w:pPr>
              <w:spacing w:after="0"/>
              <w:rPr>
                <w:sz w:val="14"/>
                <w:szCs w:val="14"/>
                <w:color w:val="auto"/>
              </w:rPr>
            </w:pP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auto"/>
                <w:w w:val="74"/>
              </w:rPr>
              <w:t>(8)</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20" w:type="dxa"/>
            <w:vAlign w:val="bottom"/>
          </w:tcPr>
          <w:p>
            <w:pPr>
              <w:spacing w:after="0" w:line="138" w:lineRule="exact"/>
              <w:rPr>
                <w:sz w:val="20"/>
                <w:szCs w:val="20"/>
                <w:color w:val="auto"/>
              </w:rPr>
            </w:pPr>
            <w:r>
              <w:rPr>
                <w:rFonts w:ascii="Arial" w:cs="Arial" w:eastAsia="Arial" w:hAnsi="Arial"/>
                <w:sz w:val="13"/>
                <w:szCs w:val="13"/>
                <w:color w:val="auto"/>
              </w:rPr>
              <w:t>Prepaid Legal Services, Inc., Tranche B</w:t>
            </w:r>
          </w:p>
        </w:tc>
        <w:tc>
          <w:tcPr>
            <w:tcW w:w="1700" w:type="dxa"/>
            <w:vAlign w:val="bottom"/>
          </w:tcPr>
          <w:p>
            <w:pPr>
              <w:jc w:val="center"/>
              <w:ind w:left="933"/>
              <w:spacing w:after="0" w:line="138" w:lineRule="exact"/>
              <w:rPr>
                <w:sz w:val="20"/>
                <w:szCs w:val="20"/>
                <w:color w:val="auto"/>
              </w:rPr>
            </w:pPr>
            <w:r>
              <w:rPr>
                <w:rFonts w:ascii="Arial" w:cs="Arial" w:eastAsia="Arial" w:hAnsi="Arial"/>
                <w:sz w:val="13"/>
                <w:szCs w:val="13"/>
                <w:color w:val="auto"/>
                <w:w w:val="95"/>
              </w:rPr>
              <w:t>12/30/2016</w:t>
            </w:r>
          </w:p>
        </w:tc>
        <w:tc>
          <w:tcPr>
            <w:tcW w:w="1580" w:type="dxa"/>
            <w:vAlign w:val="bottom"/>
            <w:gridSpan w:val="2"/>
          </w:tcPr>
          <w:p>
            <w:pPr>
              <w:jc w:val="center"/>
              <w:ind w:right="60"/>
              <w:spacing w:after="0" w:line="138" w:lineRule="exact"/>
              <w:rPr>
                <w:sz w:val="20"/>
                <w:szCs w:val="20"/>
                <w:color w:val="auto"/>
              </w:rPr>
            </w:pPr>
            <w:r>
              <w:rPr>
                <w:rFonts w:ascii="Arial" w:cs="Arial" w:eastAsia="Arial" w:hAnsi="Arial"/>
                <w:sz w:val="13"/>
                <w:szCs w:val="13"/>
                <w:color w:val="auto"/>
                <w:w w:val="91"/>
              </w:rPr>
              <w:t>Personal, Food and</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11.00%</w:t>
            </w:r>
          </w:p>
        </w:tc>
        <w:tc>
          <w:tcPr>
            <w:tcW w:w="280" w:type="dxa"/>
            <w:vAlign w:val="bottom"/>
            <w:vMerge w:val="continue"/>
          </w:tcPr>
          <w:p>
            <w:pPr>
              <w:spacing w:after="0"/>
              <w:rPr>
                <w:sz w:val="12"/>
                <w:szCs w:val="12"/>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L+950</w:t>
            </w:r>
          </w:p>
        </w:tc>
        <w:tc>
          <w:tcPr>
            <w:tcW w:w="300" w:type="dxa"/>
            <w:vAlign w:val="bottom"/>
            <w:vMerge w:val="continue"/>
          </w:tcPr>
          <w:p>
            <w:pPr>
              <w:spacing w:after="0"/>
              <w:rPr>
                <w:sz w:val="12"/>
                <w:szCs w:val="12"/>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w w:val="95"/>
              </w:rPr>
              <w:t>35,000,000</w:t>
            </w:r>
          </w:p>
        </w:tc>
        <w:tc>
          <w:tcPr>
            <w:tcW w:w="80" w:type="dxa"/>
            <w:vAlign w:val="bottom"/>
          </w:tcPr>
          <w:p>
            <w:pPr>
              <w:spacing w:after="0"/>
              <w:rPr>
                <w:sz w:val="12"/>
                <w:szCs w:val="12"/>
                <w:color w:val="auto"/>
              </w:rPr>
            </w:pPr>
          </w:p>
        </w:tc>
        <w:tc>
          <w:tcPr>
            <w:tcW w:w="98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33,978,263</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33,250,000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4"/>
              </w:rPr>
              <w:t>Miscellaneous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6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Services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auto"/>
                <w:w w:val="74"/>
              </w:rPr>
              <w:t>(8)</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20" w:type="dxa"/>
            <w:vAlign w:val="bottom"/>
          </w:tcPr>
          <w:p>
            <w:pPr>
              <w:spacing w:after="0" w:line="122" w:lineRule="exact"/>
              <w:rPr>
                <w:sz w:val="20"/>
                <w:szCs w:val="20"/>
                <w:color w:val="auto"/>
              </w:rPr>
            </w:pPr>
            <w:r>
              <w:rPr>
                <w:rFonts w:ascii="Arial" w:cs="Arial" w:eastAsia="Arial" w:hAnsi="Arial"/>
                <w:sz w:val="13"/>
                <w:szCs w:val="13"/>
                <w:color w:val="auto"/>
              </w:rPr>
              <w:t>Questex Media Group LLC</w:t>
            </w:r>
          </w:p>
        </w:tc>
        <w:tc>
          <w:tcPr>
            <w:tcW w:w="1700" w:type="dxa"/>
            <w:vAlign w:val="bottom"/>
          </w:tcPr>
          <w:p>
            <w:pPr>
              <w:jc w:val="center"/>
              <w:ind w:left="933"/>
              <w:spacing w:after="0" w:line="122" w:lineRule="exact"/>
              <w:rPr>
                <w:sz w:val="20"/>
                <w:szCs w:val="20"/>
                <w:color w:val="auto"/>
              </w:rPr>
            </w:pPr>
            <w:r>
              <w:rPr>
                <w:rFonts w:ascii="Arial" w:cs="Arial" w:eastAsia="Arial" w:hAnsi="Arial"/>
                <w:sz w:val="13"/>
                <w:szCs w:val="13"/>
                <w:color w:val="auto"/>
                <w:w w:val="95"/>
              </w:rPr>
              <w:t>12/16/2012</w:t>
            </w:r>
          </w:p>
        </w:tc>
        <w:tc>
          <w:tcPr>
            <w:tcW w:w="1580" w:type="dxa"/>
            <w:vAlign w:val="bottom"/>
            <w:gridSpan w:val="2"/>
          </w:tcPr>
          <w:p>
            <w:pPr>
              <w:jc w:val="center"/>
              <w:ind w:right="60"/>
              <w:spacing w:after="0" w:line="122" w:lineRule="exact"/>
              <w:rPr>
                <w:sz w:val="20"/>
                <w:szCs w:val="20"/>
                <w:color w:val="auto"/>
              </w:rPr>
            </w:pPr>
            <w:r>
              <w:rPr>
                <w:rFonts w:ascii="Arial" w:cs="Arial" w:eastAsia="Arial" w:hAnsi="Arial"/>
                <w:sz w:val="13"/>
                <w:szCs w:val="13"/>
                <w:color w:val="auto"/>
                <w:w w:val="95"/>
              </w:rPr>
              <w:t>Other Media</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3"/>
                <w:szCs w:val="13"/>
                <w:color w:val="auto"/>
              </w:rPr>
              <w:t>10.50%</w:t>
            </w:r>
          </w:p>
        </w:tc>
        <w:tc>
          <w:tcPr>
            <w:tcW w:w="2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L+550</w:t>
            </w:r>
          </w:p>
        </w:tc>
        <w:tc>
          <w:tcPr>
            <w:tcW w:w="300" w:type="dxa"/>
            <w:vAlign w:val="bottom"/>
            <w:vMerge w:val="continue"/>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26,721</w:t>
            </w:r>
          </w:p>
        </w:tc>
        <w:tc>
          <w:tcPr>
            <w:tcW w:w="80" w:type="dxa"/>
            <w:vAlign w:val="bottom"/>
          </w:tcPr>
          <w:p>
            <w:pPr>
              <w:spacing w:after="0"/>
              <w:rPr>
                <w:sz w:val="10"/>
                <w:szCs w:val="10"/>
                <w:color w:val="auto"/>
              </w:rPr>
            </w:pPr>
          </w:p>
        </w:tc>
        <w:tc>
          <w:tcPr>
            <w:tcW w:w="980" w:type="dxa"/>
            <w:vAlign w:val="bottom"/>
            <w:gridSpan w:val="3"/>
          </w:tcPr>
          <w:p>
            <w:pPr>
              <w:jc w:val="right"/>
              <w:ind w:right="160"/>
              <w:spacing w:after="0" w:line="122" w:lineRule="exact"/>
              <w:rPr>
                <w:sz w:val="20"/>
                <w:szCs w:val="20"/>
                <w:color w:val="auto"/>
              </w:rPr>
            </w:pPr>
            <w:r>
              <w:rPr>
                <w:rFonts w:ascii="Arial" w:cs="Arial" w:eastAsia="Arial" w:hAnsi="Arial"/>
                <w:sz w:val="13"/>
                <w:szCs w:val="13"/>
                <w:color w:val="auto"/>
              </w:rPr>
              <w:t>26,721</w:t>
            </w:r>
          </w:p>
        </w:tc>
        <w:tc>
          <w:tcPr>
            <w:tcW w:w="760" w:type="dxa"/>
            <w:vAlign w:val="bottom"/>
          </w:tcPr>
          <w:p>
            <w:pPr>
              <w:jc w:val="right"/>
              <w:spacing w:after="0" w:line="122" w:lineRule="exact"/>
              <w:rPr>
                <w:sz w:val="20"/>
                <w:szCs w:val="20"/>
                <w:color w:val="auto"/>
              </w:rPr>
            </w:pPr>
            <w:r>
              <w:rPr>
                <w:rFonts w:ascii="Arial" w:cs="Arial" w:eastAsia="Arial" w:hAnsi="Arial"/>
                <w:sz w:val="13"/>
                <w:szCs w:val="13"/>
                <w:color w:val="auto"/>
              </w:rPr>
              <w:t>26,721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line="176" w:lineRule="exact"/>
              <w:rPr>
                <w:sz w:val="20"/>
                <w:szCs w:val="20"/>
                <w:color w:val="auto"/>
              </w:rPr>
            </w:pPr>
            <w:r>
              <w:rPr>
                <w:rFonts w:ascii="Arial" w:cs="Arial" w:eastAsia="Arial" w:hAnsi="Arial"/>
                <w:sz w:val="12"/>
                <w:szCs w:val="12"/>
                <w:color w:val="auto"/>
              </w:rPr>
              <w:t xml:space="preserve">Questex Media Group LLC </w:t>
            </w:r>
            <w:r>
              <w:rPr>
                <w:rFonts w:ascii="Arial" w:cs="Arial" w:eastAsia="Arial" w:hAnsi="Arial"/>
                <w:sz w:val="20"/>
                <w:szCs w:val="20"/>
                <w:color w:val="auto"/>
                <w:vertAlign w:val="superscript"/>
              </w:rPr>
              <w:t>(9)</w:t>
            </w:r>
          </w:p>
        </w:tc>
        <w:tc>
          <w:tcPr>
            <w:tcW w:w="1700" w:type="dxa"/>
            <w:vAlign w:val="bottom"/>
          </w:tcPr>
          <w:p>
            <w:pPr>
              <w:jc w:val="center"/>
              <w:ind w:left="933"/>
              <w:spacing w:after="0"/>
              <w:rPr>
                <w:sz w:val="20"/>
                <w:szCs w:val="20"/>
                <w:color w:val="auto"/>
              </w:rPr>
            </w:pPr>
            <w:r>
              <w:rPr>
                <w:rFonts w:ascii="Arial" w:cs="Arial" w:eastAsia="Arial" w:hAnsi="Arial"/>
                <w:sz w:val="13"/>
                <w:szCs w:val="13"/>
                <w:color w:val="auto"/>
                <w:w w:val="95"/>
              </w:rPr>
              <w:t>12/16/2012</w:t>
            </w:r>
          </w:p>
        </w:tc>
        <w:tc>
          <w:tcPr>
            <w:tcW w:w="1580" w:type="dxa"/>
            <w:vAlign w:val="bottom"/>
            <w:gridSpan w:val="2"/>
          </w:tcPr>
          <w:p>
            <w:pPr>
              <w:jc w:val="center"/>
              <w:ind w:right="60"/>
              <w:spacing w:after="0"/>
              <w:rPr>
                <w:sz w:val="20"/>
                <w:szCs w:val="20"/>
                <w:color w:val="auto"/>
              </w:rPr>
            </w:pPr>
            <w:r>
              <w:rPr>
                <w:rFonts w:ascii="Arial" w:cs="Arial" w:eastAsia="Arial" w:hAnsi="Arial"/>
                <w:sz w:val="13"/>
                <w:szCs w:val="13"/>
                <w:color w:val="auto"/>
                <w:w w:val="95"/>
              </w:rPr>
              <w:t>Other Media</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auto"/>
                <w:w w:val="74"/>
              </w:rPr>
              <w:t>(8)</w:t>
            </w:r>
          </w:p>
        </w:tc>
        <w:tc>
          <w:tcPr>
            <w:tcW w:w="640" w:type="dxa"/>
            <w:vAlign w:val="bottom"/>
          </w:tcPr>
          <w:p>
            <w:pPr>
              <w:jc w:val="right"/>
              <w:spacing w:after="0"/>
              <w:rPr>
                <w:sz w:val="20"/>
                <w:szCs w:val="20"/>
                <w:color w:val="auto"/>
              </w:rPr>
            </w:pPr>
            <w:r>
              <w:rPr>
                <w:rFonts w:ascii="Arial" w:cs="Arial" w:eastAsia="Arial" w:hAnsi="Arial"/>
                <w:sz w:val="13"/>
                <w:szCs w:val="13"/>
                <w:color w:val="auto"/>
              </w:rPr>
              <w:t>240,485</w:t>
            </w:r>
          </w:p>
        </w:tc>
        <w:tc>
          <w:tcPr>
            <w:tcW w:w="8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240,485</w:t>
            </w:r>
          </w:p>
        </w:tc>
        <w:tc>
          <w:tcPr>
            <w:tcW w:w="760" w:type="dxa"/>
            <w:vAlign w:val="bottom"/>
          </w:tcPr>
          <w:p>
            <w:pPr>
              <w:jc w:val="right"/>
              <w:spacing w:after="0"/>
              <w:rPr>
                <w:sz w:val="20"/>
                <w:szCs w:val="20"/>
                <w:color w:val="auto"/>
              </w:rPr>
            </w:pPr>
            <w:r>
              <w:rPr>
                <w:rFonts w:ascii="Arial" w:cs="Arial" w:eastAsia="Arial" w:hAnsi="Arial"/>
                <w:sz w:val="13"/>
                <w:szCs w:val="13"/>
                <w:color w:val="auto"/>
              </w:rPr>
              <w:t>240,485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20"/>
                <w:szCs w:val="20"/>
                <w:color w:val="auto"/>
              </w:rPr>
            </w:pPr>
            <w:r>
              <w:rPr>
                <w:rFonts w:ascii="Arial" w:cs="Arial" w:eastAsia="Arial" w:hAnsi="Arial"/>
                <w:sz w:val="13"/>
                <w:szCs w:val="13"/>
                <w:color w:val="auto"/>
              </w:rPr>
              <w:t>VPSI, Inc.</w:t>
            </w:r>
          </w:p>
        </w:tc>
        <w:tc>
          <w:tcPr>
            <w:tcW w:w="1700" w:type="dxa"/>
            <w:vAlign w:val="bottom"/>
          </w:tcPr>
          <w:p>
            <w:pPr>
              <w:jc w:val="center"/>
              <w:ind w:left="933"/>
              <w:spacing w:after="0"/>
              <w:rPr>
                <w:sz w:val="20"/>
                <w:szCs w:val="20"/>
                <w:color w:val="auto"/>
              </w:rPr>
            </w:pPr>
            <w:r>
              <w:rPr>
                <w:rFonts w:ascii="Arial" w:cs="Arial" w:eastAsia="Arial" w:hAnsi="Arial"/>
                <w:sz w:val="13"/>
                <w:szCs w:val="13"/>
                <w:color w:val="auto"/>
                <w:w w:val="95"/>
              </w:rPr>
              <w:t>12/23/2015</w:t>
            </w:r>
          </w:p>
        </w:tc>
        <w:tc>
          <w:tcPr>
            <w:tcW w:w="1580" w:type="dxa"/>
            <w:vAlign w:val="bottom"/>
            <w:gridSpan w:val="2"/>
          </w:tcPr>
          <w:p>
            <w:pPr>
              <w:jc w:val="center"/>
              <w:ind w:right="60"/>
              <w:spacing w:after="0"/>
              <w:rPr>
                <w:sz w:val="20"/>
                <w:szCs w:val="20"/>
                <w:color w:val="auto"/>
              </w:rPr>
            </w:pPr>
            <w:r>
              <w:rPr>
                <w:rFonts w:ascii="Arial" w:cs="Arial" w:eastAsia="Arial" w:hAnsi="Arial"/>
                <w:sz w:val="13"/>
                <w:szCs w:val="13"/>
                <w:color w:val="auto"/>
                <w:w w:val="92"/>
              </w:rPr>
              <w:t>Personal Transportation</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12.00%</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L+1,000</w:t>
            </w:r>
          </w:p>
        </w:tc>
        <w:tc>
          <w:tcPr>
            <w:tcW w:w="300" w:type="dxa"/>
            <w:vAlign w:val="bottom"/>
            <w:vMerge w:val="continue"/>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17,302,083</w:t>
            </w:r>
          </w:p>
        </w:tc>
        <w:tc>
          <w:tcPr>
            <w:tcW w:w="8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17,047,133</w:t>
            </w:r>
          </w:p>
        </w:tc>
        <w:tc>
          <w:tcPr>
            <w:tcW w:w="760" w:type="dxa"/>
            <w:vAlign w:val="bottom"/>
          </w:tcPr>
          <w:p>
            <w:pPr>
              <w:jc w:val="right"/>
              <w:spacing w:after="0"/>
              <w:rPr>
                <w:sz w:val="20"/>
                <w:szCs w:val="20"/>
                <w:color w:val="auto"/>
              </w:rPr>
            </w:pPr>
            <w:r>
              <w:rPr>
                <w:rFonts w:ascii="Arial" w:cs="Arial" w:eastAsia="Arial" w:hAnsi="Arial"/>
                <w:sz w:val="13"/>
                <w:szCs w:val="13"/>
                <w:color w:val="auto"/>
              </w:rPr>
              <w:t>17,215,572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2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Yonkers Racing Corp. </w:t>
            </w:r>
            <w:r>
              <w:rPr>
                <w:rFonts w:ascii="Arial" w:cs="Arial" w:eastAsia="Arial" w:hAnsi="Arial"/>
                <w:sz w:val="15"/>
                <w:szCs w:val="15"/>
                <w:color w:val="auto"/>
                <w:vertAlign w:val="superscript"/>
              </w:rPr>
              <w:t>(5)</w:t>
            </w:r>
          </w:p>
        </w:tc>
        <w:tc>
          <w:tcPr>
            <w:tcW w:w="1700" w:type="dxa"/>
            <w:vAlign w:val="bottom"/>
            <w:shd w:val="clear" w:color="auto" w:fill="CCEEFF"/>
          </w:tcPr>
          <w:p>
            <w:pPr>
              <w:jc w:val="center"/>
              <w:ind w:left="933"/>
              <w:spacing w:after="0" w:line="138" w:lineRule="exact"/>
              <w:rPr>
                <w:sz w:val="20"/>
                <w:szCs w:val="20"/>
                <w:color w:val="auto"/>
              </w:rPr>
            </w:pPr>
            <w:r>
              <w:rPr>
                <w:rFonts w:ascii="Arial" w:cs="Arial" w:eastAsia="Arial" w:hAnsi="Arial"/>
                <w:sz w:val="13"/>
                <w:szCs w:val="13"/>
                <w:color w:val="auto"/>
                <w:w w:val="95"/>
              </w:rPr>
              <w:t>07/15/2016</w:t>
            </w:r>
          </w:p>
        </w:tc>
        <w:tc>
          <w:tcPr>
            <w:tcW w:w="1580" w:type="dxa"/>
            <w:vAlign w:val="bottom"/>
            <w:gridSpan w:val="2"/>
            <w:shd w:val="clear" w:color="auto" w:fill="CCEEFF"/>
          </w:tcPr>
          <w:p>
            <w:pPr>
              <w:jc w:val="center"/>
              <w:ind w:right="40"/>
              <w:spacing w:after="0" w:line="138" w:lineRule="exact"/>
              <w:rPr>
                <w:sz w:val="20"/>
                <w:szCs w:val="20"/>
                <w:color w:val="auto"/>
              </w:rPr>
            </w:pPr>
            <w:r>
              <w:rPr>
                <w:rFonts w:ascii="Arial" w:cs="Arial" w:eastAsia="Arial" w:hAnsi="Arial"/>
                <w:sz w:val="13"/>
                <w:szCs w:val="13"/>
                <w:color w:val="auto"/>
                <w:w w:val="96"/>
              </w:rPr>
              <w:t>Hotels, Motels, Inns</w:t>
            </w:r>
          </w:p>
        </w:tc>
        <w:tc>
          <w:tcPr>
            <w:tcW w:w="6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11.38%</w:t>
            </w: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4,500,000</w:t>
            </w:r>
          </w:p>
        </w:tc>
        <w:tc>
          <w:tcPr>
            <w:tcW w:w="8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4,391,231</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4,590,000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6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3"/>
              </w:rPr>
              <w:t>and Gaming</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620" w:type="dxa"/>
            <w:vAlign w:val="bottom"/>
          </w:tcPr>
          <w:p>
            <w:pPr>
              <w:spacing w:after="0"/>
              <w:rPr>
                <w:sz w:val="20"/>
                <w:szCs w:val="20"/>
                <w:color w:val="auto"/>
              </w:rPr>
            </w:pPr>
            <w:r>
              <w:rPr>
                <w:rFonts w:ascii="Arial" w:cs="Arial" w:eastAsia="Arial" w:hAnsi="Arial"/>
                <w:sz w:val="13"/>
                <w:szCs w:val="13"/>
                <w:b w:val="1"/>
                <w:bCs w:val="1"/>
                <w:color w:val="auto"/>
              </w:rPr>
              <w:t>Total First Lien Secured Debt</w:t>
            </w:r>
          </w:p>
        </w:tc>
        <w:tc>
          <w:tcPr>
            <w:tcW w:w="1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289,742,323</w:t>
            </w:r>
          </w:p>
        </w:tc>
        <w:tc>
          <w:tcPr>
            <w:tcW w:w="760" w:type="dxa"/>
            <w:vAlign w:val="bottom"/>
          </w:tcPr>
          <w:p>
            <w:pPr>
              <w:jc w:val="right"/>
              <w:spacing w:after="0"/>
              <w:rPr>
                <w:sz w:val="20"/>
                <w:szCs w:val="20"/>
                <w:color w:val="auto"/>
              </w:rPr>
            </w:pPr>
            <w:r>
              <w:rPr>
                <w:rFonts w:ascii="Arial" w:cs="Arial" w:eastAsia="Arial" w:hAnsi="Arial"/>
                <w:sz w:val="13"/>
                <w:szCs w:val="13"/>
                <w:color w:val="auto"/>
              </w:rPr>
              <w:t>280,144,815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Second Lien Secured Debt—32.9%</w:t>
            </w:r>
          </w:p>
        </w:tc>
        <w:tc>
          <w:tcPr>
            <w:tcW w:w="17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20"/>
                <w:szCs w:val="20"/>
                <w:color w:val="auto"/>
              </w:rPr>
            </w:pPr>
            <w:r>
              <w:rPr>
                <w:rFonts w:ascii="Arial" w:cs="Arial" w:eastAsia="Arial" w:hAnsi="Arial"/>
                <w:sz w:val="13"/>
                <w:szCs w:val="13"/>
                <w:color w:val="auto"/>
              </w:rPr>
              <w:t>Brand Energy and Infrastructure Services, Inc.</w:t>
            </w:r>
          </w:p>
        </w:tc>
        <w:tc>
          <w:tcPr>
            <w:tcW w:w="1700" w:type="dxa"/>
            <w:vAlign w:val="bottom"/>
          </w:tcPr>
          <w:p>
            <w:pPr>
              <w:jc w:val="center"/>
              <w:ind w:left="933"/>
              <w:spacing w:after="0"/>
              <w:rPr>
                <w:sz w:val="20"/>
                <w:szCs w:val="20"/>
                <w:color w:val="auto"/>
              </w:rPr>
            </w:pPr>
            <w:r>
              <w:rPr>
                <w:rFonts w:ascii="Arial" w:cs="Arial" w:eastAsia="Arial" w:hAnsi="Arial"/>
                <w:sz w:val="13"/>
                <w:szCs w:val="13"/>
                <w:color w:val="auto"/>
                <w:w w:val="95"/>
              </w:rPr>
              <w:t>02/07/2015</w:t>
            </w: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Energy/Utilities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6.30%</w:t>
            </w:r>
          </w:p>
        </w:tc>
        <w:tc>
          <w:tcPr>
            <w:tcW w:w="280" w:type="dxa"/>
            <w:vAlign w:val="bottom"/>
          </w:tcPr>
          <w:p>
            <w:pPr>
              <w:spacing w:after="0"/>
              <w:rPr>
                <w:sz w:val="12"/>
                <w:szCs w:val="12"/>
                <w:color w:val="auto"/>
              </w:rPr>
            </w:pPr>
          </w:p>
        </w:tc>
        <w:tc>
          <w:tcPr>
            <w:tcW w:w="940" w:type="dxa"/>
            <w:vAlign w:val="bottom"/>
            <w:gridSpan w:val="2"/>
          </w:tcPr>
          <w:p>
            <w:pPr>
              <w:jc w:val="right"/>
              <w:ind w:right="244"/>
              <w:spacing w:after="0"/>
              <w:rPr>
                <w:sz w:val="20"/>
                <w:szCs w:val="20"/>
                <w:color w:val="auto"/>
              </w:rPr>
            </w:pPr>
            <w:r>
              <w:rPr>
                <w:rFonts w:ascii="Arial" w:cs="Arial" w:eastAsia="Arial" w:hAnsi="Arial"/>
                <w:sz w:val="13"/>
                <w:szCs w:val="13"/>
                <w:color w:val="auto"/>
              </w:rPr>
              <w:t>L+600</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13,600,000</w:t>
            </w:r>
          </w:p>
        </w:tc>
        <w:tc>
          <w:tcPr>
            <w:tcW w:w="8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13,300,431</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11,832,000</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Brand Energy and Infrastructure Services, Inc.</w:t>
            </w:r>
          </w:p>
        </w:tc>
        <w:tc>
          <w:tcPr>
            <w:tcW w:w="1700" w:type="dxa"/>
            <w:vAlign w:val="bottom"/>
            <w:shd w:val="clear" w:color="auto" w:fill="CCEEFF"/>
          </w:tcPr>
          <w:p>
            <w:pPr>
              <w:jc w:val="center"/>
              <w:ind w:left="933"/>
              <w:spacing w:after="0"/>
              <w:rPr>
                <w:sz w:val="20"/>
                <w:szCs w:val="20"/>
                <w:color w:val="auto"/>
              </w:rPr>
            </w:pPr>
            <w:r>
              <w:rPr>
                <w:rFonts w:ascii="Arial" w:cs="Arial" w:eastAsia="Arial" w:hAnsi="Arial"/>
                <w:sz w:val="13"/>
                <w:szCs w:val="13"/>
                <w:color w:val="auto"/>
                <w:w w:val="95"/>
              </w:rPr>
              <w:t>02/07/2015</w:t>
            </w:r>
          </w:p>
        </w:tc>
        <w:tc>
          <w:tcPr>
            <w:tcW w:w="15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Energy/Utilities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7.33%</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4"/>
              <w:spacing w:after="0"/>
              <w:rPr>
                <w:sz w:val="20"/>
                <w:szCs w:val="20"/>
                <w:color w:val="auto"/>
              </w:rPr>
            </w:pPr>
            <w:r>
              <w:rPr>
                <w:rFonts w:ascii="Arial" w:cs="Arial" w:eastAsia="Arial" w:hAnsi="Arial"/>
                <w:sz w:val="13"/>
                <w:szCs w:val="13"/>
                <w:color w:val="auto"/>
              </w:rPr>
              <w:t>L+700</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12,000,000</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11,821,275</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w:t>
            </w:r>
          </w:p>
        </w:tc>
        <w:tc>
          <w:tcPr>
            <w:tcW w:w="1700" w:type="dxa"/>
            <w:vAlign w:val="bottom"/>
          </w:tcPr>
          <w:p>
            <w:pPr>
              <w:jc w:val="center"/>
              <w:ind w:left="933"/>
              <w:spacing w:after="0"/>
              <w:rPr>
                <w:sz w:val="20"/>
                <w:szCs w:val="20"/>
                <w:color w:val="auto"/>
              </w:rPr>
            </w:pPr>
            <w:r>
              <w:rPr>
                <w:rFonts w:ascii="Arial" w:cs="Arial" w:eastAsia="Arial" w:hAnsi="Arial"/>
                <w:sz w:val="13"/>
                <w:szCs w:val="13"/>
                <w:color w:val="auto"/>
                <w:w w:val="95"/>
              </w:rPr>
              <w:t>02/01/2017</w:t>
            </w: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2"/>
              </w:rPr>
              <w:t>Consumer Products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12.00%</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5"/>
              </w:rPr>
              <w:t>34,000,000</w:t>
            </w:r>
          </w:p>
        </w:tc>
        <w:tc>
          <w:tcPr>
            <w:tcW w:w="8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31,944,865</w:t>
            </w:r>
          </w:p>
        </w:tc>
        <w:tc>
          <w:tcPr>
            <w:tcW w:w="760" w:type="dxa"/>
            <w:vAlign w:val="bottom"/>
          </w:tcPr>
          <w:p>
            <w:pPr>
              <w:jc w:val="right"/>
              <w:spacing w:after="0"/>
              <w:rPr>
                <w:sz w:val="20"/>
                <w:szCs w:val="20"/>
                <w:color w:val="auto"/>
              </w:rPr>
            </w:pPr>
            <w:r>
              <w:rPr>
                <w:rFonts w:ascii="Arial" w:cs="Arial" w:eastAsia="Arial" w:hAnsi="Arial"/>
                <w:sz w:val="13"/>
                <w:szCs w:val="13"/>
                <w:color w:val="auto"/>
              </w:rPr>
              <w:t>10,710,000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Eureka Hunter Pipeline, LLC</w:t>
            </w:r>
          </w:p>
        </w:tc>
        <w:tc>
          <w:tcPr>
            <w:tcW w:w="1700" w:type="dxa"/>
            <w:vAlign w:val="bottom"/>
            <w:shd w:val="clear" w:color="auto" w:fill="CCEEFF"/>
          </w:tcPr>
          <w:p>
            <w:pPr>
              <w:jc w:val="center"/>
              <w:ind w:left="933"/>
              <w:spacing w:after="0"/>
              <w:rPr>
                <w:sz w:val="20"/>
                <w:szCs w:val="20"/>
                <w:color w:val="auto"/>
              </w:rPr>
            </w:pPr>
            <w:r>
              <w:rPr>
                <w:rFonts w:ascii="Arial" w:cs="Arial" w:eastAsia="Arial" w:hAnsi="Arial"/>
                <w:sz w:val="13"/>
                <w:szCs w:val="13"/>
                <w:color w:val="auto"/>
                <w:w w:val="95"/>
              </w:rPr>
              <w:t>08/16/2018</w:t>
            </w:r>
          </w:p>
        </w:tc>
        <w:tc>
          <w:tcPr>
            <w:tcW w:w="1580" w:type="dxa"/>
            <w:vAlign w:val="bottom"/>
            <w:gridSpan w:val="2"/>
            <w:shd w:val="clear" w:color="auto" w:fill="CCEEFF"/>
          </w:tcPr>
          <w:p>
            <w:pPr>
              <w:jc w:val="center"/>
              <w:ind w:right="40"/>
              <w:spacing w:after="0"/>
              <w:rPr>
                <w:sz w:val="20"/>
                <w:szCs w:val="20"/>
                <w:color w:val="auto"/>
              </w:rPr>
            </w:pPr>
            <w:r>
              <w:rPr>
                <w:rFonts w:ascii="Arial" w:cs="Arial" w:eastAsia="Arial" w:hAnsi="Arial"/>
                <w:sz w:val="13"/>
                <w:szCs w:val="13"/>
                <w:color w:val="auto"/>
                <w:w w:val="99"/>
              </w:rPr>
              <w:t>Energy/Utilities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12.50%</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31,000,000</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31,000,000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Arial" w:cs="Arial" w:eastAsia="Arial" w:hAnsi="Arial"/>
                <w:sz w:val="11"/>
                <w:szCs w:val="11"/>
                <w:color w:val="auto"/>
              </w:rPr>
              <w:t xml:space="preserve">Eureka Hunter Pipeline, LLC </w:t>
            </w:r>
            <w:r>
              <w:rPr>
                <w:rFonts w:ascii="Arial" w:cs="Arial" w:eastAsia="Arial" w:hAnsi="Arial"/>
                <w:sz w:val="17"/>
                <w:szCs w:val="17"/>
                <w:color w:val="auto"/>
                <w:vertAlign w:val="superscript"/>
              </w:rPr>
              <w:t>(9)</w:t>
            </w:r>
          </w:p>
        </w:tc>
        <w:tc>
          <w:tcPr>
            <w:tcW w:w="1700" w:type="dxa"/>
            <w:vAlign w:val="bottom"/>
          </w:tcPr>
          <w:p>
            <w:pPr>
              <w:jc w:val="center"/>
              <w:ind w:left="933"/>
              <w:spacing w:after="0"/>
              <w:rPr>
                <w:sz w:val="20"/>
                <w:szCs w:val="20"/>
                <w:color w:val="auto"/>
              </w:rPr>
            </w:pPr>
            <w:r>
              <w:rPr>
                <w:rFonts w:ascii="Arial" w:cs="Arial" w:eastAsia="Arial" w:hAnsi="Arial"/>
                <w:sz w:val="13"/>
                <w:szCs w:val="13"/>
                <w:color w:val="auto"/>
                <w:w w:val="95"/>
              </w:rPr>
              <w:t>08/15/2012</w:t>
            </w:r>
          </w:p>
        </w:tc>
        <w:tc>
          <w:tcPr>
            <w:tcW w:w="1580" w:type="dxa"/>
            <w:vAlign w:val="bottom"/>
            <w:gridSpan w:val="2"/>
          </w:tcPr>
          <w:p>
            <w:pPr>
              <w:jc w:val="center"/>
              <w:ind w:right="40"/>
              <w:spacing w:after="0"/>
              <w:rPr>
                <w:sz w:val="20"/>
                <w:szCs w:val="20"/>
                <w:color w:val="auto"/>
              </w:rPr>
            </w:pPr>
            <w:r>
              <w:rPr>
                <w:rFonts w:ascii="Arial" w:cs="Arial" w:eastAsia="Arial" w:hAnsi="Arial"/>
                <w:sz w:val="13"/>
                <w:szCs w:val="13"/>
                <w:color w:val="auto"/>
                <w:w w:val="99"/>
              </w:rPr>
              <w:t>Energy/Utilities</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jc w:val="right"/>
              <w:ind w:right="84"/>
              <w:spacing w:after="0"/>
              <w:rPr>
                <w:sz w:val="20"/>
                <w:szCs w:val="20"/>
                <w:color w:val="auto"/>
              </w:rPr>
            </w:pPr>
            <w:r>
              <w:rPr>
                <w:rFonts w:ascii="Arial" w:cs="Arial" w:eastAsia="Arial" w:hAnsi="Arial"/>
                <w:sz w:val="11"/>
                <w:szCs w:val="11"/>
                <w:color w:val="auto"/>
                <w:w w:val="88"/>
              </w:rPr>
              <w:t>(6)</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vMerge w:val="restart"/>
          </w:tcPr>
          <w:p>
            <w:pPr>
              <w:jc w:val="right"/>
              <w:ind w:right="124"/>
              <w:spacing w:after="0"/>
              <w:rPr>
                <w:sz w:val="20"/>
                <w:szCs w:val="20"/>
                <w:color w:val="auto"/>
              </w:rPr>
            </w:pPr>
            <w:r>
              <w:rPr>
                <w:rFonts w:ascii="Arial" w:cs="Arial" w:eastAsia="Arial" w:hAnsi="Arial"/>
                <w:sz w:val="11"/>
                <w:szCs w:val="11"/>
                <w:color w:val="auto"/>
                <w:w w:val="74"/>
              </w:rPr>
              <w:t>(8)</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19,000,000</w:t>
            </w:r>
          </w:p>
        </w:tc>
        <w:tc>
          <w:tcPr>
            <w:tcW w:w="8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18,525,000</w:t>
            </w:r>
          </w:p>
        </w:tc>
        <w:tc>
          <w:tcPr>
            <w:tcW w:w="760" w:type="dxa"/>
            <w:vAlign w:val="bottom"/>
          </w:tcPr>
          <w:p>
            <w:pPr>
              <w:jc w:val="right"/>
              <w:spacing w:after="0"/>
              <w:rPr>
                <w:sz w:val="20"/>
                <w:szCs w:val="20"/>
                <w:color w:val="auto"/>
              </w:rPr>
            </w:pPr>
            <w:r>
              <w:rPr>
                <w:rFonts w:ascii="Arial" w:cs="Arial" w:eastAsia="Arial" w:hAnsi="Arial"/>
                <w:sz w:val="13"/>
                <w:szCs w:val="13"/>
                <w:color w:val="auto"/>
              </w:rPr>
              <w:t>18,525,000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620" w:type="dxa"/>
            <w:vAlign w:val="bottom"/>
          </w:tcPr>
          <w:p>
            <w:pPr>
              <w:spacing w:after="0" w:line="122" w:lineRule="exact"/>
              <w:rPr>
                <w:sz w:val="20"/>
                <w:szCs w:val="20"/>
                <w:color w:val="auto"/>
              </w:rPr>
            </w:pPr>
            <w:r>
              <w:rPr>
                <w:rFonts w:ascii="Arial" w:cs="Arial" w:eastAsia="Arial" w:hAnsi="Arial"/>
                <w:sz w:val="13"/>
                <w:szCs w:val="13"/>
                <w:color w:val="auto"/>
              </w:rPr>
              <w:t>Greatwide Logistics Services, L.L.C.</w:t>
            </w:r>
          </w:p>
        </w:tc>
        <w:tc>
          <w:tcPr>
            <w:tcW w:w="1700" w:type="dxa"/>
            <w:vAlign w:val="bottom"/>
          </w:tcPr>
          <w:p>
            <w:pPr>
              <w:jc w:val="center"/>
              <w:ind w:left="933"/>
              <w:spacing w:after="0" w:line="122" w:lineRule="exact"/>
              <w:rPr>
                <w:sz w:val="20"/>
                <w:szCs w:val="20"/>
                <w:color w:val="auto"/>
              </w:rPr>
            </w:pPr>
            <w:r>
              <w:rPr>
                <w:rFonts w:ascii="Arial" w:cs="Arial" w:eastAsia="Arial" w:hAnsi="Arial"/>
                <w:sz w:val="13"/>
                <w:szCs w:val="13"/>
                <w:color w:val="auto"/>
                <w:w w:val="95"/>
              </w:rPr>
              <w:t>03/01/2014</w:t>
            </w:r>
          </w:p>
        </w:tc>
        <w:tc>
          <w:tcPr>
            <w:tcW w:w="1580" w:type="dxa"/>
            <w:vAlign w:val="bottom"/>
            <w:gridSpan w:val="2"/>
          </w:tcPr>
          <w:p>
            <w:pPr>
              <w:jc w:val="center"/>
              <w:ind w:right="60"/>
              <w:spacing w:after="0" w:line="122" w:lineRule="exact"/>
              <w:rPr>
                <w:sz w:val="20"/>
                <w:szCs w:val="20"/>
                <w:color w:val="auto"/>
              </w:rPr>
            </w:pPr>
            <w:r>
              <w:rPr>
                <w:rFonts w:ascii="Arial" w:cs="Arial" w:eastAsia="Arial" w:hAnsi="Arial"/>
                <w:sz w:val="13"/>
                <w:szCs w:val="13"/>
                <w:color w:val="auto"/>
                <w:w w:val="92"/>
              </w:rPr>
              <w:t>Cargo Transport</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3"/>
                <w:szCs w:val="13"/>
                <w:color w:val="auto"/>
              </w:rPr>
              <w:t>11.00%</w:t>
            </w:r>
          </w:p>
        </w:tc>
        <w:tc>
          <w:tcPr>
            <w:tcW w:w="280" w:type="dxa"/>
            <w:vAlign w:val="bottom"/>
            <w:vMerge w:val="continue"/>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L+700</w:t>
            </w:r>
          </w:p>
        </w:tc>
        <w:tc>
          <w:tcPr>
            <w:tcW w:w="300" w:type="dxa"/>
            <w:vAlign w:val="bottom"/>
            <w:vMerge w:val="continue"/>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2,860,871</w:t>
            </w:r>
          </w:p>
        </w:tc>
        <w:tc>
          <w:tcPr>
            <w:tcW w:w="80" w:type="dxa"/>
            <w:vAlign w:val="bottom"/>
          </w:tcPr>
          <w:p>
            <w:pPr>
              <w:spacing w:after="0"/>
              <w:rPr>
                <w:sz w:val="10"/>
                <w:szCs w:val="10"/>
                <w:color w:val="auto"/>
              </w:rPr>
            </w:pPr>
          </w:p>
        </w:tc>
        <w:tc>
          <w:tcPr>
            <w:tcW w:w="980" w:type="dxa"/>
            <w:vAlign w:val="bottom"/>
            <w:gridSpan w:val="3"/>
          </w:tcPr>
          <w:p>
            <w:pPr>
              <w:jc w:val="right"/>
              <w:ind w:right="160"/>
              <w:spacing w:after="0" w:line="122" w:lineRule="exact"/>
              <w:rPr>
                <w:sz w:val="20"/>
                <w:szCs w:val="20"/>
                <w:color w:val="auto"/>
              </w:rPr>
            </w:pPr>
            <w:r>
              <w:rPr>
                <w:rFonts w:ascii="Arial" w:cs="Arial" w:eastAsia="Arial" w:hAnsi="Arial"/>
                <w:sz w:val="13"/>
                <w:szCs w:val="13"/>
                <w:color w:val="auto"/>
              </w:rPr>
              <w:t>2,860,871</w:t>
            </w:r>
          </w:p>
        </w:tc>
        <w:tc>
          <w:tcPr>
            <w:tcW w:w="760" w:type="dxa"/>
            <w:vAlign w:val="bottom"/>
          </w:tcPr>
          <w:p>
            <w:pPr>
              <w:jc w:val="right"/>
              <w:spacing w:after="0" w:line="122" w:lineRule="exact"/>
              <w:rPr>
                <w:sz w:val="20"/>
                <w:szCs w:val="20"/>
                <w:color w:val="auto"/>
              </w:rPr>
            </w:pPr>
            <w:r>
              <w:rPr>
                <w:rFonts w:ascii="Arial" w:cs="Arial" w:eastAsia="Arial" w:hAnsi="Arial"/>
                <w:sz w:val="13"/>
                <w:szCs w:val="13"/>
                <w:color w:val="auto"/>
              </w:rPr>
              <w:t>2,860,871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3"/>
                <w:szCs w:val="13"/>
                <w:color w:val="auto"/>
              </w:rPr>
              <w:t>Questex Media Group LLC, Term Loan A</w:t>
            </w:r>
          </w:p>
        </w:tc>
        <w:tc>
          <w:tcPr>
            <w:tcW w:w="1700" w:type="dxa"/>
            <w:vAlign w:val="bottom"/>
          </w:tcPr>
          <w:p>
            <w:pPr>
              <w:jc w:val="center"/>
              <w:ind w:left="933"/>
              <w:spacing w:after="0"/>
              <w:rPr>
                <w:sz w:val="20"/>
                <w:szCs w:val="20"/>
                <w:color w:val="auto"/>
              </w:rPr>
            </w:pPr>
            <w:r>
              <w:rPr>
                <w:rFonts w:ascii="Arial" w:cs="Arial" w:eastAsia="Arial" w:hAnsi="Arial"/>
                <w:sz w:val="13"/>
                <w:szCs w:val="13"/>
                <w:color w:val="auto"/>
                <w:w w:val="95"/>
              </w:rPr>
              <w:t>12/15/2014</w:t>
            </w:r>
          </w:p>
        </w:tc>
        <w:tc>
          <w:tcPr>
            <w:tcW w:w="1580" w:type="dxa"/>
            <w:vAlign w:val="bottom"/>
            <w:gridSpan w:val="2"/>
          </w:tcPr>
          <w:p>
            <w:pPr>
              <w:jc w:val="center"/>
              <w:ind w:right="60"/>
              <w:spacing w:after="0"/>
              <w:rPr>
                <w:sz w:val="20"/>
                <w:szCs w:val="20"/>
                <w:color w:val="auto"/>
              </w:rPr>
            </w:pPr>
            <w:r>
              <w:rPr>
                <w:rFonts w:ascii="Arial" w:cs="Arial" w:eastAsia="Arial" w:hAnsi="Arial"/>
                <w:sz w:val="13"/>
                <w:szCs w:val="13"/>
                <w:color w:val="auto"/>
                <w:w w:val="95"/>
              </w:rPr>
              <w:t>Other Media</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9.50%</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L+650</w:t>
            </w:r>
          </w:p>
        </w:tc>
        <w:tc>
          <w:tcPr>
            <w:tcW w:w="300" w:type="dxa"/>
            <w:vAlign w:val="bottom"/>
          </w:tcPr>
          <w:p>
            <w:pPr>
              <w:jc w:val="right"/>
              <w:ind w:right="124"/>
              <w:spacing w:after="0"/>
              <w:rPr>
                <w:sz w:val="20"/>
                <w:szCs w:val="20"/>
                <w:color w:val="auto"/>
              </w:rPr>
            </w:pPr>
            <w:r>
              <w:rPr>
                <w:rFonts w:ascii="Arial" w:cs="Arial" w:eastAsia="Arial" w:hAnsi="Arial"/>
                <w:sz w:val="11"/>
                <w:szCs w:val="11"/>
                <w:color w:val="auto"/>
                <w:w w:val="74"/>
              </w:rPr>
              <w:t>(8)</w:t>
            </w:r>
          </w:p>
        </w:tc>
        <w:tc>
          <w:tcPr>
            <w:tcW w:w="640" w:type="dxa"/>
            <w:vAlign w:val="bottom"/>
          </w:tcPr>
          <w:p>
            <w:pPr>
              <w:jc w:val="right"/>
              <w:spacing w:after="0"/>
              <w:rPr>
                <w:sz w:val="20"/>
                <w:szCs w:val="20"/>
                <w:color w:val="auto"/>
              </w:rPr>
            </w:pPr>
            <w:r>
              <w:rPr>
                <w:rFonts w:ascii="Arial" w:cs="Arial" w:eastAsia="Arial" w:hAnsi="Arial"/>
                <w:sz w:val="13"/>
                <w:szCs w:val="13"/>
                <w:color w:val="auto"/>
              </w:rPr>
              <w:t>2,971,450</w:t>
            </w:r>
          </w:p>
        </w:tc>
        <w:tc>
          <w:tcPr>
            <w:tcW w:w="8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2,971,450</w:t>
            </w:r>
          </w:p>
        </w:tc>
        <w:tc>
          <w:tcPr>
            <w:tcW w:w="760" w:type="dxa"/>
            <w:vAlign w:val="bottom"/>
          </w:tcPr>
          <w:p>
            <w:pPr>
              <w:jc w:val="right"/>
              <w:spacing w:after="0"/>
              <w:rPr>
                <w:sz w:val="20"/>
                <w:szCs w:val="20"/>
                <w:color w:val="auto"/>
              </w:rPr>
            </w:pPr>
            <w:r>
              <w:rPr>
                <w:rFonts w:ascii="Arial" w:cs="Arial" w:eastAsia="Arial" w:hAnsi="Arial"/>
                <w:sz w:val="13"/>
                <w:szCs w:val="13"/>
                <w:color w:val="auto"/>
              </w:rPr>
              <w:t>2,692,134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20"/>
                <w:szCs w:val="20"/>
                <w:color w:val="auto"/>
              </w:rPr>
            </w:pPr>
            <w:r>
              <w:rPr>
                <w:rFonts w:ascii="Arial" w:cs="Arial" w:eastAsia="Arial" w:hAnsi="Arial"/>
                <w:sz w:val="13"/>
                <w:szCs w:val="13"/>
                <w:color w:val="auto"/>
              </w:rPr>
              <w:t>Questex Media Group LLC, Term Loan B</w:t>
            </w:r>
          </w:p>
        </w:tc>
        <w:tc>
          <w:tcPr>
            <w:tcW w:w="1700" w:type="dxa"/>
            <w:vAlign w:val="bottom"/>
          </w:tcPr>
          <w:p>
            <w:pPr>
              <w:jc w:val="center"/>
              <w:ind w:left="933"/>
              <w:spacing w:after="0"/>
              <w:rPr>
                <w:sz w:val="20"/>
                <w:szCs w:val="20"/>
                <w:color w:val="auto"/>
              </w:rPr>
            </w:pPr>
            <w:r>
              <w:rPr>
                <w:rFonts w:ascii="Arial" w:cs="Arial" w:eastAsia="Arial" w:hAnsi="Arial"/>
                <w:sz w:val="13"/>
                <w:szCs w:val="13"/>
                <w:color w:val="auto"/>
                <w:w w:val="95"/>
              </w:rPr>
              <w:t>12/15/2015</w:t>
            </w:r>
          </w:p>
        </w:tc>
        <w:tc>
          <w:tcPr>
            <w:tcW w:w="1580" w:type="dxa"/>
            <w:vAlign w:val="bottom"/>
            <w:gridSpan w:val="2"/>
          </w:tcPr>
          <w:p>
            <w:pPr>
              <w:jc w:val="center"/>
              <w:ind w:right="60"/>
              <w:spacing w:after="0"/>
              <w:rPr>
                <w:sz w:val="20"/>
                <w:szCs w:val="20"/>
                <w:color w:val="auto"/>
              </w:rPr>
            </w:pPr>
            <w:r>
              <w:rPr>
                <w:rFonts w:ascii="Arial" w:cs="Arial" w:eastAsia="Arial" w:hAnsi="Arial"/>
                <w:sz w:val="13"/>
                <w:szCs w:val="13"/>
                <w:color w:val="auto"/>
                <w:w w:val="95"/>
              </w:rPr>
              <w:t>Other Media</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11.50%</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640" w:type="dxa"/>
            <w:vAlign w:val="bottom"/>
          </w:tcPr>
          <w:p>
            <w:pPr>
              <w:jc w:val="right"/>
              <w:spacing w:after="0"/>
              <w:rPr>
                <w:sz w:val="20"/>
                <w:szCs w:val="20"/>
                <w:color w:val="auto"/>
              </w:rPr>
            </w:pPr>
            <w:r>
              <w:rPr>
                <w:rFonts w:ascii="Arial" w:cs="Arial" w:eastAsia="Arial" w:hAnsi="Arial"/>
                <w:sz w:val="13"/>
                <w:szCs w:val="13"/>
                <w:color w:val="auto"/>
              </w:rPr>
              <w:t>L+750</w:t>
            </w:r>
          </w:p>
        </w:tc>
        <w:tc>
          <w:tcPr>
            <w:tcW w:w="300" w:type="dxa"/>
            <w:vAlign w:val="bottom"/>
          </w:tcPr>
          <w:p>
            <w:pPr>
              <w:jc w:val="right"/>
              <w:ind w:right="124"/>
              <w:spacing w:after="0"/>
              <w:rPr>
                <w:sz w:val="20"/>
                <w:szCs w:val="20"/>
                <w:color w:val="auto"/>
              </w:rPr>
            </w:pPr>
            <w:r>
              <w:rPr>
                <w:rFonts w:ascii="Arial" w:cs="Arial" w:eastAsia="Arial" w:hAnsi="Arial"/>
                <w:sz w:val="11"/>
                <w:szCs w:val="11"/>
                <w:color w:val="auto"/>
                <w:w w:val="74"/>
              </w:rPr>
              <w:t>(8)</w:t>
            </w:r>
          </w:p>
        </w:tc>
        <w:tc>
          <w:tcPr>
            <w:tcW w:w="640" w:type="dxa"/>
            <w:vAlign w:val="bottom"/>
          </w:tcPr>
          <w:p>
            <w:pPr>
              <w:jc w:val="right"/>
              <w:spacing w:after="0"/>
              <w:rPr>
                <w:sz w:val="20"/>
                <w:szCs w:val="20"/>
                <w:color w:val="auto"/>
              </w:rPr>
            </w:pPr>
            <w:r>
              <w:rPr>
                <w:rFonts w:ascii="Arial" w:cs="Arial" w:eastAsia="Arial" w:hAnsi="Arial"/>
                <w:sz w:val="13"/>
                <w:szCs w:val="13"/>
                <w:color w:val="auto"/>
              </w:rPr>
              <w:t>1,990,370</w:t>
            </w:r>
          </w:p>
        </w:tc>
        <w:tc>
          <w:tcPr>
            <w:tcW w:w="80" w:type="dxa"/>
            <w:vAlign w:val="bottom"/>
          </w:tcPr>
          <w:p>
            <w:pPr>
              <w:spacing w:after="0"/>
              <w:rPr>
                <w:sz w:val="12"/>
                <w:szCs w:val="12"/>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1,990,370</w:t>
            </w:r>
          </w:p>
        </w:tc>
        <w:tc>
          <w:tcPr>
            <w:tcW w:w="760" w:type="dxa"/>
            <w:vAlign w:val="bottom"/>
          </w:tcPr>
          <w:p>
            <w:pPr>
              <w:jc w:val="right"/>
              <w:spacing w:after="0"/>
              <w:rPr>
                <w:sz w:val="20"/>
                <w:szCs w:val="20"/>
                <w:color w:val="auto"/>
              </w:rPr>
            </w:pPr>
            <w:r>
              <w:rPr>
                <w:rFonts w:ascii="Arial" w:cs="Arial" w:eastAsia="Arial" w:hAnsi="Arial"/>
                <w:sz w:val="13"/>
                <w:szCs w:val="13"/>
                <w:color w:val="auto"/>
              </w:rPr>
              <w:t>1,737,593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20" w:type="dxa"/>
            <w:vAlign w:val="bottom"/>
          </w:tcPr>
          <w:p>
            <w:pPr>
              <w:spacing w:after="0"/>
              <w:rPr>
                <w:sz w:val="20"/>
                <w:szCs w:val="20"/>
                <w:color w:val="auto"/>
              </w:rPr>
            </w:pPr>
            <w:r>
              <w:rPr>
                <w:rFonts w:ascii="Arial" w:cs="Arial" w:eastAsia="Arial" w:hAnsi="Arial"/>
                <w:sz w:val="13"/>
                <w:szCs w:val="13"/>
                <w:color w:val="auto"/>
              </w:rPr>
              <w:t>RAM Energy Resources, Inc.</w:t>
            </w:r>
          </w:p>
        </w:tc>
        <w:tc>
          <w:tcPr>
            <w:tcW w:w="1700" w:type="dxa"/>
            <w:vAlign w:val="bottom"/>
          </w:tcPr>
          <w:p>
            <w:pPr>
              <w:jc w:val="center"/>
              <w:ind w:left="933"/>
              <w:spacing w:after="0"/>
              <w:rPr>
                <w:sz w:val="20"/>
                <w:szCs w:val="20"/>
                <w:color w:val="auto"/>
              </w:rPr>
            </w:pPr>
            <w:r>
              <w:rPr>
                <w:rFonts w:ascii="Arial" w:cs="Arial" w:eastAsia="Arial" w:hAnsi="Arial"/>
                <w:sz w:val="13"/>
                <w:szCs w:val="13"/>
                <w:color w:val="auto"/>
                <w:w w:val="95"/>
              </w:rPr>
              <w:t>09/13/2016</w:t>
            </w:r>
          </w:p>
        </w:tc>
        <w:tc>
          <w:tcPr>
            <w:tcW w:w="1580" w:type="dxa"/>
            <w:vAlign w:val="bottom"/>
            <w:gridSpan w:val="2"/>
          </w:tcPr>
          <w:p>
            <w:pPr>
              <w:jc w:val="center"/>
              <w:ind w:right="60"/>
              <w:spacing w:after="0"/>
              <w:rPr>
                <w:sz w:val="20"/>
                <w:szCs w:val="20"/>
                <w:color w:val="auto"/>
              </w:rPr>
            </w:pPr>
            <w:r>
              <w:rPr>
                <w:rFonts w:ascii="Arial" w:cs="Arial" w:eastAsia="Arial" w:hAnsi="Arial"/>
                <w:sz w:val="13"/>
                <w:szCs w:val="13"/>
                <w:color w:val="auto"/>
                <w:w w:val="93"/>
              </w:rPr>
              <w:t>Oil and Gas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11.00%</w:t>
            </w:r>
          </w:p>
        </w:tc>
        <w:tc>
          <w:tcPr>
            <w:tcW w:w="2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L+900</w:t>
            </w:r>
          </w:p>
        </w:tc>
        <w:tc>
          <w:tcPr>
            <w:tcW w:w="300" w:type="dxa"/>
            <w:vAlign w:val="bottom"/>
          </w:tcPr>
          <w:p>
            <w:pPr>
              <w:jc w:val="right"/>
              <w:ind w:right="124"/>
              <w:spacing w:after="0"/>
              <w:rPr>
                <w:sz w:val="20"/>
                <w:szCs w:val="20"/>
                <w:color w:val="auto"/>
              </w:rPr>
            </w:pPr>
            <w:r>
              <w:rPr>
                <w:rFonts w:ascii="Arial" w:cs="Arial" w:eastAsia="Arial" w:hAnsi="Arial"/>
                <w:sz w:val="11"/>
                <w:szCs w:val="11"/>
                <w:color w:val="auto"/>
                <w:w w:val="74"/>
              </w:rPr>
              <w:t>(8)</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17,000,000</w:t>
            </w:r>
          </w:p>
        </w:tc>
        <w:tc>
          <w:tcPr>
            <w:tcW w:w="8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color w:val="auto"/>
              </w:rPr>
              <w:t>16,672,749</w:t>
            </w:r>
          </w:p>
        </w:tc>
        <w:tc>
          <w:tcPr>
            <w:tcW w:w="760" w:type="dxa"/>
            <w:vAlign w:val="bottom"/>
          </w:tcPr>
          <w:p>
            <w:pPr>
              <w:jc w:val="right"/>
              <w:spacing w:after="0"/>
              <w:rPr>
                <w:sz w:val="20"/>
                <w:szCs w:val="20"/>
                <w:color w:val="auto"/>
              </w:rPr>
            </w:pPr>
            <w:r>
              <w:rPr>
                <w:rFonts w:ascii="Arial" w:cs="Arial" w:eastAsia="Arial" w:hAnsi="Arial"/>
                <w:sz w:val="13"/>
                <w:szCs w:val="13"/>
                <w:color w:val="auto"/>
              </w:rPr>
              <w:t>16,830,000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Realogy Corp.</w:t>
            </w:r>
          </w:p>
        </w:tc>
        <w:tc>
          <w:tcPr>
            <w:tcW w:w="1700" w:type="dxa"/>
            <w:vAlign w:val="bottom"/>
            <w:shd w:val="clear" w:color="auto" w:fill="CCEEFF"/>
          </w:tcPr>
          <w:p>
            <w:pPr>
              <w:jc w:val="center"/>
              <w:ind w:left="933"/>
              <w:spacing w:after="0"/>
              <w:rPr>
                <w:sz w:val="20"/>
                <w:szCs w:val="20"/>
                <w:color w:val="auto"/>
              </w:rPr>
            </w:pPr>
            <w:r>
              <w:rPr>
                <w:rFonts w:ascii="Arial" w:cs="Arial" w:eastAsia="Arial" w:hAnsi="Arial"/>
                <w:sz w:val="13"/>
                <w:szCs w:val="13"/>
                <w:color w:val="auto"/>
                <w:w w:val="95"/>
              </w:rPr>
              <w:t>10/15/2017</w:t>
            </w:r>
          </w:p>
        </w:tc>
        <w:tc>
          <w:tcPr>
            <w:tcW w:w="15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4"/>
              </w:rPr>
              <w:t>Buildings and Real Estate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13.50%</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10,000,000</w:t>
            </w:r>
          </w:p>
        </w:tc>
        <w:tc>
          <w:tcPr>
            <w:tcW w:w="8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10,000,000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20" w:type="dxa"/>
            <w:vAlign w:val="bottom"/>
          </w:tcPr>
          <w:p>
            <w:pPr>
              <w:spacing w:after="0" w:line="138" w:lineRule="exact"/>
              <w:rPr>
                <w:sz w:val="20"/>
                <w:szCs w:val="20"/>
                <w:color w:val="auto"/>
              </w:rPr>
            </w:pPr>
            <w:r>
              <w:rPr>
                <w:rFonts w:ascii="Arial" w:cs="Arial" w:eastAsia="Arial" w:hAnsi="Arial"/>
                <w:sz w:val="13"/>
                <w:szCs w:val="13"/>
                <w:color w:val="auto"/>
              </w:rPr>
              <w:t>ROC Finance LLC and ROC Finance 1 Corp.</w:t>
            </w:r>
          </w:p>
        </w:tc>
        <w:tc>
          <w:tcPr>
            <w:tcW w:w="1700" w:type="dxa"/>
            <w:vAlign w:val="bottom"/>
          </w:tcPr>
          <w:p>
            <w:pPr>
              <w:jc w:val="center"/>
              <w:ind w:left="933"/>
              <w:spacing w:after="0" w:line="138" w:lineRule="exact"/>
              <w:rPr>
                <w:sz w:val="20"/>
                <w:szCs w:val="20"/>
                <w:color w:val="auto"/>
              </w:rPr>
            </w:pPr>
            <w:r>
              <w:rPr>
                <w:rFonts w:ascii="Arial" w:cs="Arial" w:eastAsia="Arial" w:hAnsi="Arial"/>
                <w:sz w:val="13"/>
                <w:szCs w:val="13"/>
                <w:color w:val="auto"/>
                <w:w w:val="95"/>
              </w:rPr>
              <w:t>09/01/2018</w:t>
            </w:r>
          </w:p>
        </w:tc>
        <w:tc>
          <w:tcPr>
            <w:tcW w:w="1580" w:type="dxa"/>
            <w:vAlign w:val="bottom"/>
            <w:gridSpan w:val="2"/>
          </w:tcPr>
          <w:p>
            <w:pPr>
              <w:jc w:val="center"/>
              <w:ind w:right="60"/>
              <w:spacing w:after="0" w:line="138" w:lineRule="exact"/>
              <w:rPr>
                <w:sz w:val="20"/>
                <w:szCs w:val="20"/>
                <w:color w:val="auto"/>
              </w:rPr>
            </w:pPr>
            <w:r>
              <w:rPr>
                <w:rFonts w:ascii="Arial" w:cs="Arial" w:eastAsia="Arial" w:hAnsi="Arial"/>
                <w:sz w:val="13"/>
                <w:szCs w:val="13"/>
                <w:color w:val="auto"/>
                <w:w w:val="94"/>
              </w:rPr>
              <w:t>Hotels, Motels, Inns and</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12.13%</w:t>
            </w:r>
          </w:p>
        </w:tc>
        <w:tc>
          <w:tcPr>
            <w:tcW w:w="28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w w:val="95"/>
              </w:rPr>
              <w:t>16,000,000</w:t>
            </w:r>
          </w:p>
        </w:tc>
        <w:tc>
          <w:tcPr>
            <w:tcW w:w="80" w:type="dxa"/>
            <w:vAlign w:val="bottom"/>
          </w:tcPr>
          <w:p>
            <w:pPr>
              <w:spacing w:after="0"/>
              <w:rPr>
                <w:sz w:val="11"/>
                <w:szCs w:val="11"/>
                <w:color w:val="auto"/>
              </w:rPr>
            </w:pPr>
          </w:p>
        </w:tc>
        <w:tc>
          <w:tcPr>
            <w:tcW w:w="980" w:type="dxa"/>
            <w:vAlign w:val="bottom"/>
            <w:gridSpan w:val="3"/>
          </w:tcPr>
          <w:p>
            <w:pPr>
              <w:jc w:val="right"/>
              <w:ind w:right="160"/>
              <w:spacing w:after="0" w:line="138" w:lineRule="exact"/>
              <w:rPr>
                <w:sz w:val="20"/>
                <w:szCs w:val="20"/>
                <w:color w:val="auto"/>
              </w:rPr>
            </w:pPr>
            <w:r>
              <w:rPr>
                <w:rFonts w:ascii="Arial" w:cs="Arial" w:eastAsia="Arial" w:hAnsi="Arial"/>
                <w:sz w:val="13"/>
                <w:szCs w:val="13"/>
                <w:color w:val="auto"/>
              </w:rPr>
              <w:t>15,726,668</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16,160,000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3"/>
                <w:szCs w:val="13"/>
                <w:color w:val="auto"/>
                <w:w w:val="96"/>
              </w:rPr>
              <w:t>Gaming</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Sheridan Holdings, Inc.</w:t>
            </w:r>
          </w:p>
        </w:tc>
        <w:tc>
          <w:tcPr>
            <w:tcW w:w="1700" w:type="dxa"/>
            <w:vAlign w:val="bottom"/>
            <w:shd w:val="clear" w:color="auto" w:fill="CCEEFF"/>
          </w:tcPr>
          <w:p>
            <w:pPr>
              <w:jc w:val="center"/>
              <w:ind w:left="933"/>
              <w:spacing w:after="0" w:line="138" w:lineRule="exact"/>
              <w:rPr>
                <w:sz w:val="20"/>
                <w:szCs w:val="20"/>
                <w:color w:val="auto"/>
              </w:rPr>
            </w:pPr>
            <w:r>
              <w:rPr>
                <w:rFonts w:ascii="Arial" w:cs="Arial" w:eastAsia="Arial" w:hAnsi="Arial"/>
                <w:sz w:val="13"/>
                <w:szCs w:val="13"/>
                <w:color w:val="auto"/>
                <w:w w:val="95"/>
              </w:rPr>
              <w:t>06/15/2015</w:t>
            </w:r>
          </w:p>
        </w:tc>
        <w:tc>
          <w:tcPr>
            <w:tcW w:w="1580" w:type="dxa"/>
            <w:vAlign w:val="bottom"/>
            <w:gridSpan w:val="2"/>
            <w:shd w:val="clear" w:color="auto" w:fill="CCEEFF"/>
          </w:tcPr>
          <w:p>
            <w:pPr>
              <w:jc w:val="center"/>
              <w:ind w:right="60"/>
              <w:spacing w:after="0" w:line="138" w:lineRule="exact"/>
              <w:rPr>
                <w:sz w:val="20"/>
                <w:szCs w:val="20"/>
                <w:color w:val="auto"/>
              </w:rPr>
            </w:pPr>
            <w:r>
              <w:rPr>
                <w:rFonts w:ascii="Arial" w:cs="Arial" w:eastAsia="Arial" w:hAnsi="Arial"/>
                <w:sz w:val="13"/>
                <w:szCs w:val="13"/>
                <w:color w:val="auto"/>
                <w:w w:val="93"/>
              </w:rPr>
              <w:t>Healthcare, Education and</w:t>
            </w:r>
          </w:p>
        </w:tc>
        <w:tc>
          <w:tcPr>
            <w:tcW w:w="6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6.07%</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88"/>
              </w:rPr>
              <w:t>(6)</w:t>
            </w:r>
          </w:p>
        </w:tc>
        <w:tc>
          <w:tcPr>
            <w:tcW w:w="940" w:type="dxa"/>
            <w:vAlign w:val="bottom"/>
            <w:gridSpan w:val="2"/>
            <w:shd w:val="clear" w:color="auto" w:fill="CCEEFF"/>
          </w:tcPr>
          <w:p>
            <w:pPr>
              <w:jc w:val="right"/>
              <w:ind w:right="244"/>
              <w:spacing w:after="0" w:line="138" w:lineRule="exact"/>
              <w:rPr>
                <w:sz w:val="20"/>
                <w:szCs w:val="20"/>
                <w:color w:val="auto"/>
              </w:rPr>
            </w:pPr>
            <w:r>
              <w:rPr>
                <w:rFonts w:ascii="Arial" w:cs="Arial" w:eastAsia="Arial" w:hAnsi="Arial"/>
                <w:sz w:val="13"/>
                <w:szCs w:val="13"/>
                <w:color w:val="auto"/>
              </w:rPr>
              <w:t>L+575</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13,500,000</w:t>
            </w:r>
          </w:p>
        </w:tc>
        <w:tc>
          <w:tcPr>
            <w:tcW w:w="8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11,856,253</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12,521,250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6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4"/>
              </w:rPr>
              <w:t>Childcare</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20"/>
                <w:szCs w:val="20"/>
                <w:color w:val="auto"/>
              </w:rPr>
            </w:pPr>
            <w:r>
              <w:rPr>
                <w:rFonts w:ascii="Arial" w:cs="Arial" w:eastAsia="Arial" w:hAnsi="Arial"/>
                <w:sz w:val="13"/>
                <w:szCs w:val="13"/>
                <w:color w:val="auto"/>
              </w:rPr>
              <w:t>TransFirst Holdings, Inc.</w:t>
            </w:r>
          </w:p>
        </w:tc>
        <w:tc>
          <w:tcPr>
            <w:tcW w:w="1700" w:type="dxa"/>
            <w:vAlign w:val="bottom"/>
          </w:tcPr>
          <w:p>
            <w:pPr>
              <w:jc w:val="center"/>
              <w:ind w:left="933"/>
              <w:spacing w:after="0"/>
              <w:rPr>
                <w:sz w:val="20"/>
                <w:szCs w:val="20"/>
                <w:color w:val="auto"/>
              </w:rPr>
            </w:pPr>
            <w:r>
              <w:rPr>
                <w:rFonts w:ascii="Arial" w:cs="Arial" w:eastAsia="Arial" w:hAnsi="Arial"/>
                <w:sz w:val="13"/>
                <w:szCs w:val="13"/>
                <w:color w:val="auto"/>
                <w:w w:val="95"/>
              </w:rPr>
              <w:t>06/15/2015</w:t>
            </w:r>
          </w:p>
        </w:tc>
        <w:tc>
          <w:tcPr>
            <w:tcW w:w="1580" w:type="dxa"/>
            <w:vAlign w:val="bottom"/>
            <w:gridSpan w:val="2"/>
          </w:tcPr>
          <w:p>
            <w:pPr>
              <w:jc w:val="center"/>
              <w:ind w:right="60"/>
              <w:spacing w:after="0"/>
              <w:rPr>
                <w:sz w:val="20"/>
                <w:szCs w:val="20"/>
                <w:color w:val="auto"/>
              </w:rPr>
            </w:pPr>
            <w:r>
              <w:rPr>
                <w:rFonts w:ascii="Arial" w:cs="Arial" w:eastAsia="Arial" w:hAnsi="Arial"/>
                <w:sz w:val="13"/>
                <w:szCs w:val="13"/>
                <w:color w:val="auto"/>
                <w:w w:val="94"/>
              </w:rPr>
              <w:t>Financial Services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6.24%</w:t>
            </w:r>
          </w:p>
        </w:tc>
        <w:tc>
          <w:tcPr>
            <w:tcW w:w="280" w:type="dxa"/>
            <w:vAlign w:val="bottom"/>
          </w:tcPr>
          <w:p>
            <w:pPr>
              <w:jc w:val="right"/>
              <w:ind w:right="84"/>
              <w:spacing w:after="0"/>
              <w:rPr>
                <w:sz w:val="20"/>
                <w:szCs w:val="20"/>
                <w:color w:val="auto"/>
              </w:rPr>
            </w:pPr>
            <w:r>
              <w:rPr>
                <w:rFonts w:ascii="Arial" w:cs="Arial" w:eastAsia="Arial" w:hAnsi="Arial"/>
                <w:sz w:val="11"/>
                <w:szCs w:val="11"/>
                <w:color w:val="auto"/>
                <w:w w:val="88"/>
              </w:rPr>
              <w:t>(6)</w:t>
            </w:r>
          </w:p>
        </w:tc>
        <w:tc>
          <w:tcPr>
            <w:tcW w:w="940" w:type="dxa"/>
            <w:vAlign w:val="bottom"/>
            <w:gridSpan w:val="2"/>
          </w:tcPr>
          <w:p>
            <w:pPr>
              <w:jc w:val="right"/>
              <w:ind w:right="244"/>
              <w:spacing w:after="0"/>
              <w:rPr>
                <w:sz w:val="20"/>
                <w:szCs w:val="20"/>
                <w:color w:val="auto"/>
              </w:rPr>
            </w:pPr>
            <w:r>
              <w:rPr>
                <w:rFonts w:ascii="Arial" w:cs="Arial" w:eastAsia="Arial" w:hAnsi="Arial"/>
                <w:sz w:val="13"/>
                <w:szCs w:val="13"/>
                <w:color w:val="auto"/>
              </w:rPr>
              <w:t>L+600</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7,811,488</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7,422,480</w:t>
            </w:r>
          </w:p>
        </w:tc>
        <w:tc>
          <w:tcPr>
            <w:tcW w:w="760" w:type="dxa"/>
            <w:vAlign w:val="bottom"/>
          </w:tcPr>
          <w:p>
            <w:pPr>
              <w:jc w:val="right"/>
              <w:spacing w:after="0"/>
              <w:rPr>
                <w:sz w:val="20"/>
                <w:szCs w:val="20"/>
                <w:color w:val="auto"/>
              </w:rPr>
            </w:pPr>
            <w:r>
              <w:rPr>
                <w:rFonts w:ascii="Arial" w:cs="Arial" w:eastAsia="Arial" w:hAnsi="Arial"/>
                <w:sz w:val="13"/>
                <w:szCs w:val="13"/>
                <w:color w:val="auto"/>
              </w:rPr>
              <w:t>6,756,937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17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9"/>
              </w:rPr>
              <w:t>176,092,412</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152,065,785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-5657215</wp:posOffset>
            </wp:positionV>
            <wp:extent cx="7132320" cy="291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-5228590</wp:posOffset>
            </wp:positionV>
            <wp:extent cx="7132320" cy="94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-4945380</wp:posOffset>
            </wp:positionV>
            <wp:extent cx="7132320" cy="939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-4465320</wp:posOffset>
            </wp:positionV>
            <wp:extent cx="7132320" cy="1974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-3977005</wp:posOffset>
            </wp:positionV>
            <wp:extent cx="7132320" cy="4718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4718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-3316605</wp:posOffset>
            </wp:positionV>
            <wp:extent cx="7132320" cy="291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-2931160</wp:posOffset>
            </wp:positionV>
            <wp:extent cx="7132320"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-2545080</wp:posOffset>
            </wp:positionV>
            <wp:extent cx="7132320" cy="291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-2159635</wp:posOffset>
            </wp:positionV>
            <wp:extent cx="7132320" cy="939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946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-890905</wp:posOffset>
            </wp:positionV>
            <wp:extent cx="7132320" cy="939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66</w:t>
      </w:r>
    </w:p>
    <w:p>
      <w:pPr>
        <w:sectPr>
          <w:pgSz w:w="11900" w:h="16838" w:orient="portrait"/>
          <w:cols w:equalWidth="0" w:num="1">
            <w:col w:w="11240"/>
          </w:cols>
          <w:pgMar w:left="32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INVESTMENT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INVESTMENTS—(CONTINUED)</w:t>
      </w:r>
    </w:p>
    <w:p>
      <w:pPr>
        <w:jc w:val="center"/>
        <w:spacing w:after="0"/>
        <w:rPr>
          <w:sz w:val="20"/>
          <w:szCs w:val="20"/>
          <w:color w:val="auto"/>
        </w:rPr>
      </w:pPr>
      <w:r>
        <w:rPr>
          <w:rFonts w:ascii="Arial" w:cs="Arial" w:eastAsia="Arial" w:hAnsi="Arial"/>
          <w:sz w:val="13"/>
          <w:szCs w:val="13"/>
          <w:b w:val="1"/>
          <w:bCs w:val="1"/>
          <w:color w:val="auto"/>
        </w:rPr>
        <w:t>SEPTEMBER 30, 2011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Basis Point</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Spread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Maturity</w:t>
            </w:r>
          </w:p>
        </w:tc>
        <w:tc>
          <w:tcPr>
            <w:tcW w:w="15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7"/>
              </w:rPr>
              <w:t>Industry</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7"/>
              </w:rPr>
              <w:t>Current</w:t>
            </w:r>
          </w:p>
        </w:tc>
        <w:tc>
          <w:tcPr>
            <w:tcW w:w="36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Above</w:t>
            </w:r>
          </w:p>
        </w:tc>
        <w:tc>
          <w:tcPr>
            <w:tcW w:w="7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Par/</w:t>
            </w:r>
          </w:p>
        </w:tc>
        <w:tc>
          <w:tcPr>
            <w:tcW w:w="120" w:type="dxa"/>
            <w:vAlign w:val="bottom"/>
          </w:tcPr>
          <w:p>
            <w:pPr>
              <w:spacing w:after="0"/>
              <w:rPr>
                <w:sz w:val="14"/>
                <w:szCs w:val="14"/>
                <w:color w:val="auto"/>
              </w:rPr>
            </w:pPr>
          </w:p>
        </w:tc>
        <w:tc>
          <w:tcPr>
            <w:tcW w:w="980" w:type="dxa"/>
            <w:vAlign w:val="bottom"/>
            <w:gridSpan w:val="2"/>
            <w:vMerge w:val="restart"/>
          </w:tcPr>
          <w:p>
            <w:pPr>
              <w:jc w:val="right"/>
              <w:ind w:right="480"/>
              <w:spacing w:after="0"/>
              <w:rPr>
                <w:sz w:val="20"/>
                <w:szCs w:val="20"/>
                <w:color w:val="auto"/>
              </w:rPr>
            </w:pPr>
            <w:r>
              <w:rPr>
                <w:rFonts w:ascii="Arial" w:cs="Arial" w:eastAsia="Arial" w:hAnsi="Arial"/>
                <w:sz w:val="13"/>
                <w:szCs w:val="13"/>
                <w:b w:val="1"/>
                <w:bCs w:val="1"/>
                <w:color w:val="auto"/>
              </w:rPr>
              <w:t>Cost</w:t>
            </w: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43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9"/>
              </w:rPr>
              <w:t>Coupon</w:t>
            </w:r>
          </w:p>
        </w:tc>
        <w:tc>
          <w:tcPr>
            <w:tcW w:w="3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6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Subordinated Debt/Corporate Notes—65.0%</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Affinion Group Holdings, Inc. </w:t>
            </w:r>
            <w:r>
              <w:rPr>
                <w:rFonts w:ascii="Arial" w:cs="Arial" w:eastAsia="Arial" w:hAnsi="Arial"/>
                <w:sz w:val="17"/>
                <w:szCs w:val="17"/>
                <w:color w:val="auto"/>
                <w:vertAlign w:val="superscript"/>
              </w:rPr>
              <w:t>(5)</w:t>
            </w:r>
          </w:p>
        </w:tc>
        <w:tc>
          <w:tcPr>
            <w:tcW w:w="620" w:type="dxa"/>
            <w:vAlign w:val="bottom"/>
          </w:tcPr>
          <w:p>
            <w:pPr>
              <w:ind w:left="20"/>
              <w:spacing w:after="0"/>
              <w:rPr>
                <w:sz w:val="20"/>
                <w:szCs w:val="20"/>
                <w:color w:val="auto"/>
              </w:rPr>
            </w:pPr>
            <w:r>
              <w:rPr>
                <w:rFonts w:ascii="Arial" w:cs="Arial" w:eastAsia="Arial" w:hAnsi="Arial"/>
                <w:sz w:val="13"/>
                <w:szCs w:val="13"/>
                <w:color w:val="auto"/>
                <w:w w:val="89"/>
              </w:rPr>
              <w:t>11/15/2015</w:t>
            </w:r>
          </w:p>
        </w:tc>
        <w:tc>
          <w:tcPr>
            <w:tcW w:w="180" w:type="dxa"/>
            <w:vAlign w:val="bottom"/>
          </w:tcPr>
          <w:p>
            <w:pPr>
              <w:spacing w:after="0"/>
              <w:rPr>
                <w:sz w:val="12"/>
                <w:szCs w:val="12"/>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3"/>
                <w:szCs w:val="13"/>
                <w:color w:val="auto"/>
                <w:w w:val="92"/>
              </w:rPr>
              <w:t>Consumer Products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11.63%</w:t>
            </w:r>
          </w:p>
        </w:tc>
        <w:tc>
          <w:tcPr>
            <w:tcW w:w="360" w:type="dxa"/>
            <w:vAlign w:val="bottom"/>
          </w:tcPr>
          <w:p>
            <w:pPr>
              <w:spacing w:after="0"/>
              <w:rPr>
                <w:sz w:val="12"/>
                <w:szCs w:val="12"/>
                <w:color w:val="auto"/>
              </w:rPr>
            </w:pPr>
          </w:p>
        </w:tc>
        <w:tc>
          <w:tcPr>
            <w:tcW w:w="9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26,345,000</w:t>
            </w:r>
          </w:p>
        </w:tc>
        <w:tc>
          <w:tcPr>
            <w:tcW w:w="120" w:type="dxa"/>
            <w:vAlign w:val="bottom"/>
          </w:tcPr>
          <w:p>
            <w:pPr>
              <w:spacing w:after="0"/>
              <w:rPr>
                <w:sz w:val="12"/>
                <w:szCs w:val="1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3"/>
                <w:szCs w:val="13"/>
                <w:color w:val="auto"/>
              </w:rPr>
              <w:t>$ 26,391,240</w:t>
            </w:r>
          </w:p>
        </w:tc>
        <w:tc>
          <w:tcPr>
            <w:tcW w:w="760" w:type="dxa"/>
            <w:vAlign w:val="bottom"/>
          </w:tcPr>
          <w:p>
            <w:pPr>
              <w:jc w:val="right"/>
              <w:spacing w:after="0"/>
              <w:rPr>
                <w:sz w:val="20"/>
                <w:szCs w:val="20"/>
                <w:color w:val="auto"/>
              </w:rPr>
            </w:pPr>
            <w:r>
              <w:rPr>
                <w:rFonts w:ascii="Arial" w:cs="Arial" w:eastAsia="Arial" w:hAnsi="Arial"/>
                <w:sz w:val="13"/>
                <w:szCs w:val="13"/>
                <w:color w:val="auto"/>
                <w:w w:val="97"/>
              </w:rPr>
              <w:t>$ 20,285,650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Aquilex Holdings, LLC </w:t>
            </w:r>
            <w:r>
              <w:rPr>
                <w:rFonts w:ascii="Arial" w:cs="Arial" w:eastAsia="Arial" w:hAnsi="Arial"/>
                <w:sz w:val="15"/>
                <w:szCs w:val="15"/>
                <w:color w:val="auto"/>
                <w:vertAlign w:val="superscript"/>
              </w:rPr>
              <w:t>(5)</w:t>
            </w:r>
          </w:p>
        </w:tc>
        <w:tc>
          <w:tcPr>
            <w:tcW w:w="6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w w:val="89"/>
              </w:rPr>
              <w:t>12/15/2016</w:t>
            </w:r>
          </w:p>
        </w:tc>
        <w:tc>
          <w:tcPr>
            <w:tcW w:w="18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rPr>
              <w:t>Diversified /</w:t>
            </w:r>
          </w:p>
        </w:tc>
        <w:tc>
          <w:tcPr>
            <w:tcW w:w="6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11.13%</w:t>
            </w:r>
          </w:p>
        </w:tc>
        <w:tc>
          <w:tcPr>
            <w:tcW w:w="3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18,885,000</w:t>
            </w:r>
          </w:p>
        </w:tc>
        <w:tc>
          <w:tcPr>
            <w:tcW w:w="1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18,440,262</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8,309,400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3"/>
              </w:rPr>
              <w:t>Conglomerate Services</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Consolidated Foundries, Inc.</w:t>
            </w:r>
          </w:p>
        </w:tc>
        <w:tc>
          <w:tcPr>
            <w:tcW w:w="620" w:type="dxa"/>
            <w:vAlign w:val="bottom"/>
          </w:tcPr>
          <w:p>
            <w:pPr>
              <w:ind w:left="20"/>
              <w:spacing w:after="0"/>
              <w:rPr>
                <w:sz w:val="20"/>
                <w:szCs w:val="20"/>
                <w:color w:val="auto"/>
              </w:rPr>
            </w:pPr>
            <w:r>
              <w:rPr>
                <w:rFonts w:ascii="Arial" w:cs="Arial" w:eastAsia="Arial" w:hAnsi="Arial"/>
                <w:sz w:val="13"/>
                <w:szCs w:val="13"/>
                <w:color w:val="auto"/>
                <w:w w:val="89"/>
              </w:rPr>
              <w:t>04/17/2015</w:t>
            </w:r>
          </w:p>
        </w:tc>
        <w:tc>
          <w:tcPr>
            <w:tcW w:w="180" w:type="dxa"/>
            <w:vAlign w:val="bottom"/>
          </w:tcPr>
          <w:p>
            <w:pPr>
              <w:spacing w:after="0"/>
              <w:rPr>
                <w:sz w:val="12"/>
                <w:szCs w:val="12"/>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Aerospace and Defense</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14.25%</w:t>
            </w:r>
          </w:p>
        </w:tc>
        <w:tc>
          <w:tcPr>
            <w:tcW w:w="360" w:type="dxa"/>
            <w:vAlign w:val="bottom"/>
          </w:tcPr>
          <w:p>
            <w:pPr>
              <w:jc w:val="right"/>
              <w:ind w:right="164"/>
              <w:spacing w:after="0"/>
              <w:rPr>
                <w:sz w:val="20"/>
                <w:szCs w:val="20"/>
                <w:color w:val="auto"/>
              </w:rPr>
            </w:pPr>
            <w:r>
              <w:rPr>
                <w:rFonts w:ascii="Arial" w:cs="Arial" w:eastAsia="Arial" w:hAnsi="Arial"/>
                <w:sz w:val="11"/>
                <w:szCs w:val="11"/>
                <w:color w:val="auto"/>
                <w:w w:val="88"/>
              </w:rPr>
              <w:t>(6)</w:t>
            </w:r>
          </w:p>
        </w:tc>
        <w:tc>
          <w:tcPr>
            <w:tcW w:w="9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8,109,468</w:t>
            </w:r>
          </w:p>
        </w:tc>
        <w:tc>
          <w:tcPr>
            <w:tcW w:w="120" w:type="dxa"/>
            <w:vAlign w:val="bottom"/>
          </w:tcPr>
          <w:p>
            <w:pPr>
              <w:spacing w:after="0"/>
              <w:rPr>
                <w:sz w:val="12"/>
                <w:szCs w:val="1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3"/>
                <w:szCs w:val="13"/>
                <w:color w:val="auto"/>
              </w:rPr>
              <w:t>7,997,216</w:t>
            </w:r>
          </w:p>
        </w:tc>
        <w:tc>
          <w:tcPr>
            <w:tcW w:w="760" w:type="dxa"/>
            <w:vAlign w:val="bottom"/>
          </w:tcPr>
          <w:p>
            <w:pPr>
              <w:jc w:val="right"/>
              <w:spacing w:after="0"/>
              <w:rPr>
                <w:sz w:val="20"/>
                <w:szCs w:val="20"/>
                <w:color w:val="auto"/>
              </w:rPr>
            </w:pPr>
            <w:r>
              <w:rPr>
                <w:rFonts w:ascii="Arial" w:cs="Arial" w:eastAsia="Arial" w:hAnsi="Arial"/>
                <w:sz w:val="13"/>
                <w:szCs w:val="13"/>
                <w:color w:val="auto"/>
              </w:rPr>
              <w:t>8,109,468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Diversitech Corporation</w:t>
            </w:r>
          </w:p>
        </w:tc>
        <w:tc>
          <w:tcPr>
            <w:tcW w:w="6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w w:val="89"/>
              </w:rPr>
              <w:t>01/29/2017</w:t>
            </w:r>
          </w:p>
        </w:tc>
        <w:tc>
          <w:tcPr>
            <w:tcW w:w="18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jc w:val="center"/>
              <w:ind w:right="160"/>
              <w:spacing w:after="0" w:line="138" w:lineRule="exact"/>
              <w:rPr>
                <w:sz w:val="20"/>
                <w:szCs w:val="20"/>
                <w:color w:val="auto"/>
              </w:rPr>
            </w:pPr>
            <w:r>
              <w:rPr>
                <w:rFonts w:ascii="Arial" w:cs="Arial" w:eastAsia="Arial" w:hAnsi="Arial"/>
                <w:sz w:val="13"/>
                <w:szCs w:val="13"/>
                <w:color w:val="auto"/>
                <w:w w:val="97"/>
              </w:rPr>
              <w:t>Manufacturing /Basic</w:t>
            </w:r>
          </w:p>
        </w:tc>
        <w:tc>
          <w:tcPr>
            <w:tcW w:w="6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13.50%</w:t>
            </w: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88"/>
              </w:rPr>
              <w:t>(6)</w:t>
            </w: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w w:val="95"/>
              </w:rPr>
              <w:t>11,000,000</w:t>
            </w:r>
          </w:p>
        </w:tc>
        <w:tc>
          <w:tcPr>
            <w:tcW w:w="110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10,783,491</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10,780,000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9"/>
              </w:rPr>
              <w:t>Industry</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Escort, Inc.</w:t>
            </w:r>
          </w:p>
        </w:tc>
        <w:tc>
          <w:tcPr>
            <w:tcW w:w="620" w:type="dxa"/>
            <w:vAlign w:val="bottom"/>
          </w:tcPr>
          <w:p>
            <w:pPr>
              <w:ind w:left="20"/>
              <w:spacing w:after="0"/>
              <w:rPr>
                <w:sz w:val="20"/>
                <w:szCs w:val="20"/>
                <w:color w:val="auto"/>
              </w:rPr>
            </w:pPr>
            <w:r>
              <w:rPr>
                <w:rFonts w:ascii="Arial" w:cs="Arial" w:eastAsia="Arial" w:hAnsi="Arial"/>
                <w:sz w:val="13"/>
                <w:szCs w:val="13"/>
                <w:color w:val="auto"/>
                <w:w w:val="89"/>
              </w:rPr>
              <w:t>06/01/2016</w:t>
            </w:r>
          </w:p>
        </w:tc>
        <w:tc>
          <w:tcPr>
            <w:tcW w:w="180" w:type="dxa"/>
            <w:vAlign w:val="bottom"/>
          </w:tcPr>
          <w:p>
            <w:pPr>
              <w:spacing w:after="0"/>
              <w:rPr>
                <w:sz w:val="12"/>
                <w:szCs w:val="12"/>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3"/>
                <w:szCs w:val="13"/>
                <w:color w:val="auto"/>
                <w:w w:val="97"/>
              </w:rPr>
              <w:t>Electronics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14.75%</w:t>
            </w:r>
          </w:p>
        </w:tc>
        <w:tc>
          <w:tcPr>
            <w:tcW w:w="360" w:type="dxa"/>
            <w:vAlign w:val="bottom"/>
          </w:tcPr>
          <w:p>
            <w:pPr>
              <w:jc w:val="right"/>
              <w:ind w:right="164"/>
              <w:spacing w:after="0"/>
              <w:rPr>
                <w:sz w:val="20"/>
                <w:szCs w:val="20"/>
                <w:color w:val="auto"/>
              </w:rPr>
            </w:pPr>
            <w:r>
              <w:rPr>
                <w:rFonts w:ascii="Arial" w:cs="Arial" w:eastAsia="Arial" w:hAnsi="Arial"/>
                <w:sz w:val="11"/>
                <w:szCs w:val="11"/>
                <w:color w:val="auto"/>
                <w:w w:val="88"/>
              </w:rPr>
              <w:t>(6)</w:t>
            </w:r>
          </w:p>
        </w:tc>
        <w:tc>
          <w:tcPr>
            <w:tcW w:w="9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24,560,142</w:t>
            </w:r>
          </w:p>
        </w:tc>
        <w:tc>
          <w:tcPr>
            <w:tcW w:w="120" w:type="dxa"/>
            <w:vAlign w:val="bottom"/>
          </w:tcPr>
          <w:p>
            <w:pPr>
              <w:spacing w:after="0"/>
              <w:rPr>
                <w:sz w:val="12"/>
                <w:szCs w:val="1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3"/>
                <w:szCs w:val="13"/>
                <w:color w:val="auto"/>
              </w:rPr>
              <w:t>23,964,150</w:t>
            </w:r>
          </w:p>
        </w:tc>
        <w:tc>
          <w:tcPr>
            <w:tcW w:w="760" w:type="dxa"/>
            <w:vAlign w:val="bottom"/>
          </w:tcPr>
          <w:p>
            <w:pPr>
              <w:jc w:val="right"/>
              <w:spacing w:after="0"/>
              <w:rPr>
                <w:sz w:val="20"/>
                <w:szCs w:val="20"/>
                <w:color w:val="auto"/>
              </w:rPr>
            </w:pPr>
            <w:r>
              <w:rPr>
                <w:rFonts w:ascii="Arial" w:cs="Arial" w:eastAsia="Arial" w:hAnsi="Arial"/>
                <w:sz w:val="13"/>
                <w:szCs w:val="13"/>
                <w:color w:val="auto"/>
              </w:rPr>
              <w:t>24,314,541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Last Mile Funding, Corp.</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06/30/2016</w:t>
            </w:r>
          </w:p>
        </w:tc>
        <w:tc>
          <w:tcPr>
            <w:tcW w:w="1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2"/>
              </w:rPr>
              <w:t>Cargo Transport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14.50%</w:t>
            </w: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88"/>
              </w:rPr>
              <w:t>(6)</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44,456,391</w:t>
            </w:r>
          </w:p>
        </w:tc>
        <w:tc>
          <w:tcPr>
            <w:tcW w:w="1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43,380,579</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43,344,981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gridSpan w:val="2"/>
          </w:tcPr>
          <w:p>
            <w:pPr>
              <w:spacing w:after="0"/>
              <w:rPr>
                <w:sz w:val="20"/>
                <w:szCs w:val="20"/>
                <w:color w:val="auto"/>
              </w:rPr>
            </w:pPr>
            <w:r>
              <w:rPr>
                <w:rFonts w:ascii="Arial" w:cs="Arial" w:eastAsia="Arial" w:hAnsi="Arial"/>
                <w:sz w:val="13"/>
                <w:szCs w:val="13"/>
                <w:color w:val="auto"/>
              </w:rPr>
              <w:t>Learning Care Group (US) Inc.</w:t>
            </w:r>
          </w:p>
        </w:tc>
        <w:tc>
          <w:tcPr>
            <w:tcW w:w="620" w:type="dxa"/>
            <w:vAlign w:val="bottom"/>
          </w:tcPr>
          <w:p>
            <w:pPr>
              <w:ind w:left="20"/>
              <w:spacing w:after="0"/>
              <w:rPr>
                <w:sz w:val="20"/>
                <w:szCs w:val="20"/>
                <w:color w:val="auto"/>
              </w:rPr>
            </w:pPr>
            <w:r>
              <w:rPr>
                <w:rFonts w:ascii="Arial" w:cs="Arial" w:eastAsia="Arial" w:hAnsi="Arial"/>
                <w:sz w:val="13"/>
                <w:szCs w:val="13"/>
                <w:color w:val="auto"/>
                <w:w w:val="89"/>
              </w:rPr>
              <w:t>06/30/2016</w:t>
            </w:r>
          </w:p>
        </w:tc>
        <w:tc>
          <w:tcPr>
            <w:tcW w:w="180" w:type="dxa"/>
            <w:vAlign w:val="bottom"/>
          </w:tcPr>
          <w:p>
            <w:pPr>
              <w:spacing w:after="0"/>
              <w:rPr>
                <w:sz w:val="12"/>
                <w:szCs w:val="12"/>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3"/>
                <w:szCs w:val="13"/>
                <w:color w:val="auto"/>
                <w:w w:val="93"/>
              </w:rPr>
              <w:t>Education</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15.00%</w:t>
            </w:r>
          </w:p>
        </w:tc>
        <w:tc>
          <w:tcPr>
            <w:tcW w:w="360" w:type="dxa"/>
            <w:vAlign w:val="bottom"/>
          </w:tcPr>
          <w:p>
            <w:pPr>
              <w:jc w:val="right"/>
              <w:ind w:right="164"/>
              <w:spacing w:after="0"/>
              <w:rPr>
                <w:sz w:val="20"/>
                <w:szCs w:val="20"/>
                <w:color w:val="auto"/>
              </w:rPr>
            </w:pPr>
            <w:r>
              <w:rPr>
                <w:rFonts w:ascii="Arial" w:cs="Arial" w:eastAsia="Arial" w:hAnsi="Arial"/>
                <w:sz w:val="11"/>
                <w:szCs w:val="11"/>
                <w:color w:val="auto"/>
                <w:w w:val="88"/>
              </w:rPr>
              <w:t>(6)</w:t>
            </w:r>
          </w:p>
        </w:tc>
        <w:tc>
          <w:tcPr>
            <w:tcW w:w="9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4,566,982</w:t>
            </w:r>
          </w:p>
        </w:tc>
        <w:tc>
          <w:tcPr>
            <w:tcW w:w="120" w:type="dxa"/>
            <w:vAlign w:val="bottom"/>
          </w:tcPr>
          <w:p>
            <w:pPr>
              <w:spacing w:after="0"/>
              <w:rPr>
                <w:sz w:val="12"/>
                <w:szCs w:val="1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3"/>
                <w:szCs w:val="13"/>
                <w:color w:val="auto"/>
              </w:rPr>
              <w:t>3,891,689</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4,133,119</w:t>
            </w:r>
          </w:p>
        </w:tc>
        <w:tc>
          <w:tcPr>
            <w:tcW w:w="0" w:type="dxa"/>
            <w:vAlign w:val="bottom"/>
          </w:tcPr>
          <w:p>
            <w:pPr>
              <w:spacing w:after="0"/>
              <w:rPr>
                <w:sz w:val="1"/>
                <w:szCs w:val="1"/>
                <w:color w:val="auto"/>
              </w:rPr>
            </w:pPr>
          </w:p>
        </w:tc>
      </w:tr>
      <w:tr>
        <w:trPr>
          <w:trHeight w:val="138"/>
        </w:trPr>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LTI Flexible Products, Inc.</w:t>
            </w:r>
          </w:p>
        </w:tc>
        <w:tc>
          <w:tcPr>
            <w:tcW w:w="6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w w:val="89"/>
              </w:rPr>
              <w:t>01/26/2017</w:t>
            </w:r>
          </w:p>
        </w:tc>
        <w:tc>
          <w:tcPr>
            <w:tcW w:w="18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jc w:val="center"/>
              <w:ind w:right="160"/>
              <w:spacing w:after="0" w:line="138" w:lineRule="exact"/>
              <w:rPr>
                <w:sz w:val="20"/>
                <w:szCs w:val="20"/>
                <w:color w:val="auto"/>
              </w:rPr>
            </w:pPr>
            <w:r>
              <w:rPr>
                <w:rFonts w:ascii="Arial" w:cs="Arial" w:eastAsia="Arial" w:hAnsi="Arial"/>
                <w:sz w:val="13"/>
                <w:szCs w:val="13"/>
                <w:color w:val="auto"/>
                <w:w w:val="94"/>
              </w:rPr>
              <w:t>Chemical, Plastic and</w:t>
            </w:r>
          </w:p>
        </w:tc>
        <w:tc>
          <w:tcPr>
            <w:tcW w:w="6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13.88%</w:t>
            </w: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88"/>
              </w:rPr>
              <w:t>(6)</w:t>
            </w: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33,937,985</w:t>
            </w:r>
          </w:p>
        </w:tc>
        <w:tc>
          <w:tcPr>
            <w:tcW w:w="1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33,119,280</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33,768,295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3"/>
              </w:rPr>
              <w:t>Rubber</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Mailsouth, Inc.</w:t>
            </w:r>
          </w:p>
        </w:tc>
        <w:tc>
          <w:tcPr>
            <w:tcW w:w="620" w:type="dxa"/>
            <w:vAlign w:val="bottom"/>
          </w:tcPr>
          <w:p>
            <w:pPr>
              <w:ind w:left="20"/>
              <w:spacing w:after="0"/>
              <w:rPr>
                <w:sz w:val="20"/>
                <w:szCs w:val="20"/>
                <w:color w:val="auto"/>
              </w:rPr>
            </w:pPr>
            <w:r>
              <w:rPr>
                <w:rFonts w:ascii="Arial" w:cs="Arial" w:eastAsia="Arial" w:hAnsi="Arial"/>
                <w:sz w:val="13"/>
                <w:szCs w:val="13"/>
                <w:color w:val="auto"/>
                <w:w w:val="89"/>
              </w:rPr>
              <w:t>06/15/2017</w:t>
            </w:r>
          </w:p>
        </w:tc>
        <w:tc>
          <w:tcPr>
            <w:tcW w:w="180" w:type="dxa"/>
            <w:vAlign w:val="bottom"/>
          </w:tcPr>
          <w:p>
            <w:pPr>
              <w:spacing w:after="0"/>
              <w:rPr>
                <w:sz w:val="12"/>
                <w:szCs w:val="12"/>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3"/>
                <w:szCs w:val="13"/>
                <w:color w:val="auto"/>
                <w:w w:val="96"/>
              </w:rPr>
              <w:t>Printing and Publishing</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14.50%</w:t>
            </w:r>
          </w:p>
        </w:tc>
        <w:tc>
          <w:tcPr>
            <w:tcW w:w="360" w:type="dxa"/>
            <w:vAlign w:val="bottom"/>
          </w:tcPr>
          <w:p>
            <w:pPr>
              <w:jc w:val="right"/>
              <w:ind w:right="164"/>
              <w:spacing w:after="0"/>
              <w:rPr>
                <w:sz w:val="20"/>
                <w:szCs w:val="20"/>
                <w:color w:val="auto"/>
              </w:rPr>
            </w:pPr>
            <w:r>
              <w:rPr>
                <w:rFonts w:ascii="Arial" w:cs="Arial" w:eastAsia="Arial" w:hAnsi="Arial"/>
                <w:sz w:val="11"/>
                <w:szCs w:val="11"/>
                <w:color w:val="auto"/>
                <w:w w:val="88"/>
              </w:rPr>
              <w:t>(6)</w:t>
            </w:r>
          </w:p>
        </w:tc>
        <w:tc>
          <w:tcPr>
            <w:tcW w:w="9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15,000,000</w:t>
            </w:r>
          </w:p>
        </w:tc>
        <w:tc>
          <w:tcPr>
            <w:tcW w:w="120" w:type="dxa"/>
            <w:vAlign w:val="bottom"/>
          </w:tcPr>
          <w:p>
            <w:pPr>
              <w:spacing w:after="0"/>
              <w:rPr>
                <w:sz w:val="12"/>
                <w:szCs w:val="1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3"/>
                <w:szCs w:val="13"/>
                <w:color w:val="auto"/>
              </w:rPr>
              <w:t>14,579,991</w:t>
            </w:r>
          </w:p>
        </w:tc>
        <w:tc>
          <w:tcPr>
            <w:tcW w:w="760" w:type="dxa"/>
            <w:vAlign w:val="bottom"/>
          </w:tcPr>
          <w:p>
            <w:pPr>
              <w:jc w:val="right"/>
              <w:spacing w:after="0"/>
              <w:rPr>
                <w:sz w:val="20"/>
                <w:szCs w:val="20"/>
                <w:color w:val="auto"/>
              </w:rPr>
            </w:pPr>
            <w:r>
              <w:rPr>
                <w:rFonts w:ascii="Arial" w:cs="Arial" w:eastAsia="Arial" w:hAnsi="Arial"/>
                <w:sz w:val="13"/>
                <w:szCs w:val="13"/>
                <w:color w:val="auto"/>
              </w:rPr>
              <w:t>14,640,000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MedQuist, Inc.</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10/14/2016</w:t>
            </w:r>
          </w:p>
        </w:tc>
        <w:tc>
          <w:tcPr>
            <w:tcW w:w="1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2"/>
              </w:rPr>
              <w:t>Business Services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13.00%</w:t>
            </w: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88"/>
              </w:rPr>
              <w:t>(6)</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19,000,000</w:t>
            </w:r>
          </w:p>
        </w:tc>
        <w:tc>
          <w:tcPr>
            <w:tcW w:w="1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18,492,685</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PAS Technologies, Inc.</w:t>
            </w:r>
          </w:p>
        </w:tc>
        <w:tc>
          <w:tcPr>
            <w:tcW w:w="620" w:type="dxa"/>
            <w:vAlign w:val="bottom"/>
          </w:tcPr>
          <w:p>
            <w:pPr>
              <w:ind w:left="20"/>
              <w:spacing w:after="0"/>
              <w:rPr>
                <w:sz w:val="20"/>
                <w:szCs w:val="20"/>
                <w:color w:val="auto"/>
              </w:rPr>
            </w:pPr>
            <w:r>
              <w:rPr>
                <w:rFonts w:ascii="Arial" w:cs="Arial" w:eastAsia="Arial" w:hAnsi="Arial"/>
                <w:sz w:val="13"/>
                <w:szCs w:val="13"/>
                <w:color w:val="auto"/>
                <w:w w:val="89"/>
              </w:rPr>
              <w:t>05/12/2017</w:t>
            </w:r>
          </w:p>
        </w:tc>
        <w:tc>
          <w:tcPr>
            <w:tcW w:w="180" w:type="dxa"/>
            <w:vAlign w:val="bottom"/>
          </w:tcPr>
          <w:p>
            <w:pPr>
              <w:spacing w:after="0"/>
              <w:rPr>
                <w:sz w:val="12"/>
                <w:szCs w:val="12"/>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3"/>
                <w:szCs w:val="13"/>
                <w:color w:val="auto"/>
                <w:w w:val="91"/>
              </w:rPr>
              <w:t>Aerospace and Defense</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14.02%</w:t>
            </w:r>
          </w:p>
        </w:tc>
        <w:tc>
          <w:tcPr>
            <w:tcW w:w="360" w:type="dxa"/>
            <w:vAlign w:val="bottom"/>
          </w:tcPr>
          <w:p>
            <w:pPr>
              <w:jc w:val="right"/>
              <w:ind w:right="164"/>
              <w:spacing w:after="0"/>
              <w:rPr>
                <w:sz w:val="20"/>
                <w:szCs w:val="20"/>
                <w:color w:val="auto"/>
              </w:rPr>
            </w:pPr>
            <w:r>
              <w:rPr>
                <w:rFonts w:ascii="Arial" w:cs="Arial" w:eastAsia="Arial" w:hAnsi="Arial"/>
                <w:sz w:val="11"/>
                <w:szCs w:val="11"/>
                <w:color w:val="auto"/>
                <w:w w:val="88"/>
              </w:rPr>
              <w:t>(6)</w:t>
            </w:r>
          </w:p>
        </w:tc>
        <w:tc>
          <w:tcPr>
            <w:tcW w:w="9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16,785,000</w:t>
            </w:r>
          </w:p>
        </w:tc>
        <w:tc>
          <w:tcPr>
            <w:tcW w:w="120" w:type="dxa"/>
            <w:vAlign w:val="bottom"/>
          </w:tcPr>
          <w:p>
            <w:pPr>
              <w:spacing w:after="0"/>
              <w:rPr>
                <w:sz w:val="12"/>
                <w:szCs w:val="1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3"/>
                <w:szCs w:val="13"/>
                <w:color w:val="auto"/>
              </w:rPr>
              <w:t>16,400,403</w:t>
            </w:r>
          </w:p>
        </w:tc>
        <w:tc>
          <w:tcPr>
            <w:tcW w:w="760" w:type="dxa"/>
            <w:vAlign w:val="bottom"/>
          </w:tcPr>
          <w:p>
            <w:pPr>
              <w:jc w:val="right"/>
              <w:spacing w:after="0"/>
              <w:rPr>
                <w:sz w:val="20"/>
                <w:szCs w:val="20"/>
                <w:color w:val="auto"/>
              </w:rPr>
            </w:pPr>
            <w:r>
              <w:rPr>
                <w:rFonts w:ascii="Arial" w:cs="Arial" w:eastAsia="Arial" w:hAnsi="Arial"/>
                <w:sz w:val="13"/>
                <w:szCs w:val="13"/>
                <w:color w:val="auto"/>
              </w:rPr>
              <w:t>16,600,365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Prince Mineral Holdings Corp.</w:t>
            </w:r>
          </w:p>
        </w:tc>
        <w:tc>
          <w:tcPr>
            <w:tcW w:w="6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w w:val="89"/>
              </w:rPr>
              <w:t>12/03/2016</w:t>
            </w:r>
          </w:p>
        </w:tc>
        <w:tc>
          <w:tcPr>
            <w:tcW w:w="18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jc w:val="center"/>
              <w:ind w:right="160"/>
              <w:spacing w:after="0" w:line="138" w:lineRule="exact"/>
              <w:rPr>
                <w:sz w:val="20"/>
                <w:szCs w:val="20"/>
                <w:color w:val="auto"/>
              </w:rPr>
            </w:pPr>
            <w:r>
              <w:rPr>
                <w:rFonts w:ascii="Arial" w:cs="Arial" w:eastAsia="Arial" w:hAnsi="Arial"/>
                <w:sz w:val="13"/>
                <w:szCs w:val="13"/>
                <w:color w:val="auto"/>
                <w:w w:val="96"/>
              </w:rPr>
              <w:t>Mining, Steel, Iron and</w:t>
            </w:r>
          </w:p>
        </w:tc>
        <w:tc>
          <w:tcPr>
            <w:tcW w:w="6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13.50%</w:t>
            </w: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88"/>
              </w:rPr>
              <w:t>(6)</w:t>
            </w: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95"/>
              </w:rPr>
              <w:t>26,169,195</w:t>
            </w:r>
          </w:p>
        </w:tc>
        <w:tc>
          <w:tcPr>
            <w:tcW w:w="1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25,667,843</w:t>
            </w:r>
          </w:p>
        </w:tc>
        <w:tc>
          <w:tcPr>
            <w:tcW w:w="8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25,645,811</w:t>
            </w:r>
          </w:p>
        </w:tc>
        <w:tc>
          <w:tcPr>
            <w:tcW w:w="0" w:type="dxa"/>
            <w:vAlign w:val="bottom"/>
          </w:tcPr>
          <w:p>
            <w:pPr>
              <w:spacing w:after="0"/>
              <w:rPr>
                <w:sz w:val="1"/>
                <w:szCs w:val="1"/>
                <w:color w:val="auto"/>
              </w:rPr>
            </w:pPr>
          </w:p>
        </w:tc>
      </w:tr>
      <w:tr>
        <w:trPr>
          <w:trHeight w:val="173"/>
        </w:trPr>
        <w:tc>
          <w:tcPr>
            <w:tcW w:w="4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4"/>
              </w:rPr>
              <w:t>Non-Precious Metals</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Realogy Corp.</w:t>
            </w:r>
          </w:p>
        </w:tc>
        <w:tc>
          <w:tcPr>
            <w:tcW w:w="2380" w:type="dxa"/>
            <w:vAlign w:val="bottom"/>
            <w:gridSpan w:val="4"/>
          </w:tcPr>
          <w:p>
            <w:pPr>
              <w:ind w:left="20"/>
              <w:spacing w:after="0"/>
              <w:rPr>
                <w:sz w:val="20"/>
                <w:szCs w:val="20"/>
                <w:color w:val="auto"/>
              </w:rPr>
            </w:pPr>
            <w:r>
              <w:rPr>
                <w:rFonts w:ascii="Arial" w:cs="Arial" w:eastAsia="Arial" w:hAnsi="Arial"/>
                <w:sz w:val="13"/>
                <w:szCs w:val="13"/>
                <w:color w:val="auto"/>
              </w:rPr>
              <w:t>04/15/2018   Buildings and Real Estate</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11.00%</w:t>
            </w:r>
          </w:p>
        </w:tc>
        <w:tc>
          <w:tcPr>
            <w:tcW w:w="360" w:type="dxa"/>
            <w:vAlign w:val="bottom"/>
          </w:tcPr>
          <w:p>
            <w:pPr>
              <w:spacing w:after="0"/>
              <w:rPr>
                <w:sz w:val="12"/>
                <w:szCs w:val="12"/>
                <w:color w:val="auto"/>
              </w:rPr>
            </w:pPr>
          </w:p>
        </w:tc>
        <w:tc>
          <w:tcPr>
            <w:tcW w:w="9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10,000,000</w:t>
            </w:r>
          </w:p>
        </w:tc>
        <w:tc>
          <w:tcPr>
            <w:tcW w:w="120" w:type="dxa"/>
            <w:vAlign w:val="bottom"/>
          </w:tcPr>
          <w:p>
            <w:pPr>
              <w:spacing w:after="0"/>
              <w:rPr>
                <w:sz w:val="12"/>
                <w:szCs w:val="1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3"/>
                <w:szCs w:val="13"/>
                <w:color w:val="auto"/>
              </w:rPr>
              <w:t>9,159,259</w:t>
            </w:r>
          </w:p>
        </w:tc>
        <w:tc>
          <w:tcPr>
            <w:tcW w:w="760" w:type="dxa"/>
            <w:vAlign w:val="bottom"/>
          </w:tcPr>
          <w:p>
            <w:pPr>
              <w:jc w:val="right"/>
              <w:spacing w:after="0"/>
              <w:rPr>
                <w:sz w:val="20"/>
                <w:szCs w:val="20"/>
                <w:color w:val="auto"/>
              </w:rPr>
            </w:pPr>
            <w:r>
              <w:rPr>
                <w:rFonts w:ascii="Arial" w:cs="Arial" w:eastAsia="Arial" w:hAnsi="Arial"/>
                <w:sz w:val="13"/>
                <w:szCs w:val="13"/>
                <w:color w:val="auto"/>
              </w:rPr>
              <w:t>7,800,000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TRAK Acquisition Corp.</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12/29/2015</w:t>
            </w:r>
          </w:p>
        </w:tc>
        <w:tc>
          <w:tcPr>
            <w:tcW w:w="1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2"/>
              </w:rPr>
              <w:t>Business Services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15.00%</w:t>
            </w: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88"/>
              </w:rPr>
              <w:t>(6)</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12,020,950</w:t>
            </w:r>
          </w:p>
        </w:tc>
        <w:tc>
          <w:tcPr>
            <w:tcW w:w="1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11,683,548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11,984,887</w:t>
            </w: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UP Support Services Inc.</w:t>
            </w:r>
          </w:p>
        </w:tc>
        <w:tc>
          <w:tcPr>
            <w:tcW w:w="620" w:type="dxa"/>
            <w:vAlign w:val="bottom"/>
          </w:tcPr>
          <w:p>
            <w:pPr>
              <w:ind w:left="20"/>
              <w:spacing w:after="0"/>
              <w:rPr>
                <w:sz w:val="20"/>
                <w:szCs w:val="20"/>
                <w:color w:val="auto"/>
              </w:rPr>
            </w:pPr>
            <w:r>
              <w:rPr>
                <w:rFonts w:ascii="Arial" w:cs="Arial" w:eastAsia="Arial" w:hAnsi="Arial"/>
                <w:sz w:val="13"/>
                <w:szCs w:val="13"/>
                <w:color w:val="auto"/>
                <w:w w:val="89"/>
              </w:rPr>
              <w:t>02/08/2015</w:t>
            </w:r>
          </w:p>
        </w:tc>
        <w:tc>
          <w:tcPr>
            <w:tcW w:w="180" w:type="dxa"/>
            <w:vAlign w:val="bottom"/>
          </w:tcPr>
          <w:p>
            <w:pPr>
              <w:spacing w:after="0"/>
              <w:rPr>
                <w:sz w:val="12"/>
                <w:szCs w:val="12"/>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3"/>
                <w:szCs w:val="13"/>
                <w:color w:val="auto"/>
                <w:w w:val="93"/>
              </w:rPr>
              <w:t>Oil and Gas</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19.00%</w:t>
            </w:r>
          </w:p>
        </w:tc>
        <w:tc>
          <w:tcPr>
            <w:tcW w:w="360" w:type="dxa"/>
            <w:vAlign w:val="bottom"/>
          </w:tcPr>
          <w:p>
            <w:pPr>
              <w:jc w:val="right"/>
              <w:ind w:right="164"/>
              <w:spacing w:after="0"/>
              <w:rPr>
                <w:sz w:val="20"/>
                <w:szCs w:val="20"/>
                <w:color w:val="auto"/>
              </w:rPr>
            </w:pPr>
            <w:r>
              <w:rPr>
                <w:rFonts w:ascii="Arial" w:cs="Arial" w:eastAsia="Arial" w:hAnsi="Arial"/>
                <w:sz w:val="11"/>
                <w:szCs w:val="11"/>
                <w:color w:val="auto"/>
                <w:w w:val="88"/>
              </w:rPr>
              <w:t>(6)</w:t>
            </w:r>
          </w:p>
        </w:tc>
        <w:tc>
          <w:tcPr>
            <w:tcW w:w="9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26,276,070</w:t>
            </w:r>
          </w:p>
        </w:tc>
        <w:tc>
          <w:tcPr>
            <w:tcW w:w="120" w:type="dxa"/>
            <w:vAlign w:val="bottom"/>
          </w:tcPr>
          <w:p>
            <w:pPr>
              <w:spacing w:after="0"/>
              <w:rPr>
                <w:sz w:val="12"/>
                <w:szCs w:val="12"/>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3"/>
                <w:szCs w:val="13"/>
                <w:color w:val="auto"/>
              </w:rPr>
              <w:t>26,063,224</w:t>
            </w:r>
          </w:p>
        </w:tc>
        <w:tc>
          <w:tcPr>
            <w:tcW w:w="760" w:type="dxa"/>
            <w:vAlign w:val="bottom"/>
          </w:tcPr>
          <w:p>
            <w:pPr>
              <w:jc w:val="right"/>
              <w:spacing w:after="0"/>
              <w:rPr>
                <w:sz w:val="20"/>
                <w:szCs w:val="20"/>
                <w:color w:val="auto"/>
              </w:rPr>
            </w:pPr>
            <w:r>
              <w:rPr>
                <w:rFonts w:ascii="Arial" w:cs="Arial" w:eastAsia="Arial" w:hAnsi="Arial"/>
                <w:sz w:val="13"/>
                <w:szCs w:val="13"/>
                <w:color w:val="auto"/>
              </w:rPr>
              <w:t>24,173,984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Veritext Corp.</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12/31/2015</w:t>
            </w:r>
          </w:p>
        </w:tc>
        <w:tc>
          <w:tcPr>
            <w:tcW w:w="1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2"/>
              </w:rPr>
              <w:t>Business Services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14.00%</w:t>
            </w:r>
          </w:p>
        </w:tc>
        <w:tc>
          <w:tcPr>
            <w:tcW w:w="36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88"/>
              </w:rPr>
              <w:t>(6)</w:t>
            </w: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15,000,000</w:t>
            </w:r>
          </w:p>
        </w:tc>
        <w:tc>
          <w:tcPr>
            <w:tcW w:w="1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14,686,238</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Veritext Corp. </w:t>
            </w:r>
            <w:r>
              <w:rPr>
                <w:rFonts w:ascii="Arial" w:cs="Arial" w:eastAsia="Arial" w:hAnsi="Arial"/>
                <w:sz w:val="17"/>
                <w:szCs w:val="17"/>
                <w:color w:val="auto"/>
                <w:vertAlign w:val="superscript"/>
              </w:rPr>
              <w:t>(9)</w:t>
            </w:r>
          </w:p>
        </w:tc>
        <w:tc>
          <w:tcPr>
            <w:tcW w:w="620" w:type="dxa"/>
            <w:vAlign w:val="bottom"/>
          </w:tcPr>
          <w:p>
            <w:pPr>
              <w:ind w:left="20"/>
              <w:spacing w:after="0"/>
              <w:rPr>
                <w:sz w:val="20"/>
                <w:szCs w:val="20"/>
                <w:color w:val="auto"/>
              </w:rPr>
            </w:pPr>
            <w:r>
              <w:rPr>
                <w:rFonts w:ascii="Arial" w:cs="Arial" w:eastAsia="Arial" w:hAnsi="Arial"/>
                <w:sz w:val="13"/>
                <w:szCs w:val="13"/>
                <w:color w:val="auto"/>
                <w:w w:val="89"/>
              </w:rPr>
              <w:t>12/31/2012</w:t>
            </w:r>
          </w:p>
        </w:tc>
        <w:tc>
          <w:tcPr>
            <w:tcW w:w="180" w:type="dxa"/>
            <w:vAlign w:val="bottom"/>
          </w:tcPr>
          <w:p>
            <w:pPr>
              <w:spacing w:after="0"/>
              <w:rPr>
                <w:sz w:val="12"/>
                <w:szCs w:val="12"/>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3"/>
                <w:szCs w:val="13"/>
                <w:color w:val="auto"/>
                <w:w w:val="92"/>
              </w:rPr>
              <w:t>Business Services</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9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5"/>
              </w:rPr>
              <w:t>12,000,000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11,700,000</w:t>
            </w:r>
          </w:p>
        </w:tc>
        <w:tc>
          <w:tcPr>
            <w:tcW w:w="760" w:type="dxa"/>
            <w:vAlign w:val="bottom"/>
          </w:tcPr>
          <w:p>
            <w:pPr>
              <w:jc w:val="right"/>
              <w:spacing w:after="0"/>
              <w:rPr>
                <w:sz w:val="20"/>
                <w:szCs w:val="20"/>
                <w:color w:val="auto"/>
              </w:rPr>
            </w:pPr>
            <w:r>
              <w:rPr>
                <w:rFonts w:ascii="Arial" w:cs="Arial" w:eastAsia="Arial" w:hAnsi="Arial"/>
                <w:sz w:val="13"/>
                <w:szCs w:val="13"/>
                <w:color w:val="auto"/>
              </w:rPr>
              <w:t>12,000,000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9"/>
              </w:rPr>
              <w:t>316,401,098</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300,840,501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32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Preferred Equity/Partnership Interests —1.7% </w:t>
            </w:r>
            <w:r>
              <w:rPr>
                <w:rFonts w:ascii="Arial" w:cs="Arial" w:eastAsia="Arial" w:hAnsi="Arial"/>
                <w:sz w:val="18"/>
                <w:szCs w:val="18"/>
                <w:b w:val="1"/>
                <w:bCs w:val="1"/>
                <w:color w:val="auto"/>
                <w:vertAlign w:val="superscript"/>
              </w:rPr>
              <w:t>(7)</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AH Holdings, Inc.</w:t>
            </w:r>
          </w:p>
        </w:tc>
        <w:tc>
          <w:tcPr>
            <w:tcW w:w="80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3"/>
              </w:rPr>
              <w:t>Healthcare, Education</w:t>
            </w:r>
          </w:p>
        </w:tc>
        <w:tc>
          <w:tcPr>
            <w:tcW w:w="6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6.00%</w:t>
            </w:r>
          </w:p>
        </w:tc>
        <w:tc>
          <w:tcPr>
            <w:tcW w:w="3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211</w:t>
            </w:r>
          </w:p>
        </w:tc>
        <w:tc>
          <w:tcPr>
            <w:tcW w:w="110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500,000</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491,004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(American Surgical Holdings, Inc.)</w:t>
            </w: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4"/>
              </w:rPr>
              <w:t>and Childcare</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20" w:type="dxa"/>
            <w:vAlign w:val="bottom"/>
            <w:gridSpan w:val="2"/>
          </w:tcPr>
          <w:p>
            <w:pPr>
              <w:spacing w:after="0"/>
              <w:rPr>
                <w:sz w:val="20"/>
                <w:szCs w:val="20"/>
                <w:color w:val="auto"/>
              </w:rPr>
            </w:pPr>
            <w:r>
              <w:rPr>
                <w:rFonts w:ascii="Arial" w:cs="Arial" w:eastAsia="Arial" w:hAnsi="Arial"/>
                <w:sz w:val="13"/>
                <w:szCs w:val="13"/>
                <w:color w:val="auto"/>
              </w:rPr>
              <w:t>AHC Mezzanine, LLC</w:t>
            </w:r>
          </w:p>
        </w:tc>
        <w:tc>
          <w:tcPr>
            <w:tcW w:w="8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580" w:type="dxa"/>
            <w:vAlign w:val="bottom"/>
            <w:gridSpan w:val="2"/>
          </w:tcPr>
          <w:p>
            <w:pPr>
              <w:jc w:val="center"/>
              <w:ind w:right="180"/>
              <w:spacing w:after="0"/>
              <w:rPr>
                <w:sz w:val="20"/>
                <w:szCs w:val="20"/>
                <w:color w:val="auto"/>
              </w:rPr>
            </w:pPr>
            <w:r>
              <w:rPr>
                <w:rFonts w:ascii="Arial" w:cs="Arial" w:eastAsia="Arial" w:hAnsi="Arial"/>
                <w:sz w:val="13"/>
                <w:szCs w:val="13"/>
                <w:color w:val="auto"/>
                <w:w w:val="95"/>
              </w:rPr>
              <w:t>Other Media</w:t>
            </w: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7"/>
                <w:szCs w:val="17"/>
                <w:color w:val="auto"/>
              </w:rPr>
            </w:pPr>
          </w:p>
        </w:tc>
        <w:tc>
          <w:tcPr>
            <w:tcW w:w="9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7505</w:t>
            </w:r>
          </w:p>
        </w:tc>
        <w:tc>
          <w:tcPr>
            <w:tcW w:w="120" w:type="dxa"/>
            <w:vAlign w:val="bottom"/>
          </w:tcPr>
          <w:p>
            <w:pPr>
              <w:spacing w:after="0"/>
              <w:rPr>
                <w:sz w:val="17"/>
                <w:szCs w:val="17"/>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3"/>
                <w:szCs w:val="13"/>
                <w:color w:val="auto"/>
              </w:rPr>
              <w:t>318,896</w:t>
            </w:r>
          </w:p>
        </w:tc>
        <w:tc>
          <w:tcPr>
            <w:tcW w:w="8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4320" w:type="dxa"/>
            <w:vAlign w:val="bottom"/>
            <w:gridSpan w:val="2"/>
          </w:tcPr>
          <w:p>
            <w:pPr>
              <w:ind w:left="220"/>
              <w:spacing w:after="0"/>
              <w:rPr>
                <w:sz w:val="20"/>
                <w:szCs w:val="20"/>
                <w:color w:val="auto"/>
              </w:rPr>
            </w:pPr>
            <w:r>
              <w:rPr>
                <w:rFonts w:ascii="Arial" w:cs="Arial" w:eastAsia="Arial" w:hAnsi="Arial"/>
                <w:sz w:val="13"/>
                <w:szCs w:val="13"/>
                <w:color w:val="auto"/>
              </w:rPr>
              <w:t>(Advanstar Inc.)</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CFHC Holdings, Inc., Class A</w:t>
            </w:r>
          </w:p>
        </w:tc>
        <w:tc>
          <w:tcPr>
            <w:tcW w:w="80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1"/>
              </w:rPr>
              <w:t>Aerospace and Defense</w:t>
            </w:r>
          </w:p>
        </w:tc>
        <w:tc>
          <w:tcPr>
            <w:tcW w:w="6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12.00%</w:t>
            </w:r>
          </w:p>
        </w:tc>
        <w:tc>
          <w:tcPr>
            <w:tcW w:w="3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909</w:t>
            </w:r>
          </w:p>
        </w:tc>
        <w:tc>
          <w:tcPr>
            <w:tcW w:w="1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909,248</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1,328,977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(Consolidated Foundries, Inc.)</w:t>
            </w: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320" w:type="dxa"/>
            <w:vAlign w:val="bottom"/>
            <w:gridSpan w:val="2"/>
          </w:tcPr>
          <w:p>
            <w:pPr>
              <w:spacing w:after="0" w:line="138" w:lineRule="exact"/>
              <w:rPr>
                <w:sz w:val="20"/>
                <w:szCs w:val="20"/>
                <w:color w:val="auto"/>
              </w:rPr>
            </w:pPr>
            <w:r>
              <w:rPr>
                <w:rFonts w:ascii="Arial" w:cs="Arial" w:eastAsia="Arial" w:hAnsi="Arial"/>
                <w:sz w:val="13"/>
                <w:szCs w:val="13"/>
                <w:color w:val="auto"/>
              </w:rPr>
              <w:t>PAS Tech Holdings, Inc., Series A-1</w:t>
            </w:r>
          </w:p>
        </w:tc>
        <w:tc>
          <w:tcPr>
            <w:tcW w:w="800" w:type="dxa"/>
            <w:vAlign w:val="bottom"/>
            <w:gridSpan w:val="2"/>
          </w:tcPr>
          <w:p>
            <w:pPr>
              <w:ind w:left="220"/>
              <w:spacing w:after="0" w:line="138" w:lineRule="exact"/>
              <w:rPr>
                <w:sz w:val="20"/>
                <w:szCs w:val="20"/>
                <w:color w:val="auto"/>
              </w:rPr>
            </w:pPr>
            <w:r>
              <w:rPr>
                <w:rFonts w:ascii="Arial" w:cs="Arial" w:eastAsia="Arial" w:hAnsi="Arial"/>
                <w:sz w:val="13"/>
                <w:szCs w:val="13"/>
                <w:color w:val="auto"/>
              </w:rPr>
              <w:t>—</w:t>
            </w:r>
          </w:p>
        </w:tc>
        <w:tc>
          <w:tcPr>
            <w:tcW w:w="158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1"/>
              </w:rPr>
              <w:t>Aerospace and Defense</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8.00%</w:t>
            </w:r>
          </w:p>
        </w:tc>
        <w:tc>
          <w:tcPr>
            <w:tcW w:w="360" w:type="dxa"/>
            <w:vAlign w:val="bottom"/>
          </w:tcPr>
          <w:p>
            <w:pPr>
              <w:spacing w:after="0"/>
              <w:rPr>
                <w:sz w:val="11"/>
                <w:szCs w:val="11"/>
                <w:color w:val="auto"/>
              </w:rPr>
            </w:pPr>
          </w:p>
        </w:tc>
        <w:tc>
          <w:tcPr>
            <w:tcW w:w="9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20,000</w:t>
            </w:r>
          </w:p>
        </w:tc>
        <w:tc>
          <w:tcPr>
            <w:tcW w:w="120" w:type="dxa"/>
            <w:vAlign w:val="bottom"/>
          </w:tcPr>
          <w:p>
            <w:pPr>
              <w:spacing w:after="0"/>
              <w:rPr>
                <w:sz w:val="11"/>
                <w:szCs w:val="11"/>
                <w:color w:val="auto"/>
              </w:rPr>
            </w:pPr>
          </w:p>
        </w:tc>
        <w:tc>
          <w:tcPr>
            <w:tcW w:w="1100" w:type="dxa"/>
            <w:vAlign w:val="bottom"/>
            <w:gridSpan w:val="3"/>
          </w:tcPr>
          <w:p>
            <w:pPr>
              <w:jc w:val="right"/>
              <w:ind w:right="240"/>
              <w:spacing w:after="0" w:line="138" w:lineRule="exact"/>
              <w:rPr>
                <w:sz w:val="20"/>
                <w:szCs w:val="20"/>
                <w:color w:val="auto"/>
              </w:rPr>
            </w:pPr>
            <w:r>
              <w:rPr>
                <w:rFonts w:ascii="Arial" w:cs="Arial" w:eastAsia="Arial" w:hAnsi="Arial"/>
                <w:sz w:val="13"/>
                <w:szCs w:val="13"/>
                <w:color w:val="auto"/>
              </w:rPr>
              <w:t>1,980,000</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2,026,969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20" w:type="dxa"/>
            <w:vAlign w:val="bottom"/>
            <w:gridSpan w:val="2"/>
          </w:tcPr>
          <w:p>
            <w:pPr>
              <w:ind w:left="220"/>
              <w:spacing w:after="0"/>
              <w:rPr>
                <w:sz w:val="20"/>
                <w:szCs w:val="20"/>
                <w:color w:val="auto"/>
              </w:rPr>
            </w:pPr>
            <w:r>
              <w:rPr>
                <w:rFonts w:ascii="Arial" w:cs="Arial" w:eastAsia="Arial" w:hAnsi="Arial"/>
                <w:sz w:val="13"/>
                <w:szCs w:val="13"/>
                <w:color w:val="auto"/>
              </w:rPr>
              <w:t>(PAS Technologies, Inc.)</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TZ Holdings, L.P., Series A</w:t>
            </w:r>
          </w:p>
        </w:tc>
        <w:tc>
          <w:tcPr>
            <w:tcW w:w="80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1"/>
              </w:rPr>
              <w:t>Insurance</w:t>
            </w: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686</w:t>
            </w:r>
          </w:p>
        </w:tc>
        <w:tc>
          <w:tcPr>
            <w:tcW w:w="1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685,820</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685,820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(Trizetto Group, Inc.)</w:t>
            </w: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320" w:type="dxa"/>
            <w:vAlign w:val="bottom"/>
            <w:gridSpan w:val="2"/>
          </w:tcPr>
          <w:p>
            <w:pPr>
              <w:spacing w:after="0" w:line="138" w:lineRule="exact"/>
              <w:rPr>
                <w:sz w:val="20"/>
                <w:szCs w:val="20"/>
                <w:color w:val="auto"/>
              </w:rPr>
            </w:pPr>
            <w:r>
              <w:rPr>
                <w:rFonts w:ascii="Arial" w:cs="Arial" w:eastAsia="Arial" w:hAnsi="Arial"/>
                <w:sz w:val="13"/>
                <w:szCs w:val="13"/>
                <w:color w:val="auto"/>
              </w:rPr>
              <w:t>TZ Holdings, L.P., Series B</w:t>
            </w:r>
          </w:p>
        </w:tc>
        <w:tc>
          <w:tcPr>
            <w:tcW w:w="800" w:type="dxa"/>
            <w:vAlign w:val="bottom"/>
            <w:gridSpan w:val="2"/>
          </w:tcPr>
          <w:p>
            <w:pPr>
              <w:ind w:left="220"/>
              <w:spacing w:after="0" w:line="138" w:lineRule="exact"/>
              <w:rPr>
                <w:sz w:val="20"/>
                <w:szCs w:val="20"/>
                <w:color w:val="auto"/>
              </w:rPr>
            </w:pPr>
            <w:r>
              <w:rPr>
                <w:rFonts w:ascii="Arial" w:cs="Arial" w:eastAsia="Arial" w:hAnsi="Arial"/>
                <w:sz w:val="13"/>
                <w:szCs w:val="13"/>
                <w:color w:val="auto"/>
              </w:rPr>
              <w:t>—</w:t>
            </w:r>
          </w:p>
        </w:tc>
        <w:tc>
          <w:tcPr>
            <w:tcW w:w="158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1"/>
              </w:rPr>
              <w:t>Insurance</w:t>
            </w:r>
          </w:p>
        </w:tc>
        <w:tc>
          <w:tcPr>
            <w:tcW w:w="60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6.50%</w:t>
            </w:r>
          </w:p>
        </w:tc>
        <w:tc>
          <w:tcPr>
            <w:tcW w:w="360" w:type="dxa"/>
            <w:vAlign w:val="bottom"/>
          </w:tcPr>
          <w:p>
            <w:pPr>
              <w:spacing w:after="0"/>
              <w:rPr>
                <w:sz w:val="11"/>
                <w:szCs w:val="11"/>
                <w:color w:val="auto"/>
              </w:rPr>
            </w:pPr>
          </w:p>
        </w:tc>
        <w:tc>
          <w:tcPr>
            <w:tcW w:w="9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1,312</w:t>
            </w:r>
          </w:p>
        </w:tc>
        <w:tc>
          <w:tcPr>
            <w:tcW w:w="120" w:type="dxa"/>
            <w:vAlign w:val="bottom"/>
          </w:tcPr>
          <w:p>
            <w:pPr>
              <w:spacing w:after="0"/>
              <w:rPr>
                <w:sz w:val="11"/>
                <w:szCs w:val="11"/>
                <w:color w:val="auto"/>
              </w:rPr>
            </w:pPr>
          </w:p>
        </w:tc>
        <w:tc>
          <w:tcPr>
            <w:tcW w:w="1100" w:type="dxa"/>
            <w:vAlign w:val="bottom"/>
            <w:gridSpan w:val="3"/>
          </w:tcPr>
          <w:p>
            <w:pPr>
              <w:jc w:val="right"/>
              <w:ind w:right="240"/>
              <w:spacing w:after="0" w:line="138" w:lineRule="exact"/>
              <w:rPr>
                <w:sz w:val="20"/>
                <w:szCs w:val="20"/>
                <w:color w:val="auto"/>
              </w:rPr>
            </w:pPr>
            <w:r>
              <w:rPr>
                <w:rFonts w:ascii="Arial" w:cs="Arial" w:eastAsia="Arial" w:hAnsi="Arial"/>
                <w:sz w:val="13"/>
                <w:szCs w:val="13"/>
                <w:color w:val="auto"/>
              </w:rPr>
              <w:t>1,312,006</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1,581,165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20" w:type="dxa"/>
            <w:vAlign w:val="bottom"/>
            <w:gridSpan w:val="2"/>
          </w:tcPr>
          <w:p>
            <w:pPr>
              <w:ind w:left="220"/>
              <w:spacing w:after="0"/>
              <w:rPr>
                <w:sz w:val="20"/>
                <w:szCs w:val="20"/>
                <w:color w:val="auto"/>
              </w:rPr>
            </w:pPr>
            <w:r>
              <w:rPr>
                <w:rFonts w:ascii="Arial" w:cs="Arial" w:eastAsia="Arial" w:hAnsi="Arial"/>
                <w:sz w:val="13"/>
                <w:szCs w:val="13"/>
                <w:color w:val="auto"/>
              </w:rPr>
              <w:t>(Trizetto Group, Inc.)</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Universal Pegasus International, Inc.</w:t>
            </w:r>
          </w:p>
        </w:tc>
        <w:tc>
          <w:tcPr>
            <w:tcW w:w="80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3"/>
              </w:rPr>
              <w:t>Oil and Gas</w:t>
            </w:r>
          </w:p>
        </w:tc>
        <w:tc>
          <w:tcPr>
            <w:tcW w:w="60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8.00%</w:t>
            </w:r>
          </w:p>
        </w:tc>
        <w:tc>
          <w:tcPr>
            <w:tcW w:w="3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101,175</w:t>
            </w:r>
          </w:p>
        </w:tc>
        <w:tc>
          <w:tcPr>
            <w:tcW w:w="1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2,738,050</w:t>
            </w:r>
          </w:p>
        </w:tc>
        <w:tc>
          <w:tcPr>
            <w:tcW w:w="820" w:type="dxa"/>
            <w:vAlign w:val="bottom"/>
            <w:gridSpan w:val="2"/>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(UP Support Services, Inc.)</w:t>
            </w: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320" w:type="dxa"/>
            <w:vAlign w:val="bottom"/>
            <w:gridSpan w:val="2"/>
          </w:tcPr>
          <w:p>
            <w:pPr>
              <w:spacing w:after="0"/>
              <w:rPr>
                <w:sz w:val="20"/>
                <w:szCs w:val="20"/>
                <w:color w:val="auto"/>
              </w:rPr>
            </w:pPr>
            <w:r>
              <w:rPr>
                <w:rFonts w:ascii="Arial" w:cs="Arial" w:eastAsia="Arial" w:hAnsi="Arial"/>
                <w:sz w:val="13"/>
                <w:szCs w:val="13"/>
                <w:color w:val="auto"/>
              </w:rPr>
              <w:t>Verde Parent Holdings, Inc. (VPSI, Inc.)</w:t>
            </w:r>
          </w:p>
        </w:tc>
        <w:tc>
          <w:tcPr>
            <w:tcW w:w="8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580" w:type="dxa"/>
            <w:vAlign w:val="bottom"/>
            <w:gridSpan w:val="2"/>
          </w:tcPr>
          <w:p>
            <w:pPr>
              <w:jc w:val="center"/>
              <w:ind w:right="180"/>
              <w:spacing w:after="0"/>
              <w:rPr>
                <w:sz w:val="20"/>
                <w:szCs w:val="20"/>
                <w:color w:val="auto"/>
              </w:rPr>
            </w:pPr>
            <w:r>
              <w:rPr>
                <w:rFonts w:ascii="Arial" w:cs="Arial" w:eastAsia="Arial" w:hAnsi="Arial"/>
                <w:sz w:val="13"/>
                <w:szCs w:val="13"/>
                <w:color w:val="auto"/>
                <w:w w:val="92"/>
              </w:rPr>
              <w:t>Personal Transportation</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8.00%</w:t>
            </w:r>
          </w:p>
        </w:tc>
        <w:tc>
          <w:tcPr>
            <w:tcW w:w="360" w:type="dxa"/>
            <w:vAlign w:val="bottom"/>
          </w:tcPr>
          <w:p>
            <w:pPr>
              <w:spacing w:after="0"/>
              <w:rPr>
                <w:sz w:val="12"/>
                <w:szCs w:val="12"/>
                <w:color w:val="auto"/>
              </w:rPr>
            </w:pPr>
          </w:p>
        </w:tc>
        <w:tc>
          <w:tcPr>
            <w:tcW w:w="9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1,824,167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1,824,167</w:t>
            </w: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1,911,003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Preferred Equity/Partnership Interests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10,268,187</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8,024,938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line="223" w:lineRule="exact"/>
              <w:rPr>
                <w:sz w:val="20"/>
                <w:szCs w:val="20"/>
                <w:color w:val="auto"/>
              </w:rPr>
            </w:pPr>
            <w:r>
              <w:rPr>
                <w:rFonts w:ascii="Arial" w:cs="Arial" w:eastAsia="Arial" w:hAnsi="Arial"/>
                <w:sz w:val="13"/>
                <w:szCs w:val="13"/>
                <w:b w:val="1"/>
                <w:bCs w:val="1"/>
                <w:color w:val="auto"/>
              </w:rPr>
              <w:t>Common Equity/Warrants/Partnership Interests—7.0%</w:t>
            </w:r>
            <w:r>
              <w:rPr>
                <w:rFonts w:ascii="Arial" w:cs="Arial" w:eastAsia="Arial" w:hAnsi="Arial"/>
                <w:sz w:val="22"/>
                <w:szCs w:val="22"/>
                <w:b w:val="1"/>
                <w:bCs w:val="1"/>
                <w:color w:val="auto"/>
                <w:vertAlign w:val="superscript"/>
              </w:rPr>
              <w:t>(7)</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AH Holdings, Inc.</w:t>
            </w:r>
          </w:p>
        </w:tc>
        <w:tc>
          <w:tcPr>
            <w:tcW w:w="62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w w:val="89"/>
              </w:rPr>
              <w:t>03/23/2021</w:t>
            </w:r>
          </w:p>
        </w:tc>
        <w:tc>
          <w:tcPr>
            <w:tcW w:w="18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3"/>
              </w:rPr>
              <w:t>Healthcare, Education</w:t>
            </w: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753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56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(American Surgical Holdings, Inc.) (Warrants)</w:t>
            </w: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4"/>
              </w:rPr>
              <w:t>and Childcare</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320" w:type="dxa"/>
            <w:vAlign w:val="bottom"/>
            <w:gridSpan w:val="2"/>
          </w:tcPr>
          <w:p>
            <w:pPr>
              <w:spacing w:after="0" w:line="138" w:lineRule="exact"/>
              <w:rPr>
                <w:sz w:val="20"/>
                <w:szCs w:val="20"/>
                <w:color w:val="auto"/>
              </w:rPr>
            </w:pPr>
            <w:r>
              <w:rPr>
                <w:rFonts w:ascii="Arial" w:cs="Arial" w:eastAsia="Arial" w:hAnsi="Arial"/>
                <w:sz w:val="13"/>
                <w:szCs w:val="13"/>
                <w:color w:val="auto"/>
              </w:rPr>
              <w:t>CEA Autumn Management, L.L.C.</w:t>
            </w:r>
          </w:p>
        </w:tc>
        <w:tc>
          <w:tcPr>
            <w:tcW w:w="800" w:type="dxa"/>
            <w:vAlign w:val="bottom"/>
            <w:gridSpan w:val="2"/>
          </w:tcPr>
          <w:p>
            <w:pPr>
              <w:ind w:left="220"/>
              <w:spacing w:after="0" w:line="138" w:lineRule="exact"/>
              <w:rPr>
                <w:sz w:val="20"/>
                <w:szCs w:val="20"/>
                <w:color w:val="auto"/>
              </w:rPr>
            </w:pPr>
            <w:r>
              <w:rPr>
                <w:rFonts w:ascii="Arial" w:cs="Arial" w:eastAsia="Arial" w:hAnsi="Arial"/>
                <w:sz w:val="13"/>
                <w:szCs w:val="13"/>
                <w:color w:val="auto"/>
              </w:rPr>
              <w:t>—</w:t>
            </w:r>
          </w:p>
        </w:tc>
        <w:tc>
          <w:tcPr>
            <w:tcW w:w="1580" w:type="dxa"/>
            <w:vAlign w:val="bottom"/>
            <w:gridSpan w:val="2"/>
          </w:tcPr>
          <w:p>
            <w:pPr>
              <w:jc w:val="center"/>
              <w:ind w:right="160"/>
              <w:spacing w:after="0" w:line="138" w:lineRule="exact"/>
              <w:rPr>
                <w:sz w:val="20"/>
                <w:szCs w:val="20"/>
                <w:color w:val="auto"/>
              </w:rPr>
            </w:pPr>
            <w:r>
              <w:rPr>
                <w:rFonts w:ascii="Arial" w:cs="Arial" w:eastAsia="Arial" w:hAnsi="Arial"/>
                <w:sz w:val="13"/>
                <w:szCs w:val="13"/>
                <w:color w:val="auto"/>
                <w:w w:val="92"/>
              </w:rPr>
              <w:t>Broadcasting and</w:t>
            </w: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9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1,333</w:t>
            </w:r>
          </w:p>
        </w:tc>
        <w:tc>
          <w:tcPr>
            <w:tcW w:w="120" w:type="dxa"/>
            <w:vAlign w:val="bottom"/>
          </w:tcPr>
          <w:p>
            <w:pPr>
              <w:spacing w:after="0"/>
              <w:rPr>
                <w:sz w:val="11"/>
                <w:szCs w:val="11"/>
                <w:color w:val="auto"/>
              </w:rPr>
            </w:pPr>
          </w:p>
        </w:tc>
        <w:tc>
          <w:tcPr>
            <w:tcW w:w="1100" w:type="dxa"/>
            <w:vAlign w:val="bottom"/>
            <w:gridSpan w:val="3"/>
          </w:tcPr>
          <w:p>
            <w:pPr>
              <w:jc w:val="right"/>
              <w:ind w:right="240"/>
              <w:spacing w:after="0" w:line="138" w:lineRule="exact"/>
              <w:rPr>
                <w:sz w:val="20"/>
                <w:szCs w:val="20"/>
                <w:color w:val="auto"/>
              </w:rPr>
            </w:pPr>
            <w:r>
              <w:rPr>
                <w:rFonts w:ascii="Arial" w:cs="Arial" w:eastAsia="Arial" w:hAnsi="Arial"/>
                <w:sz w:val="13"/>
                <w:szCs w:val="13"/>
                <w:color w:val="auto"/>
              </w:rPr>
              <w:t>3,000,000</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280,176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3"/>
                <w:szCs w:val="13"/>
                <w:color w:val="auto"/>
                <w:w w:val="93"/>
              </w:rPr>
              <w:t>Entertainment</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CFHC Holdings, Inc.</w:t>
            </w:r>
          </w:p>
        </w:tc>
        <w:tc>
          <w:tcPr>
            <w:tcW w:w="80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1"/>
              </w:rPr>
              <w:t>Aerospace and Defense</w:t>
            </w: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1,856</w:t>
            </w:r>
          </w:p>
        </w:tc>
        <w:tc>
          <w:tcPr>
            <w:tcW w:w="1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18,556</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1,443,556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(Consolidated Foundries, Inc.)</w:t>
            </w: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320" w:type="dxa"/>
            <w:vAlign w:val="bottom"/>
            <w:gridSpan w:val="2"/>
          </w:tcPr>
          <w:p>
            <w:pPr>
              <w:spacing w:after="0" w:line="138" w:lineRule="exact"/>
              <w:rPr>
                <w:sz w:val="20"/>
                <w:szCs w:val="20"/>
                <w:color w:val="auto"/>
              </w:rPr>
            </w:pPr>
            <w:r>
              <w:rPr>
                <w:rFonts w:ascii="Arial" w:cs="Arial" w:eastAsia="Arial" w:hAnsi="Arial"/>
                <w:sz w:val="13"/>
                <w:szCs w:val="13"/>
                <w:color w:val="auto"/>
              </w:rPr>
              <w:t>CT Technologies Holdings, LLC</w:t>
            </w:r>
          </w:p>
        </w:tc>
        <w:tc>
          <w:tcPr>
            <w:tcW w:w="800" w:type="dxa"/>
            <w:vAlign w:val="bottom"/>
            <w:gridSpan w:val="2"/>
          </w:tcPr>
          <w:p>
            <w:pPr>
              <w:ind w:left="220"/>
              <w:spacing w:after="0" w:line="138" w:lineRule="exact"/>
              <w:rPr>
                <w:sz w:val="20"/>
                <w:szCs w:val="20"/>
                <w:color w:val="auto"/>
              </w:rPr>
            </w:pPr>
            <w:r>
              <w:rPr>
                <w:rFonts w:ascii="Arial" w:cs="Arial" w:eastAsia="Arial" w:hAnsi="Arial"/>
                <w:sz w:val="13"/>
                <w:szCs w:val="13"/>
                <w:color w:val="auto"/>
              </w:rPr>
              <w:t>—</w:t>
            </w:r>
          </w:p>
        </w:tc>
        <w:tc>
          <w:tcPr>
            <w:tcW w:w="1580" w:type="dxa"/>
            <w:vAlign w:val="bottom"/>
            <w:gridSpan w:val="2"/>
          </w:tcPr>
          <w:p>
            <w:pPr>
              <w:jc w:val="center"/>
              <w:ind w:right="160"/>
              <w:spacing w:after="0" w:line="138" w:lineRule="exact"/>
              <w:rPr>
                <w:sz w:val="20"/>
                <w:szCs w:val="20"/>
                <w:color w:val="auto"/>
              </w:rPr>
            </w:pPr>
            <w:r>
              <w:rPr>
                <w:rFonts w:ascii="Arial" w:cs="Arial" w:eastAsia="Arial" w:hAnsi="Arial"/>
                <w:sz w:val="13"/>
                <w:szCs w:val="13"/>
                <w:color w:val="auto"/>
                <w:w w:val="92"/>
              </w:rPr>
              <w:t>Business Services</w:t>
            </w: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9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5,556</w:t>
            </w:r>
          </w:p>
        </w:tc>
        <w:tc>
          <w:tcPr>
            <w:tcW w:w="120" w:type="dxa"/>
            <w:vAlign w:val="bottom"/>
          </w:tcPr>
          <w:p>
            <w:pPr>
              <w:spacing w:after="0"/>
              <w:rPr>
                <w:sz w:val="11"/>
                <w:szCs w:val="11"/>
                <w:color w:val="auto"/>
              </w:rPr>
            </w:pPr>
          </w:p>
        </w:tc>
        <w:tc>
          <w:tcPr>
            <w:tcW w:w="1100" w:type="dxa"/>
            <w:vAlign w:val="bottom"/>
            <w:gridSpan w:val="3"/>
          </w:tcPr>
          <w:p>
            <w:pPr>
              <w:jc w:val="right"/>
              <w:ind w:right="240"/>
              <w:spacing w:after="0" w:line="138" w:lineRule="exact"/>
              <w:rPr>
                <w:sz w:val="20"/>
                <w:szCs w:val="20"/>
                <w:color w:val="auto"/>
              </w:rPr>
            </w:pPr>
            <w:r>
              <w:rPr>
                <w:rFonts w:ascii="Arial" w:cs="Arial" w:eastAsia="Arial" w:hAnsi="Arial"/>
                <w:sz w:val="13"/>
                <w:szCs w:val="13"/>
                <w:color w:val="auto"/>
              </w:rPr>
              <w:t>2,277,209</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8,431,871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20" w:type="dxa"/>
            <w:vAlign w:val="bottom"/>
            <w:gridSpan w:val="2"/>
          </w:tcPr>
          <w:p>
            <w:pPr>
              <w:ind w:left="220"/>
              <w:spacing w:after="0"/>
              <w:rPr>
                <w:sz w:val="20"/>
                <w:szCs w:val="20"/>
                <w:color w:val="auto"/>
              </w:rPr>
            </w:pPr>
            <w:r>
              <w:rPr>
                <w:rFonts w:ascii="Arial" w:cs="Arial" w:eastAsia="Arial" w:hAnsi="Arial"/>
                <w:sz w:val="13"/>
                <w:szCs w:val="13"/>
                <w:color w:val="auto"/>
              </w:rPr>
              <w:t>(CT Technologies Intermediate Holdings, Inc.)</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DirectBuy Investors, L.P.</w:t>
            </w: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2"/>
              </w:rPr>
              <w:t>Consumer Products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w:t>
            </w:r>
          </w:p>
        </w:tc>
        <w:tc>
          <w:tcPr>
            <w:tcW w:w="1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1,350,000</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20" w:type="dxa"/>
            <w:vAlign w:val="bottom"/>
            <w:gridSpan w:val="2"/>
          </w:tcPr>
          <w:p>
            <w:pPr>
              <w:spacing w:after="0" w:line="138" w:lineRule="exact"/>
              <w:rPr>
                <w:sz w:val="20"/>
                <w:szCs w:val="20"/>
                <w:color w:val="auto"/>
              </w:rPr>
            </w:pPr>
            <w:r>
              <w:rPr>
                <w:rFonts w:ascii="Arial" w:cs="Arial" w:eastAsia="Arial" w:hAnsi="Arial"/>
                <w:sz w:val="13"/>
                <w:szCs w:val="13"/>
                <w:color w:val="auto"/>
              </w:rPr>
              <w:t>Kadmon Corporation, LLC, Class A</w:t>
            </w:r>
          </w:p>
        </w:tc>
        <w:tc>
          <w:tcPr>
            <w:tcW w:w="800" w:type="dxa"/>
            <w:vAlign w:val="bottom"/>
            <w:gridSpan w:val="2"/>
          </w:tcPr>
          <w:p>
            <w:pPr>
              <w:ind w:left="220"/>
              <w:spacing w:after="0" w:line="138" w:lineRule="exact"/>
              <w:rPr>
                <w:sz w:val="20"/>
                <w:szCs w:val="20"/>
                <w:color w:val="auto"/>
              </w:rPr>
            </w:pPr>
            <w:r>
              <w:rPr>
                <w:rFonts w:ascii="Arial" w:cs="Arial" w:eastAsia="Arial" w:hAnsi="Arial"/>
                <w:sz w:val="13"/>
                <w:szCs w:val="13"/>
                <w:color w:val="auto"/>
              </w:rPr>
              <w:t>—</w:t>
            </w:r>
          </w:p>
        </w:tc>
        <w:tc>
          <w:tcPr>
            <w:tcW w:w="158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3"/>
              </w:rPr>
              <w:t>Healthcare, Education</w:t>
            </w: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9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1,079,920</w:t>
            </w:r>
          </w:p>
        </w:tc>
        <w:tc>
          <w:tcPr>
            <w:tcW w:w="120" w:type="dxa"/>
            <w:vAlign w:val="bottom"/>
          </w:tcPr>
          <w:p>
            <w:pPr>
              <w:spacing w:after="0"/>
              <w:rPr>
                <w:sz w:val="11"/>
                <w:szCs w:val="11"/>
                <w:color w:val="auto"/>
              </w:rPr>
            </w:pPr>
          </w:p>
        </w:tc>
        <w:tc>
          <w:tcPr>
            <w:tcW w:w="1100" w:type="dxa"/>
            <w:vAlign w:val="bottom"/>
            <w:gridSpan w:val="3"/>
          </w:tcPr>
          <w:p>
            <w:pPr>
              <w:jc w:val="right"/>
              <w:ind w:right="240"/>
              <w:spacing w:after="0" w:line="138" w:lineRule="exact"/>
              <w:rPr>
                <w:sz w:val="20"/>
                <w:szCs w:val="20"/>
                <w:color w:val="auto"/>
              </w:rPr>
            </w:pPr>
            <w:r>
              <w:rPr>
                <w:rFonts w:ascii="Arial" w:cs="Arial" w:eastAsia="Arial" w:hAnsi="Arial"/>
                <w:sz w:val="13"/>
                <w:szCs w:val="13"/>
                <w:color w:val="auto"/>
              </w:rPr>
              <w:t>1,236,832</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295,205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20" w:type="dxa"/>
            <w:vAlign w:val="bottom"/>
            <w:gridSpan w:val="2"/>
          </w:tcPr>
          <w:p>
            <w:pPr>
              <w:ind w:left="220"/>
              <w:spacing w:after="0"/>
              <w:rPr>
                <w:sz w:val="20"/>
                <w:szCs w:val="20"/>
                <w:color w:val="auto"/>
              </w:rPr>
            </w:pPr>
            <w:r>
              <w:rPr>
                <w:rFonts w:ascii="Arial" w:cs="Arial" w:eastAsia="Arial" w:hAnsi="Arial"/>
                <w:sz w:val="13"/>
                <w:szCs w:val="13"/>
                <w:color w:val="auto"/>
              </w:rPr>
              <w:t>(f/k/a Kadmon Holdings, LLC)</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3"/>
                <w:szCs w:val="13"/>
                <w:color w:val="auto"/>
                <w:w w:val="94"/>
              </w:rPr>
              <w:t>and Childcare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gridSpan w:val="2"/>
          </w:tcPr>
          <w:p>
            <w:pPr>
              <w:ind w:left="220"/>
              <w:spacing w:after="0"/>
              <w:rPr>
                <w:sz w:val="20"/>
                <w:szCs w:val="20"/>
                <w:color w:val="auto"/>
              </w:rPr>
            </w:pPr>
            <w:r>
              <w:rPr>
                <w:rFonts w:ascii="Arial" w:cs="Arial" w:eastAsia="Arial" w:hAnsi="Arial"/>
                <w:sz w:val="13"/>
                <w:szCs w:val="13"/>
                <w:color w:val="auto"/>
              </w:rPr>
              <w:t>(Kadmon Pharmaceuticals, LLC)</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Kadmon Corporation, LLC, Class D</w:t>
            </w:r>
          </w:p>
        </w:tc>
        <w:tc>
          <w:tcPr>
            <w:tcW w:w="80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3"/>
              </w:rPr>
              <w:t>Healthcare, Education</w:t>
            </w: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1,079,920</w:t>
            </w:r>
          </w:p>
        </w:tc>
        <w:tc>
          <w:tcPr>
            <w:tcW w:w="1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1,028,807</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1,028,807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(f/k/a Kadmon Holdings, LLC)</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4"/>
              </w:rPr>
              <w:t>and Childcare</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(Kadmon Pharmaceuticals, LLC)</w:t>
            </w: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320" w:type="dxa"/>
            <w:vAlign w:val="bottom"/>
            <w:gridSpan w:val="2"/>
          </w:tcPr>
          <w:p>
            <w:pPr>
              <w:spacing w:after="0" w:line="138" w:lineRule="exact"/>
              <w:rPr>
                <w:sz w:val="20"/>
                <w:szCs w:val="20"/>
                <w:color w:val="auto"/>
              </w:rPr>
            </w:pPr>
            <w:r>
              <w:rPr>
                <w:rFonts w:ascii="Arial" w:cs="Arial" w:eastAsia="Arial" w:hAnsi="Arial"/>
                <w:sz w:val="13"/>
                <w:szCs w:val="13"/>
                <w:color w:val="auto"/>
              </w:rPr>
              <w:t>Learning Care Group (US) Inc.</w:t>
            </w:r>
          </w:p>
        </w:tc>
        <w:tc>
          <w:tcPr>
            <w:tcW w:w="620" w:type="dxa"/>
            <w:vAlign w:val="bottom"/>
          </w:tcPr>
          <w:p>
            <w:pPr>
              <w:ind w:left="20"/>
              <w:spacing w:after="0" w:line="138" w:lineRule="exact"/>
              <w:rPr>
                <w:sz w:val="20"/>
                <w:szCs w:val="20"/>
                <w:color w:val="auto"/>
              </w:rPr>
            </w:pPr>
            <w:r>
              <w:rPr>
                <w:rFonts w:ascii="Arial" w:cs="Arial" w:eastAsia="Arial" w:hAnsi="Arial"/>
                <w:sz w:val="13"/>
                <w:szCs w:val="13"/>
                <w:color w:val="auto"/>
                <w:w w:val="89"/>
              </w:rPr>
              <w:t>04/27/2020</w:t>
            </w:r>
          </w:p>
        </w:tc>
        <w:tc>
          <w:tcPr>
            <w:tcW w:w="180" w:type="dxa"/>
            <w:vAlign w:val="bottom"/>
          </w:tcPr>
          <w:p>
            <w:pPr>
              <w:spacing w:after="0"/>
              <w:rPr>
                <w:sz w:val="11"/>
                <w:szCs w:val="11"/>
                <w:color w:val="auto"/>
              </w:rPr>
            </w:pPr>
          </w:p>
        </w:tc>
        <w:tc>
          <w:tcPr>
            <w:tcW w:w="1580" w:type="dxa"/>
            <w:vAlign w:val="bottom"/>
            <w:gridSpan w:val="2"/>
          </w:tcPr>
          <w:p>
            <w:pPr>
              <w:jc w:val="center"/>
              <w:ind w:right="160"/>
              <w:spacing w:after="0" w:line="138" w:lineRule="exact"/>
              <w:rPr>
                <w:sz w:val="20"/>
                <w:szCs w:val="20"/>
                <w:color w:val="auto"/>
              </w:rPr>
            </w:pPr>
            <w:r>
              <w:rPr>
                <w:rFonts w:ascii="Arial" w:cs="Arial" w:eastAsia="Arial" w:hAnsi="Arial"/>
                <w:sz w:val="13"/>
                <w:szCs w:val="13"/>
                <w:color w:val="auto"/>
                <w:w w:val="93"/>
              </w:rPr>
              <w:t>Education</w:t>
            </w: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9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1,267</w:t>
            </w:r>
          </w:p>
        </w:tc>
        <w:tc>
          <w:tcPr>
            <w:tcW w:w="120" w:type="dxa"/>
            <w:vAlign w:val="bottom"/>
          </w:tcPr>
          <w:p>
            <w:pPr>
              <w:spacing w:after="0"/>
              <w:rPr>
                <w:sz w:val="11"/>
                <w:szCs w:val="11"/>
                <w:color w:val="auto"/>
              </w:rPr>
            </w:pPr>
          </w:p>
        </w:tc>
        <w:tc>
          <w:tcPr>
            <w:tcW w:w="1100" w:type="dxa"/>
            <w:vAlign w:val="bottom"/>
            <w:gridSpan w:val="3"/>
          </w:tcPr>
          <w:p>
            <w:pPr>
              <w:jc w:val="right"/>
              <w:ind w:right="240"/>
              <w:spacing w:after="0" w:line="138" w:lineRule="exact"/>
              <w:rPr>
                <w:sz w:val="20"/>
                <w:szCs w:val="20"/>
                <w:color w:val="auto"/>
              </w:rPr>
            </w:pPr>
            <w:r>
              <w:rPr>
                <w:rFonts w:ascii="Arial" w:cs="Arial" w:eastAsia="Arial" w:hAnsi="Arial"/>
                <w:sz w:val="13"/>
                <w:szCs w:val="13"/>
                <w:color w:val="auto"/>
              </w:rPr>
              <w:t>779,920</w:t>
            </w:r>
          </w:p>
        </w:tc>
        <w:tc>
          <w:tcPr>
            <w:tcW w:w="82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112,064</w:t>
            </w:r>
          </w:p>
        </w:tc>
        <w:tc>
          <w:tcPr>
            <w:tcW w:w="0" w:type="dxa"/>
            <w:vAlign w:val="bottom"/>
          </w:tcPr>
          <w:p>
            <w:pPr>
              <w:spacing w:after="0"/>
              <w:rPr>
                <w:sz w:val="1"/>
                <w:szCs w:val="1"/>
                <w:color w:val="auto"/>
              </w:rPr>
            </w:pPr>
          </w:p>
        </w:tc>
      </w:tr>
      <w:tr>
        <w:trPr>
          <w:trHeight w:val="173"/>
        </w:trPr>
        <w:tc>
          <w:tcPr>
            <w:tcW w:w="4320" w:type="dxa"/>
            <w:vAlign w:val="bottom"/>
            <w:gridSpan w:val="2"/>
          </w:tcPr>
          <w:p>
            <w:pPr>
              <w:ind w:left="220"/>
              <w:spacing w:after="0"/>
              <w:rPr>
                <w:sz w:val="20"/>
                <w:szCs w:val="20"/>
                <w:color w:val="auto"/>
              </w:rPr>
            </w:pPr>
            <w:r>
              <w:rPr>
                <w:rFonts w:ascii="Arial" w:cs="Arial" w:eastAsia="Arial" w:hAnsi="Arial"/>
                <w:sz w:val="13"/>
                <w:szCs w:val="13"/>
                <w:color w:val="auto"/>
              </w:rPr>
              <w:t>(Warrants)</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Magnum Hunter Resources Corporation</w:t>
            </w: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3"/>
              </w:rPr>
              <w:t>Oil and Gas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1,221,932</w:t>
            </w:r>
          </w:p>
        </w:tc>
        <w:tc>
          <w:tcPr>
            <w:tcW w:w="1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3,239,999</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4,044,595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20" w:type="dxa"/>
            <w:vAlign w:val="bottom"/>
            <w:gridSpan w:val="2"/>
          </w:tcPr>
          <w:p>
            <w:pPr>
              <w:spacing w:after="0" w:line="138" w:lineRule="exact"/>
              <w:rPr>
                <w:sz w:val="20"/>
                <w:szCs w:val="20"/>
                <w:color w:val="auto"/>
              </w:rPr>
            </w:pPr>
            <w:r>
              <w:rPr>
                <w:rFonts w:ascii="Arial" w:cs="Arial" w:eastAsia="Arial" w:hAnsi="Arial"/>
                <w:sz w:val="13"/>
                <w:szCs w:val="13"/>
                <w:color w:val="auto"/>
              </w:rPr>
              <w:t>Magnum Hunter Resources Corporation</w:t>
            </w:r>
          </w:p>
        </w:tc>
        <w:tc>
          <w:tcPr>
            <w:tcW w:w="620" w:type="dxa"/>
            <w:vAlign w:val="bottom"/>
          </w:tcPr>
          <w:p>
            <w:pPr>
              <w:ind w:left="20"/>
              <w:spacing w:after="0" w:line="138" w:lineRule="exact"/>
              <w:rPr>
                <w:sz w:val="20"/>
                <w:szCs w:val="20"/>
                <w:color w:val="auto"/>
              </w:rPr>
            </w:pPr>
            <w:r>
              <w:rPr>
                <w:rFonts w:ascii="Arial" w:cs="Arial" w:eastAsia="Arial" w:hAnsi="Arial"/>
                <w:sz w:val="13"/>
                <w:szCs w:val="13"/>
                <w:color w:val="auto"/>
                <w:w w:val="89"/>
              </w:rPr>
              <w:t>10/14/2013</w:t>
            </w:r>
          </w:p>
        </w:tc>
        <w:tc>
          <w:tcPr>
            <w:tcW w:w="180" w:type="dxa"/>
            <w:vAlign w:val="bottom"/>
          </w:tcPr>
          <w:p>
            <w:pPr>
              <w:spacing w:after="0"/>
              <w:rPr>
                <w:sz w:val="11"/>
                <w:szCs w:val="11"/>
                <w:color w:val="auto"/>
              </w:rPr>
            </w:pPr>
          </w:p>
        </w:tc>
        <w:tc>
          <w:tcPr>
            <w:tcW w:w="1580" w:type="dxa"/>
            <w:vAlign w:val="bottom"/>
            <w:gridSpan w:val="2"/>
          </w:tcPr>
          <w:p>
            <w:pPr>
              <w:jc w:val="center"/>
              <w:ind w:right="180"/>
              <w:spacing w:after="0" w:line="138" w:lineRule="exact"/>
              <w:rPr>
                <w:sz w:val="20"/>
                <w:szCs w:val="20"/>
                <w:color w:val="auto"/>
              </w:rPr>
            </w:pPr>
            <w:r>
              <w:rPr>
                <w:rFonts w:ascii="Arial" w:cs="Arial" w:eastAsia="Arial" w:hAnsi="Arial"/>
                <w:sz w:val="13"/>
                <w:szCs w:val="13"/>
                <w:color w:val="auto"/>
                <w:w w:val="93"/>
              </w:rPr>
              <w:t>Oil and Gas</w:t>
            </w:r>
          </w:p>
        </w:tc>
        <w:tc>
          <w:tcPr>
            <w:tcW w:w="600" w:type="dxa"/>
            <w:vAlign w:val="bottom"/>
            <w:gridSpan w:val="2"/>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900" w:type="dxa"/>
            <w:vAlign w:val="bottom"/>
            <w:gridSpan w:val="2"/>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8" w:lineRule="exact"/>
              <w:rPr>
                <w:sz w:val="20"/>
                <w:szCs w:val="20"/>
                <w:color w:val="auto"/>
              </w:rPr>
            </w:pPr>
            <w:r>
              <w:rPr>
                <w:rFonts w:ascii="Arial" w:cs="Arial" w:eastAsia="Arial" w:hAnsi="Arial"/>
                <w:sz w:val="13"/>
                <w:szCs w:val="13"/>
                <w:color w:val="auto"/>
              </w:rPr>
              <w:t>122,193</w:t>
            </w:r>
          </w:p>
        </w:tc>
        <w:tc>
          <w:tcPr>
            <w:tcW w:w="120" w:type="dxa"/>
            <w:vAlign w:val="bottom"/>
          </w:tcPr>
          <w:p>
            <w:pPr>
              <w:spacing w:after="0"/>
              <w:rPr>
                <w:sz w:val="11"/>
                <w:szCs w:val="11"/>
                <w:color w:val="auto"/>
              </w:rPr>
            </w:pPr>
          </w:p>
        </w:tc>
        <w:tc>
          <w:tcPr>
            <w:tcW w:w="1100" w:type="dxa"/>
            <w:vAlign w:val="bottom"/>
            <w:gridSpan w:val="3"/>
          </w:tcPr>
          <w:p>
            <w:pPr>
              <w:jc w:val="right"/>
              <w:ind w:right="240"/>
              <w:spacing w:after="0" w:line="138" w:lineRule="exact"/>
              <w:rPr>
                <w:sz w:val="20"/>
                <w:szCs w:val="20"/>
                <w:color w:val="auto"/>
              </w:rPr>
            </w:pPr>
            <w:r>
              <w:rPr>
                <w:rFonts w:ascii="Arial" w:cs="Arial" w:eastAsia="Arial" w:hAnsi="Arial"/>
                <w:sz w:val="13"/>
                <w:szCs w:val="13"/>
                <w:color w:val="auto"/>
              </w:rPr>
              <w:t>105,697</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61,091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20" w:type="dxa"/>
            <w:vAlign w:val="bottom"/>
            <w:gridSpan w:val="2"/>
          </w:tcPr>
          <w:p>
            <w:pPr>
              <w:ind w:left="220"/>
              <w:spacing w:after="0"/>
              <w:rPr>
                <w:sz w:val="20"/>
                <w:szCs w:val="20"/>
                <w:color w:val="auto"/>
              </w:rPr>
            </w:pPr>
            <w:r>
              <w:rPr>
                <w:rFonts w:ascii="Arial" w:cs="Arial" w:eastAsia="Arial" w:hAnsi="Arial"/>
                <w:sz w:val="13"/>
                <w:szCs w:val="13"/>
                <w:color w:val="auto"/>
              </w:rPr>
              <w:t>(Warrants)</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MidOcean PPL Holdings, Inc.</w:t>
            </w:r>
          </w:p>
        </w:tc>
        <w:tc>
          <w:tcPr>
            <w:tcW w:w="80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158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91"/>
              </w:rPr>
              <w:t>Personal, Food and</w:t>
            </w:r>
          </w:p>
        </w:tc>
        <w:tc>
          <w:tcPr>
            <w:tcW w:w="6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3,000</w:t>
            </w:r>
          </w:p>
        </w:tc>
        <w:tc>
          <w:tcPr>
            <w:tcW w:w="12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3,000,000</w:t>
            </w:r>
          </w:p>
        </w:tc>
        <w:tc>
          <w:tcPr>
            <w:tcW w:w="7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3,320,146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(Pre-Paid LegalServices, Inc.)</w:t>
            </w: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2"/>
              </w:rPr>
              <w:t>Miscellaneous Services</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ectPr>
          <w:pgSz w:w="11900" w:h="16838" w:orient="portrait"/>
          <w:cols w:equalWidth="0" w:num="1">
            <w:col w:w="11240"/>
          </w:cols>
          <w:pgMar w:left="32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INVESTMENT CORPORATION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INVESTMENTS—(CONTINUED)</w:t>
      </w:r>
    </w:p>
    <w:p>
      <w:pPr>
        <w:jc w:val="center"/>
        <w:spacing w:after="0"/>
        <w:rPr>
          <w:sz w:val="20"/>
          <w:szCs w:val="20"/>
          <w:color w:val="auto"/>
        </w:rPr>
      </w:pPr>
      <w:r>
        <w:rPr>
          <w:rFonts w:ascii="Arial" w:cs="Arial" w:eastAsia="Arial" w:hAnsi="Arial"/>
          <w:sz w:val="13"/>
          <w:szCs w:val="13"/>
          <w:b w:val="1"/>
          <w:bCs w:val="1"/>
          <w:color w:val="auto"/>
        </w:rPr>
        <w:t>SEPTEMBER 30, 2011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5"/>
              </w:rPr>
              <w:t>Spread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Current</w:t>
            </w:r>
          </w:p>
        </w:tc>
        <w:tc>
          <w:tcPr>
            <w:tcW w:w="6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5"/>
              </w:rPr>
              <w:t>Above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right"/>
              <w:ind w:right="240"/>
              <w:spacing w:after="0" w:line="134" w:lineRule="exact"/>
              <w:rPr>
                <w:sz w:val="20"/>
                <w:szCs w:val="20"/>
                <w:color w:val="auto"/>
              </w:rPr>
            </w:pPr>
            <w:r>
              <w:rPr>
                <w:rFonts w:ascii="Arial" w:cs="Arial" w:eastAsia="Arial" w:hAnsi="Arial"/>
                <w:sz w:val="13"/>
                <w:szCs w:val="13"/>
                <w:b w:val="1"/>
                <w:bCs w:val="1"/>
                <w:color w:val="auto"/>
              </w:rPr>
              <w:t>Par/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82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13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Industry</w:t>
            </w:r>
          </w:p>
        </w:tc>
        <w:tc>
          <w:tcPr>
            <w:tcW w:w="840" w:type="dxa"/>
            <w:vAlign w:val="bottom"/>
            <w:gridSpan w:val="2"/>
          </w:tcPr>
          <w:p>
            <w:pPr>
              <w:ind w:left="20"/>
              <w:spacing w:after="0"/>
              <w:rPr>
                <w:sz w:val="20"/>
                <w:szCs w:val="20"/>
                <w:color w:val="auto"/>
              </w:rPr>
            </w:pPr>
            <w:r>
              <w:rPr>
                <w:rFonts w:ascii="Arial" w:cs="Arial" w:eastAsia="Arial" w:hAnsi="Arial"/>
                <w:sz w:val="13"/>
                <w:szCs w:val="13"/>
                <w:b w:val="1"/>
                <w:bCs w:val="1"/>
                <w:color w:val="auto"/>
              </w:rPr>
              <w:t>Coupon</w:t>
            </w:r>
          </w:p>
        </w:tc>
        <w:tc>
          <w:tcPr>
            <w:tcW w:w="64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ind w:left="180"/>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Fair Value (3)</w:t>
            </w:r>
          </w:p>
        </w:tc>
        <w:tc>
          <w:tcPr>
            <w:tcW w:w="0" w:type="dxa"/>
            <w:vAlign w:val="bottom"/>
          </w:tcPr>
          <w:p>
            <w:pPr>
              <w:spacing w:after="0"/>
              <w:rPr>
                <w:sz w:val="1"/>
                <w:szCs w:val="1"/>
                <w:color w:val="auto"/>
              </w:rPr>
            </w:pPr>
          </w:p>
        </w:tc>
      </w:tr>
      <w:tr>
        <w:trPr>
          <w:trHeight w:val="131"/>
        </w:trPr>
        <w:tc>
          <w:tcPr>
            <w:tcW w:w="474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PAS Tech Holdings, Inc.</w:t>
            </w: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220"/>
              <w:spacing w:after="0" w:line="131"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1"/>
              </w:rPr>
              <w:t>Aerospace and Defense</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ind w:left="280"/>
              <w:spacing w:after="0" w:line="131"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ind w:left="440"/>
              <w:spacing w:after="0" w:line="13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20,000</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20,000</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101,931</w:t>
            </w: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(PAS Technologies, Inc.)</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820" w:type="dxa"/>
            <w:vAlign w:val="bottom"/>
            <w:gridSpan w:val="2"/>
          </w:tcPr>
          <w:p>
            <w:pPr>
              <w:spacing w:after="0" w:line="138" w:lineRule="exact"/>
              <w:rPr>
                <w:sz w:val="20"/>
                <w:szCs w:val="20"/>
                <w:color w:val="auto"/>
              </w:rPr>
            </w:pPr>
            <w:r>
              <w:rPr>
                <w:rFonts w:ascii="Arial" w:cs="Arial" w:eastAsia="Arial" w:hAnsi="Arial"/>
                <w:sz w:val="13"/>
                <w:szCs w:val="13"/>
                <w:color w:val="auto"/>
              </w:rPr>
              <w:t>QMG HoldCo, LLC, Class A</w:t>
            </w:r>
          </w:p>
        </w:tc>
        <w:tc>
          <w:tcPr>
            <w:tcW w:w="700" w:type="dxa"/>
            <w:vAlign w:val="bottom"/>
            <w:gridSpan w:val="2"/>
          </w:tcPr>
          <w:p>
            <w:pPr>
              <w:ind w:left="220"/>
              <w:spacing w:after="0" w:line="138"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center"/>
              <w:ind w:right="60"/>
              <w:spacing w:after="0" w:line="138" w:lineRule="exact"/>
              <w:rPr>
                <w:sz w:val="20"/>
                <w:szCs w:val="20"/>
                <w:color w:val="auto"/>
              </w:rPr>
            </w:pPr>
            <w:r>
              <w:rPr>
                <w:rFonts w:ascii="Arial" w:cs="Arial" w:eastAsia="Arial" w:hAnsi="Arial"/>
                <w:sz w:val="13"/>
                <w:szCs w:val="13"/>
                <w:color w:val="auto"/>
                <w:w w:val="95"/>
              </w:rPr>
              <w:t>Other Media</w:t>
            </w:r>
          </w:p>
        </w:tc>
        <w:tc>
          <w:tcPr>
            <w:tcW w:w="8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ind w:left="440"/>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4,325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1,306,167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1,352,585</w:t>
            </w:r>
          </w:p>
        </w:tc>
        <w:tc>
          <w:tcPr>
            <w:tcW w:w="0" w:type="dxa"/>
            <w:vAlign w:val="bottom"/>
          </w:tcPr>
          <w:p>
            <w:pPr>
              <w:spacing w:after="0"/>
              <w:rPr>
                <w:sz w:val="1"/>
                <w:szCs w:val="1"/>
                <w:color w:val="auto"/>
              </w:rPr>
            </w:pPr>
          </w:p>
        </w:tc>
      </w:tr>
      <w:tr>
        <w:trPr>
          <w:trHeight w:val="173"/>
        </w:trPr>
        <w:tc>
          <w:tcPr>
            <w:tcW w:w="4820" w:type="dxa"/>
            <w:vAlign w:val="bottom"/>
            <w:gridSpan w:val="2"/>
          </w:tcPr>
          <w:p>
            <w:pPr>
              <w:ind w:left="220"/>
              <w:spacing w:after="0"/>
              <w:rPr>
                <w:sz w:val="20"/>
                <w:szCs w:val="20"/>
                <w:color w:val="auto"/>
              </w:rPr>
            </w:pPr>
            <w:r>
              <w:rPr>
                <w:rFonts w:ascii="Arial" w:cs="Arial" w:eastAsia="Arial" w:hAnsi="Arial"/>
                <w:sz w:val="13"/>
                <w:szCs w:val="13"/>
                <w:color w:val="auto"/>
              </w:rPr>
              <w:t>(Questex Media Group, Inc.)</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8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QMG HoldCo, LLC, Class B</w:t>
            </w:r>
          </w:p>
        </w:tc>
        <w:tc>
          <w:tcPr>
            <w:tcW w:w="70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center"/>
              <w:ind w:right="60"/>
              <w:spacing w:after="0" w:line="138" w:lineRule="exact"/>
              <w:rPr>
                <w:sz w:val="20"/>
                <w:szCs w:val="20"/>
                <w:color w:val="auto"/>
              </w:rPr>
            </w:pPr>
            <w:r>
              <w:rPr>
                <w:rFonts w:ascii="Arial" w:cs="Arial" w:eastAsia="Arial" w:hAnsi="Arial"/>
                <w:sz w:val="13"/>
                <w:szCs w:val="13"/>
                <w:color w:val="auto"/>
                <w:w w:val="95"/>
              </w:rPr>
              <w:t>Other Media</w:t>
            </w:r>
          </w:p>
        </w:tc>
        <w:tc>
          <w:tcPr>
            <w:tcW w:w="8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531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480"/>
              <w:spacing w:after="0" w:line="138"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166,063</w:t>
            </w:r>
          </w:p>
        </w:tc>
        <w:tc>
          <w:tcPr>
            <w:tcW w:w="0" w:type="dxa"/>
            <w:vAlign w:val="bottom"/>
          </w:tcPr>
          <w:p>
            <w:pPr>
              <w:spacing w:after="0"/>
              <w:rPr>
                <w:sz w:val="1"/>
                <w:szCs w:val="1"/>
                <w:color w:val="auto"/>
              </w:rPr>
            </w:pPr>
          </w:p>
        </w:tc>
      </w:tr>
      <w:tr>
        <w:trPr>
          <w:trHeight w:val="173"/>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(Questex Media Group, Inc.)</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820" w:type="dxa"/>
            <w:vAlign w:val="bottom"/>
            <w:gridSpan w:val="2"/>
          </w:tcPr>
          <w:p>
            <w:pPr>
              <w:spacing w:after="0" w:line="138" w:lineRule="exact"/>
              <w:rPr>
                <w:sz w:val="20"/>
                <w:szCs w:val="20"/>
                <w:color w:val="auto"/>
              </w:rPr>
            </w:pPr>
            <w:r>
              <w:rPr>
                <w:rFonts w:ascii="Arial" w:cs="Arial" w:eastAsia="Arial" w:hAnsi="Arial"/>
                <w:sz w:val="13"/>
                <w:szCs w:val="13"/>
                <w:color w:val="auto"/>
              </w:rPr>
              <w:t>TRAK Acquisition Corp.</w:t>
            </w:r>
          </w:p>
        </w:tc>
        <w:tc>
          <w:tcPr>
            <w:tcW w:w="620" w:type="dxa"/>
            <w:vAlign w:val="bottom"/>
          </w:tcPr>
          <w:p>
            <w:pPr>
              <w:ind w:left="20"/>
              <w:spacing w:after="0" w:line="138" w:lineRule="exact"/>
              <w:rPr>
                <w:sz w:val="20"/>
                <w:szCs w:val="20"/>
                <w:color w:val="auto"/>
              </w:rPr>
            </w:pPr>
            <w:r>
              <w:rPr>
                <w:rFonts w:ascii="Arial" w:cs="Arial" w:eastAsia="Arial" w:hAnsi="Arial"/>
                <w:sz w:val="13"/>
                <w:szCs w:val="13"/>
                <w:color w:val="auto"/>
                <w:w w:val="89"/>
              </w:rPr>
              <w:t>12/29/2019</w:t>
            </w:r>
          </w:p>
        </w:tc>
        <w:tc>
          <w:tcPr>
            <w:tcW w:w="80" w:type="dxa"/>
            <w:vAlign w:val="bottom"/>
          </w:tcPr>
          <w:p>
            <w:pPr>
              <w:spacing w:after="0"/>
              <w:rPr>
                <w:sz w:val="11"/>
                <w:szCs w:val="11"/>
                <w:color w:val="auto"/>
              </w:rPr>
            </w:pPr>
          </w:p>
        </w:tc>
        <w:tc>
          <w:tcPr>
            <w:tcW w:w="1380" w:type="dxa"/>
            <w:vAlign w:val="bottom"/>
            <w:gridSpan w:val="2"/>
          </w:tcPr>
          <w:p>
            <w:pPr>
              <w:jc w:val="center"/>
              <w:ind w:right="60"/>
              <w:spacing w:after="0" w:line="138" w:lineRule="exact"/>
              <w:rPr>
                <w:sz w:val="20"/>
                <w:szCs w:val="20"/>
                <w:color w:val="auto"/>
              </w:rPr>
            </w:pPr>
            <w:r>
              <w:rPr>
                <w:rFonts w:ascii="Arial" w:cs="Arial" w:eastAsia="Arial" w:hAnsi="Arial"/>
                <w:sz w:val="13"/>
                <w:szCs w:val="13"/>
                <w:color w:val="auto"/>
                <w:w w:val="90"/>
              </w:rPr>
              <w:t>Business Services</w:t>
            </w:r>
          </w:p>
        </w:tc>
        <w:tc>
          <w:tcPr>
            <w:tcW w:w="8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ind w:left="440"/>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3,500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29,400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577,061</w:t>
            </w:r>
          </w:p>
        </w:tc>
        <w:tc>
          <w:tcPr>
            <w:tcW w:w="0" w:type="dxa"/>
            <w:vAlign w:val="bottom"/>
          </w:tcPr>
          <w:p>
            <w:pPr>
              <w:spacing w:after="0"/>
              <w:rPr>
                <w:sz w:val="1"/>
                <w:szCs w:val="1"/>
                <w:color w:val="auto"/>
              </w:rPr>
            </w:pPr>
          </w:p>
        </w:tc>
      </w:tr>
      <w:tr>
        <w:trPr>
          <w:trHeight w:val="173"/>
        </w:trPr>
        <w:tc>
          <w:tcPr>
            <w:tcW w:w="4820" w:type="dxa"/>
            <w:vAlign w:val="bottom"/>
            <w:gridSpan w:val="2"/>
          </w:tcPr>
          <w:p>
            <w:pPr>
              <w:ind w:left="220"/>
              <w:spacing w:after="0"/>
              <w:rPr>
                <w:sz w:val="20"/>
                <w:szCs w:val="20"/>
                <w:color w:val="auto"/>
              </w:rPr>
            </w:pPr>
            <w:r>
              <w:rPr>
                <w:rFonts w:ascii="Arial" w:cs="Arial" w:eastAsia="Arial" w:hAnsi="Arial"/>
                <w:sz w:val="13"/>
                <w:szCs w:val="13"/>
                <w:color w:val="auto"/>
              </w:rPr>
              <w:t>(Warrants)</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8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Transportation 100 Holdco, L.L.C.</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(Greatwide Logistics Services, L.L.C.)</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2"/>
              </w:rPr>
              <w:t>Cargo Transport</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137,923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2,111,588</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1,521,406</w:t>
            </w:r>
          </w:p>
        </w:tc>
        <w:tc>
          <w:tcPr>
            <w:tcW w:w="0" w:type="dxa"/>
            <w:vAlign w:val="bottom"/>
          </w:tcPr>
          <w:p>
            <w:pPr>
              <w:spacing w:after="0"/>
              <w:rPr>
                <w:sz w:val="1"/>
                <w:szCs w:val="1"/>
                <w:color w:val="auto"/>
              </w:rPr>
            </w:pPr>
          </w:p>
        </w:tc>
      </w:tr>
      <w:tr>
        <w:trPr>
          <w:trHeight w:val="138"/>
        </w:trPr>
        <w:tc>
          <w:tcPr>
            <w:tcW w:w="4820" w:type="dxa"/>
            <w:vAlign w:val="bottom"/>
            <w:gridSpan w:val="2"/>
          </w:tcPr>
          <w:p>
            <w:pPr>
              <w:spacing w:after="0" w:line="138" w:lineRule="exact"/>
              <w:rPr>
                <w:sz w:val="20"/>
                <w:szCs w:val="20"/>
                <w:color w:val="auto"/>
              </w:rPr>
            </w:pPr>
            <w:r>
              <w:rPr>
                <w:rFonts w:ascii="Arial" w:cs="Arial" w:eastAsia="Arial" w:hAnsi="Arial"/>
                <w:sz w:val="13"/>
                <w:szCs w:val="13"/>
                <w:color w:val="auto"/>
              </w:rPr>
              <w:t>TZ Holdings, L.P.</w:t>
            </w:r>
          </w:p>
        </w:tc>
        <w:tc>
          <w:tcPr>
            <w:tcW w:w="700" w:type="dxa"/>
            <w:vAlign w:val="bottom"/>
            <w:gridSpan w:val="2"/>
          </w:tcPr>
          <w:p>
            <w:pPr>
              <w:ind w:left="220"/>
              <w:spacing w:after="0" w:line="138"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center"/>
              <w:ind w:right="60"/>
              <w:spacing w:after="0" w:line="138" w:lineRule="exact"/>
              <w:rPr>
                <w:sz w:val="20"/>
                <w:szCs w:val="20"/>
                <w:color w:val="auto"/>
              </w:rPr>
            </w:pPr>
            <w:r>
              <w:rPr>
                <w:rFonts w:ascii="Arial" w:cs="Arial" w:eastAsia="Arial" w:hAnsi="Arial"/>
                <w:sz w:val="13"/>
                <w:szCs w:val="13"/>
                <w:color w:val="auto"/>
                <w:w w:val="91"/>
              </w:rPr>
              <w:t>Insurance</w:t>
            </w:r>
          </w:p>
        </w:tc>
        <w:tc>
          <w:tcPr>
            <w:tcW w:w="8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ind w:left="440"/>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9,843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8" w:lineRule="exact"/>
              <w:rPr>
                <w:sz w:val="20"/>
                <w:szCs w:val="20"/>
                <w:color w:val="auto"/>
              </w:rPr>
            </w:pPr>
            <w:r>
              <w:rPr>
                <w:rFonts w:ascii="Arial" w:cs="Arial" w:eastAsia="Arial" w:hAnsi="Arial"/>
                <w:sz w:val="13"/>
                <w:szCs w:val="13"/>
                <w:color w:val="auto"/>
              </w:rPr>
              <w:t>1,591,505</w:t>
            </w:r>
          </w:p>
        </w:tc>
        <w:tc>
          <w:tcPr>
            <w:tcW w:w="0" w:type="dxa"/>
            <w:vAlign w:val="bottom"/>
          </w:tcPr>
          <w:p>
            <w:pPr>
              <w:spacing w:after="0"/>
              <w:rPr>
                <w:sz w:val="1"/>
                <w:szCs w:val="1"/>
                <w:color w:val="auto"/>
              </w:rPr>
            </w:pPr>
          </w:p>
        </w:tc>
      </w:tr>
      <w:tr>
        <w:trPr>
          <w:trHeight w:val="173"/>
        </w:trPr>
        <w:tc>
          <w:tcPr>
            <w:tcW w:w="4820" w:type="dxa"/>
            <w:vAlign w:val="bottom"/>
            <w:gridSpan w:val="2"/>
          </w:tcPr>
          <w:p>
            <w:pPr>
              <w:ind w:left="220"/>
              <w:spacing w:after="0"/>
              <w:rPr>
                <w:sz w:val="20"/>
                <w:szCs w:val="20"/>
                <w:color w:val="auto"/>
              </w:rPr>
            </w:pPr>
            <w:r>
              <w:rPr>
                <w:rFonts w:ascii="Arial" w:cs="Arial" w:eastAsia="Arial" w:hAnsi="Arial"/>
                <w:sz w:val="13"/>
                <w:szCs w:val="13"/>
                <w:color w:val="auto"/>
              </w:rPr>
              <w:t>(Trizetto Group, Inc.)</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8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Universal Pegasus International, Inc.</w:t>
            </w:r>
          </w:p>
        </w:tc>
        <w:tc>
          <w:tcPr>
            <w:tcW w:w="70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center"/>
              <w:ind w:right="60"/>
              <w:spacing w:after="0" w:line="138" w:lineRule="exact"/>
              <w:rPr>
                <w:sz w:val="20"/>
                <w:szCs w:val="20"/>
                <w:color w:val="auto"/>
              </w:rPr>
            </w:pPr>
            <w:r>
              <w:rPr>
                <w:rFonts w:ascii="Arial" w:cs="Arial" w:eastAsia="Arial" w:hAnsi="Arial"/>
                <w:sz w:val="13"/>
                <w:szCs w:val="13"/>
                <w:color w:val="auto"/>
                <w:w w:val="93"/>
              </w:rPr>
              <w:t>Oil and Gas</w:t>
            </w:r>
          </w:p>
        </w:tc>
        <w:tc>
          <w:tcPr>
            <w:tcW w:w="8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110,742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1,107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(UP Support Services, Inc.)</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820" w:type="dxa"/>
            <w:vAlign w:val="bottom"/>
            <w:gridSpan w:val="2"/>
          </w:tcPr>
          <w:p>
            <w:pPr>
              <w:spacing w:after="0" w:line="138" w:lineRule="exact"/>
              <w:rPr>
                <w:sz w:val="20"/>
                <w:szCs w:val="20"/>
                <w:color w:val="auto"/>
              </w:rPr>
            </w:pPr>
            <w:r>
              <w:rPr>
                <w:rFonts w:ascii="Arial" w:cs="Arial" w:eastAsia="Arial" w:hAnsi="Arial"/>
                <w:sz w:val="13"/>
                <w:szCs w:val="13"/>
                <w:color w:val="auto"/>
              </w:rPr>
              <w:t>Verde Parent Holdings, Inc.</w:t>
            </w:r>
          </w:p>
        </w:tc>
        <w:tc>
          <w:tcPr>
            <w:tcW w:w="700" w:type="dxa"/>
            <w:vAlign w:val="bottom"/>
            <w:gridSpan w:val="2"/>
          </w:tcPr>
          <w:p>
            <w:pPr>
              <w:ind w:left="220"/>
              <w:spacing w:after="0" w:line="138"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center"/>
              <w:ind w:right="60"/>
              <w:spacing w:after="0" w:line="138" w:lineRule="exact"/>
              <w:rPr>
                <w:sz w:val="20"/>
                <w:szCs w:val="20"/>
                <w:color w:val="auto"/>
              </w:rPr>
            </w:pPr>
            <w:r>
              <w:rPr>
                <w:rFonts w:ascii="Arial" w:cs="Arial" w:eastAsia="Arial" w:hAnsi="Arial"/>
                <w:sz w:val="13"/>
                <w:szCs w:val="13"/>
                <w:color w:val="auto"/>
                <w:w w:val="92"/>
              </w:rPr>
              <w:t>Personal Transportation</w:t>
            </w:r>
          </w:p>
        </w:tc>
        <w:tc>
          <w:tcPr>
            <w:tcW w:w="840" w:type="dxa"/>
            <w:vAlign w:val="bottom"/>
            <w:gridSpan w:val="2"/>
          </w:tcPr>
          <w:p>
            <w:pPr>
              <w:ind w:left="280"/>
              <w:spacing w:after="0" w:line="138" w:lineRule="exact"/>
              <w:rPr>
                <w:sz w:val="20"/>
                <w:szCs w:val="20"/>
                <w:color w:val="auto"/>
              </w:rPr>
            </w:pPr>
            <w:r>
              <w:rPr>
                <w:rFonts w:ascii="Arial" w:cs="Arial" w:eastAsia="Arial" w:hAnsi="Arial"/>
                <w:sz w:val="13"/>
                <w:szCs w:val="13"/>
                <w:color w:val="auto"/>
              </w:rPr>
              <w:t>—</w:t>
            </w:r>
          </w:p>
        </w:tc>
        <w:tc>
          <w:tcPr>
            <w:tcW w:w="640" w:type="dxa"/>
            <w:vAlign w:val="bottom"/>
          </w:tcPr>
          <w:p>
            <w:pPr>
              <w:ind w:left="440"/>
              <w:spacing w:after="0" w:line="138"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9,166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9,166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4820" w:type="dxa"/>
            <w:vAlign w:val="bottom"/>
            <w:gridSpan w:val="2"/>
          </w:tcPr>
          <w:p>
            <w:pPr>
              <w:ind w:left="220"/>
              <w:spacing w:after="0"/>
              <w:rPr>
                <w:sz w:val="20"/>
                <w:szCs w:val="20"/>
                <w:color w:val="auto"/>
              </w:rPr>
            </w:pPr>
            <w:r>
              <w:rPr>
                <w:rFonts w:ascii="Arial" w:cs="Arial" w:eastAsia="Arial" w:hAnsi="Arial"/>
                <w:sz w:val="13"/>
                <w:szCs w:val="13"/>
                <w:color w:val="auto"/>
              </w:rPr>
              <w:t>(VPSI, Inc.)</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8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Vtext Holdings, Inc.</w:t>
            </w:r>
          </w:p>
        </w:tc>
        <w:tc>
          <w:tcPr>
            <w:tcW w:w="70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center"/>
              <w:ind w:right="60"/>
              <w:spacing w:after="0" w:line="138" w:lineRule="exact"/>
              <w:rPr>
                <w:sz w:val="20"/>
                <w:szCs w:val="20"/>
                <w:color w:val="auto"/>
              </w:rPr>
            </w:pPr>
            <w:r>
              <w:rPr>
                <w:rFonts w:ascii="Arial" w:cs="Arial" w:eastAsia="Arial" w:hAnsi="Arial"/>
                <w:sz w:val="13"/>
                <w:szCs w:val="13"/>
                <w:color w:val="auto"/>
                <w:w w:val="90"/>
              </w:rPr>
              <w:t>Business Services</w:t>
            </w:r>
          </w:p>
        </w:tc>
        <w:tc>
          <w:tcPr>
            <w:tcW w:w="84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35,526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4,050,000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7,501,780</w:t>
            </w:r>
          </w:p>
        </w:tc>
        <w:tc>
          <w:tcPr>
            <w:tcW w:w="0" w:type="dxa"/>
            <w:vAlign w:val="bottom"/>
          </w:tcPr>
          <w:p>
            <w:pPr>
              <w:spacing w:after="0"/>
              <w:rPr>
                <w:sz w:val="1"/>
                <w:szCs w:val="1"/>
                <w:color w:val="auto"/>
              </w:rPr>
            </w:pPr>
          </w:p>
        </w:tc>
      </w:tr>
      <w:tr>
        <w:trPr>
          <w:trHeight w:val="173"/>
        </w:trPr>
        <w:tc>
          <w:tcPr>
            <w:tcW w:w="48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(Veritext Corp.)</w:t>
            </w: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820" w:type="dxa"/>
            <w:vAlign w:val="bottom"/>
            <w:gridSpan w:val="2"/>
          </w:tcPr>
          <w:p>
            <w:pPr>
              <w:spacing w:after="0"/>
              <w:rPr>
                <w:sz w:val="20"/>
                <w:szCs w:val="20"/>
                <w:color w:val="auto"/>
              </w:rPr>
            </w:pPr>
            <w:r>
              <w:rPr>
                <w:rFonts w:ascii="Arial" w:cs="Arial" w:eastAsia="Arial" w:hAnsi="Arial"/>
                <w:sz w:val="13"/>
                <w:szCs w:val="13"/>
                <w:b w:val="1"/>
                <w:bCs w:val="1"/>
                <w:color w:val="auto"/>
              </w:rPr>
              <w:t>Total Common Equity/Warrants/Partnership Interests</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23,574,291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32,299,342</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816,078,311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773,375,381</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line="223" w:lineRule="exact"/>
              <w:rPr>
                <w:sz w:val="20"/>
                <w:szCs w:val="20"/>
                <w:color w:val="auto"/>
              </w:rPr>
            </w:pPr>
            <w:r>
              <w:rPr>
                <w:rFonts w:ascii="Arial" w:cs="Arial" w:eastAsia="Arial" w:hAnsi="Arial"/>
                <w:sz w:val="13"/>
                <w:szCs w:val="13"/>
                <w:b w:val="1"/>
                <w:bCs w:val="1"/>
                <w:color w:val="auto"/>
              </w:rPr>
              <w:t xml:space="preserve">Investments in Non-Controlled, Affiliated Portfolio Companies—8.8% </w:t>
            </w:r>
            <w:r>
              <w:rPr>
                <w:rFonts w:ascii="Arial" w:cs="Arial" w:eastAsia="Arial" w:hAnsi="Arial"/>
                <w:sz w:val="22"/>
                <w:szCs w:val="22"/>
                <w:b w:val="1"/>
                <w:bCs w:val="1"/>
                <w:color w:val="auto"/>
                <w:vertAlign w:val="superscript"/>
              </w:rPr>
              <w:t>(1),(2)</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First Lien Secured Debt – 1.4%</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EnviroSolutions, Inc. </w:t>
            </w:r>
            <w:r>
              <w:rPr>
                <w:rFonts w:ascii="Arial" w:cs="Arial" w:eastAsia="Arial" w:hAnsi="Arial"/>
                <w:sz w:val="17"/>
                <w:szCs w:val="17"/>
                <w:color w:val="auto"/>
                <w:vertAlign w:val="superscript"/>
              </w:rPr>
              <w:t>(9)</w:t>
            </w:r>
          </w:p>
        </w:tc>
        <w:tc>
          <w:tcPr>
            <w:tcW w:w="620" w:type="dxa"/>
            <w:vAlign w:val="bottom"/>
          </w:tcPr>
          <w:p>
            <w:pPr>
              <w:ind w:left="20"/>
              <w:spacing w:after="0"/>
              <w:rPr>
                <w:sz w:val="20"/>
                <w:szCs w:val="20"/>
                <w:color w:val="auto"/>
              </w:rPr>
            </w:pPr>
            <w:r>
              <w:rPr>
                <w:rFonts w:ascii="Arial" w:cs="Arial" w:eastAsia="Arial" w:hAnsi="Arial"/>
                <w:sz w:val="13"/>
                <w:szCs w:val="13"/>
                <w:color w:val="auto"/>
                <w:w w:val="89"/>
              </w:rPr>
              <w:t>07/29/2013</w:t>
            </w:r>
          </w:p>
        </w:tc>
        <w:tc>
          <w:tcPr>
            <w:tcW w:w="80" w:type="dxa"/>
            <w:vAlign w:val="bottom"/>
          </w:tcPr>
          <w:p>
            <w:pPr>
              <w:spacing w:after="0"/>
              <w:rPr>
                <w:sz w:val="12"/>
                <w:szCs w:val="12"/>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3"/>
                <w:szCs w:val="13"/>
                <w:color w:val="auto"/>
                <w:w w:val="93"/>
              </w:rPr>
              <w:t>Environmental Services</w:t>
            </w:r>
          </w:p>
        </w:tc>
        <w:tc>
          <w:tcPr>
            <w:tcW w:w="8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40" w:type="dxa"/>
            <w:vAlign w:val="bottom"/>
          </w:tcPr>
          <w:p>
            <w:pPr>
              <w:ind w:left="4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w w:val="96"/>
              </w:rPr>
              <w:t>6,666,666</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6,666,666</w:t>
            </w:r>
          </w:p>
        </w:tc>
        <w:tc>
          <w:tcPr>
            <w:tcW w:w="140" w:type="dxa"/>
            <w:vAlign w:val="bottom"/>
            <w:gridSpan w:val="2"/>
          </w:tcPr>
          <w:p>
            <w:pPr>
              <w:ind w:left="60"/>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6,666,666</w:t>
            </w:r>
          </w:p>
        </w:tc>
        <w:tc>
          <w:tcPr>
            <w:tcW w:w="0" w:type="dxa"/>
            <w:vAlign w:val="bottom"/>
          </w:tcPr>
          <w:p>
            <w:pPr>
              <w:spacing w:after="0"/>
              <w:rPr>
                <w:sz w:val="1"/>
                <w:szCs w:val="1"/>
                <w:color w:val="auto"/>
              </w:rPr>
            </w:pPr>
          </w:p>
        </w:tc>
      </w:tr>
      <w:tr>
        <w:trPr>
          <w:trHeight w:val="155"/>
        </w:trPr>
        <w:tc>
          <w:tcPr>
            <w:tcW w:w="482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Debt—2.9%</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w w:val="88"/>
              </w:rPr>
              <w:t>(8)</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820" w:type="dxa"/>
            <w:vAlign w:val="bottom"/>
            <w:gridSpan w:val="2"/>
          </w:tcPr>
          <w:p>
            <w:pPr>
              <w:spacing w:after="0" w:line="122" w:lineRule="exact"/>
              <w:rPr>
                <w:sz w:val="20"/>
                <w:szCs w:val="20"/>
                <w:color w:val="auto"/>
              </w:rPr>
            </w:pPr>
            <w:r>
              <w:rPr>
                <w:rFonts w:ascii="Arial" w:cs="Arial" w:eastAsia="Arial" w:hAnsi="Arial"/>
                <w:sz w:val="13"/>
                <w:szCs w:val="13"/>
                <w:color w:val="auto"/>
              </w:rPr>
              <w:t>EnviroSolutions, Inc.</w:t>
            </w:r>
          </w:p>
        </w:tc>
        <w:tc>
          <w:tcPr>
            <w:tcW w:w="620" w:type="dxa"/>
            <w:vAlign w:val="bottom"/>
          </w:tcPr>
          <w:p>
            <w:pPr>
              <w:ind w:left="20"/>
              <w:spacing w:after="0" w:line="122" w:lineRule="exact"/>
              <w:rPr>
                <w:sz w:val="20"/>
                <w:szCs w:val="20"/>
                <w:color w:val="auto"/>
              </w:rPr>
            </w:pPr>
            <w:r>
              <w:rPr>
                <w:rFonts w:ascii="Arial" w:cs="Arial" w:eastAsia="Arial" w:hAnsi="Arial"/>
                <w:sz w:val="13"/>
                <w:szCs w:val="13"/>
                <w:color w:val="auto"/>
                <w:w w:val="89"/>
              </w:rPr>
              <w:t>07/29/2014</w:t>
            </w:r>
          </w:p>
        </w:tc>
        <w:tc>
          <w:tcPr>
            <w:tcW w:w="80" w:type="dxa"/>
            <w:vAlign w:val="bottom"/>
          </w:tcPr>
          <w:p>
            <w:pPr>
              <w:spacing w:after="0"/>
              <w:rPr>
                <w:sz w:val="10"/>
                <w:szCs w:val="10"/>
                <w:color w:val="auto"/>
              </w:rPr>
            </w:pPr>
          </w:p>
        </w:tc>
        <w:tc>
          <w:tcPr>
            <w:tcW w:w="1380" w:type="dxa"/>
            <w:vAlign w:val="bottom"/>
            <w:gridSpan w:val="2"/>
          </w:tcPr>
          <w:p>
            <w:pPr>
              <w:jc w:val="center"/>
              <w:ind w:right="60"/>
              <w:spacing w:after="0" w:line="122" w:lineRule="exact"/>
              <w:rPr>
                <w:sz w:val="20"/>
                <w:szCs w:val="20"/>
                <w:color w:val="auto"/>
              </w:rPr>
            </w:pPr>
            <w:r>
              <w:rPr>
                <w:rFonts w:ascii="Arial" w:cs="Arial" w:eastAsia="Arial" w:hAnsi="Arial"/>
                <w:sz w:val="13"/>
                <w:szCs w:val="13"/>
                <w:color w:val="auto"/>
                <w:w w:val="93"/>
              </w:rPr>
              <w:t>Environmental Services</w:t>
            </w:r>
          </w:p>
        </w:tc>
        <w:tc>
          <w:tcPr>
            <w:tcW w:w="840" w:type="dxa"/>
            <w:vAlign w:val="bottom"/>
            <w:gridSpan w:val="2"/>
          </w:tcPr>
          <w:p>
            <w:pPr>
              <w:jc w:val="right"/>
              <w:ind w:right="240"/>
              <w:spacing w:after="0" w:line="122" w:lineRule="exact"/>
              <w:rPr>
                <w:sz w:val="20"/>
                <w:szCs w:val="20"/>
                <w:color w:val="auto"/>
              </w:rPr>
            </w:pPr>
            <w:r>
              <w:rPr>
                <w:rFonts w:ascii="Arial" w:cs="Arial" w:eastAsia="Arial" w:hAnsi="Arial"/>
                <w:sz w:val="13"/>
                <w:szCs w:val="13"/>
                <w:color w:val="auto"/>
              </w:rPr>
              <w:t>8.00%</w:t>
            </w:r>
          </w:p>
        </w:tc>
        <w:tc>
          <w:tcPr>
            <w:tcW w:w="640" w:type="dxa"/>
            <w:vAlign w:val="bottom"/>
          </w:tcPr>
          <w:p>
            <w:pPr>
              <w:ind w:left="260"/>
              <w:spacing w:after="0" w:line="122" w:lineRule="exact"/>
              <w:rPr>
                <w:sz w:val="20"/>
                <w:szCs w:val="20"/>
                <w:color w:val="auto"/>
              </w:rPr>
            </w:pPr>
            <w:r>
              <w:rPr>
                <w:rFonts w:ascii="Arial" w:cs="Arial" w:eastAsia="Arial" w:hAnsi="Arial"/>
                <w:sz w:val="13"/>
                <w:szCs w:val="13"/>
                <w:color w:val="auto"/>
                <w:w w:val="98"/>
              </w:rPr>
              <w:t>L+600</w:t>
            </w:r>
          </w:p>
        </w:tc>
        <w:tc>
          <w:tcPr>
            <w:tcW w:w="220" w:type="dxa"/>
            <w:vAlign w:val="bottom"/>
            <w:gridSpan w:val="2"/>
            <w:vMerge w:val="continue"/>
          </w:tcPr>
          <w:p>
            <w:pPr>
              <w:spacing w:after="0"/>
              <w:rPr>
                <w:sz w:val="10"/>
                <w:szCs w:val="10"/>
                <w:color w:val="auto"/>
              </w:rPr>
            </w:pP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3"/>
                <w:szCs w:val="13"/>
                <w:color w:val="auto"/>
                <w:w w:val="96"/>
              </w:rPr>
              <w:t>5,870,416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3"/>
                <w:szCs w:val="13"/>
                <w:color w:val="auto"/>
              </w:rPr>
              <w:t>5,870,416</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right"/>
              <w:ind w:right="220"/>
              <w:spacing w:after="0" w:line="122" w:lineRule="exact"/>
              <w:rPr>
                <w:sz w:val="20"/>
                <w:szCs w:val="20"/>
                <w:color w:val="auto"/>
              </w:rPr>
            </w:pPr>
            <w:r>
              <w:rPr>
                <w:rFonts w:ascii="Arial" w:cs="Arial" w:eastAsia="Arial" w:hAnsi="Arial"/>
                <w:sz w:val="13"/>
                <w:szCs w:val="13"/>
                <w:color w:val="auto"/>
              </w:rPr>
              <w:t>5,870,416</w:t>
            </w:r>
          </w:p>
        </w:tc>
        <w:tc>
          <w:tcPr>
            <w:tcW w:w="0" w:type="dxa"/>
            <w:vAlign w:val="bottom"/>
          </w:tcPr>
          <w:p>
            <w:pPr>
              <w:spacing w:after="0"/>
              <w:rPr>
                <w:sz w:val="1"/>
                <w:szCs w:val="1"/>
                <w:color w:val="auto"/>
              </w:rPr>
            </w:pPr>
          </w:p>
        </w:tc>
      </w:tr>
      <w:tr>
        <w:trPr>
          <w:trHeight w:val="165"/>
        </w:trPr>
        <w:tc>
          <w:tcPr>
            <w:tcW w:w="4820" w:type="dxa"/>
            <w:vAlign w:val="bottom"/>
            <w:gridSpan w:val="2"/>
          </w:tcPr>
          <w:p>
            <w:pPr>
              <w:spacing w:after="0"/>
              <w:rPr>
                <w:sz w:val="20"/>
                <w:szCs w:val="20"/>
                <w:color w:val="auto"/>
              </w:rPr>
            </w:pPr>
            <w:r>
              <w:rPr>
                <w:rFonts w:ascii="Arial" w:cs="Arial" w:eastAsia="Arial" w:hAnsi="Arial"/>
                <w:sz w:val="13"/>
                <w:szCs w:val="13"/>
                <w:color w:val="auto"/>
              </w:rPr>
              <w:t>Performance, Inc.</w:t>
            </w:r>
          </w:p>
        </w:tc>
        <w:tc>
          <w:tcPr>
            <w:tcW w:w="620" w:type="dxa"/>
            <w:vAlign w:val="bottom"/>
          </w:tcPr>
          <w:p>
            <w:pPr>
              <w:ind w:left="20"/>
              <w:spacing w:after="0"/>
              <w:rPr>
                <w:sz w:val="20"/>
                <w:szCs w:val="20"/>
                <w:color w:val="auto"/>
              </w:rPr>
            </w:pPr>
            <w:r>
              <w:rPr>
                <w:rFonts w:ascii="Arial" w:cs="Arial" w:eastAsia="Arial" w:hAnsi="Arial"/>
                <w:sz w:val="13"/>
                <w:szCs w:val="13"/>
                <w:color w:val="auto"/>
                <w:w w:val="89"/>
              </w:rPr>
              <w:t>01/16/2015</w:t>
            </w:r>
          </w:p>
        </w:tc>
        <w:tc>
          <w:tcPr>
            <w:tcW w:w="8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3"/>
                <w:szCs w:val="13"/>
                <w:color w:val="auto"/>
                <w:w w:val="93"/>
              </w:rPr>
              <w:t>Leisure, Amusement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7.25%</w:t>
            </w:r>
          </w:p>
        </w:tc>
        <w:tc>
          <w:tcPr>
            <w:tcW w:w="640" w:type="dxa"/>
            <w:vAlign w:val="bottom"/>
          </w:tcPr>
          <w:p>
            <w:pPr>
              <w:ind w:left="260"/>
              <w:spacing w:after="0"/>
              <w:rPr>
                <w:sz w:val="20"/>
                <w:szCs w:val="20"/>
                <w:color w:val="auto"/>
              </w:rPr>
            </w:pPr>
            <w:r>
              <w:rPr>
                <w:rFonts w:ascii="Arial" w:cs="Arial" w:eastAsia="Arial" w:hAnsi="Arial"/>
                <w:sz w:val="13"/>
                <w:szCs w:val="13"/>
                <w:color w:val="auto"/>
                <w:w w:val="98"/>
              </w:rPr>
              <w:t>L+625</w:t>
            </w:r>
          </w:p>
        </w:tc>
        <w:tc>
          <w:tcPr>
            <w:tcW w:w="220" w:type="dxa"/>
            <w:vAlign w:val="bottom"/>
            <w:gridSpan w:val="2"/>
          </w:tcPr>
          <w:p>
            <w:pPr>
              <w:jc w:val="right"/>
              <w:ind w:right="80"/>
              <w:spacing w:after="0"/>
              <w:rPr>
                <w:sz w:val="20"/>
                <w:szCs w:val="20"/>
                <w:color w:val="auto"/>
              </w:rPr>
            </w:pPr>
            <w:r>
              <w:rPr>
                <w:rFonts w:ascii="Arial" w:cs="Arial" w:eastAsia="Arial" w:hAnsi="Arial"/>
                <w:sz w:val="11"/>
                <w:szCs w:val="11"/>
                <w:color w:val="auto"/>
                <w:w w:val="88"/>
              </w:rPr>
              <w:t>(8)</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w w:val="96"/>
              </w:rPr>
              <w:t>8,000,000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8,000,000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7,336,000</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3"/>
                <w:szCs w:val="13"/>
                <w:color w:val="auto"/>
                <w:w w:val="98"/>
              </w:rPr>
              <w:t>Motion Pictures</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3"/>
                <w:szCs w:val="13"/>
                <w:color w:val="auto"/>
                <w:w w:val="94"/>
              </w:rPr>
              <w:t>and Entertainment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20" w:type="dxa"/>
            <w:vAlign w:val="bottom"/>
            <w:gridSpan w:val="2"/>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13,870,416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13,206,416</w:t>
            </w:r>
          </w:p>
        </w:tc>
        <w:tc>
          <w:tcPr>
            <w:tcW w:w="0" w:type="dxa"/>
            <w:vAlign w:val="bottom"/>
          </w:tcPr>
          <w:p>
            <w:pPr>
              <w:spacing w:after="0"/>
              <w:rPr>
                <w:sz w:val="1"/>
                <w:szCs w:val="1"/>
                <w:color w:val="auto"/>
              </w:rPr>
            </w:pPr>
          </w:p>
        </w:tc>
      </w:tr>
      <w:tr>
        <w:trPr>
          <w:trHeight w:val="149"/>
        </w:trPr>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Subordinated Debt/Corporate Notes—1.4%</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820" w:type="dxa"/>
            <w:vAlign w:val="bottom"/>
            <w:gridSpan w:val="2"/>
          </w:tcPr>
          <w:p>
            <w:pPr>
              <w:spacing w:after="0"/>
              <w:rPr>
                <w:sz w:val="20"/>
                <w:szCs w:val="20"/>
                <w:color w:val="auto"/>
              </w:rPr>
            </w:pPr>
            <w:r>
              <w:rPr>
                <w:rFonts w:ascii="Arial" w:cs="Arial" w:eastAsia="Arial" w:hAnsi="Arial"/>
                <w:sz w:val="13"/>
                <w:szCs w:val="13"/>
                <w:color w:val="auto"/>
              </w:rPr>
              <w:t>Performance Holdings, Inc.</w:t>
            </w:r>
          </w:p>
        </w:tc>
        <w:tc>
          <w:tcPr>
            <w:tcW w:w="620" w:type="dxa"/>
            <w:vAlign w:val="bottom"/>
          </w:tcPr>
          <w:p>
            <w:pPr>
              <w:ind w:left="20"/>
              <w:spacing w:after="0"/>
              <w:rPr>
                <w:sz w:val="20"/>
                <w:szCs w:val="20"/>
                <w:color w:val="auto"/>
              </w:rPr>
            </w:pPr>
            <w:r>
              <w:rPr>
                <w:rFonts w:ascii="Arial" w:cs="Arial" w:eastAsia="Arial" w:hAnsi="Arial"/>
                <w:sz w:val="13"/>
                <w:szCs w:val="13"/>
                <w:color w:val="auto"/>
                <w:w w:val="89"/>
              </w:rPr>
              <w:t>07/16/2015</w:t>
            </w:r>
          </w:p>
        </w:tc>
        <w:tc>
          <w:tcPr>
            <w:tcW w:w="80" w:type="dxa"/>
            <w:vAlign w:val="bottom"/>
          </w:tcPr>
          <w:p>
            <w:pPr>
              <w:spacing w:after="0"/>
              <w:rPr>
                <w:sz w:val="13"/>
                <w:szCs w:val="13"/>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3"/>
                <w:szCs w:val="13"/>
                <w:color w:val="auto"/>
                <w:w w:val="94"/>
              </w:rPr>
              <w:t>Leisure, Amusement,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40" w:type="dxa"/>
            <w:vAlign w:val="bottom"/>
          </w:tcPr>
          <w:p>
            <w:pPr>
              <w:ind w:left="4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w w:val="96"/>
              </w:rPr>
              <w:t>6,775,991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6,617,860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6,403,311</w:t>
            </w:r>
          </w:p>
        </w:tc>
        <w:tc>
          <w:tcPr>
            <w:tcW w:w="0" w:type="dxa"/>
            <w:vAlign w:val="bottom"/>
          </w:tcPr>
          <w:p>
            <w:pPr>
              <w:spacing w:after="0"/>
              <w:rPr>
                <w:sz w:val="1"/>
                <w:szCs w:val="1"/>
                <w:color w:val="auto"/>
              </w:rPr>
            </w:pPr>
          </w:p>
        </w:tc>
      </w:tr>
      <w:tr>
        <w:trPr>
          <w:trHeight w:val="138"/>
        </w:trPr>
        <w:tc>
          <w:tcPr>
            <w:tcW w:w="4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ind w:right="60"/>
              <w:spacing w:after="0" w:line="138" w:lineRule="exact"/>
              <w:rPr>
                <w:sz w:val="20"/>
                <w:szCs w:val="20"/>
                <w:color w:val="auto"/>
              </w:rPr>
            </w:pPr>
            <w:r>
              <w:rPr>
                <w:rFonts w:ascii="Arial" w:cs="Arial" w:eastAsia="Arial" w:hAnsi="Arial"/>
                <w:sz w:val="13"/>
                <w:szCs w:val="13"/>
                <w:color w:val="auto"/>
                <w:w w:val="93"/>
              </w:rPr>
              <w:t>Motion Pictures and</w:t>
            </w:r>
          </w:p>
        </w:tc>
        <w:tc>
          <w:tcPr>
            <w:tcW w:w="4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3"/>
              </w:rPr>
              <w:t>Entertainment</w:t>
            </w: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82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Interest—3.1% </w:t>
            </w:r>
            <w:r>
              <w:rPr>
                <w:rFonts w:ascii="Arial" w:cs="Arial" w:eastAsia="Arial" w:hAnsi="Arial"/>
                <w:sz w:val="17"/>
                <w:szCs w:val="17"/>
                <w:b w:val="1"/>
                <w:bCs w:val="1"/>
                <w:color w:val="auto"/>
                <w:vertAlign w:val="superscript"/>
              </w:rPr>
              <w:t>(7)</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EnviroSolutions, Inc.</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3"/>
              </w:rPr>
              <w:t>Environmental Services</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37,382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2,710,036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5,641,925</w:t>
            </w:r>
          </w:p>
        </w:tc>
        <w:tc>
          <w:tcPr>
            <w:tcW w:w="0" w:type="dxa"/>
            <w:vAlign w:val="bottom"/>
          </w:tcPr>
          <w:p>
            <w:pPr>
              <w:spacing w:after="0"/>
              <w:rPr>
                <w:sz w:val="1"/>
                <w:szCs w:val="1"/>
                <w:color w:val="auto"/>
              </w:rPr>
            </w:pPr>
          </w:p>
        </w:tc>
      </w:tr>
      <w:tr>
        <w:trPr>
          <w:trHeight w:val="148"/>
        </w:trPr>
        <w:tc>
          <w:tcPr>
            <w:tcW w:w="4820" w:type="dxa"/>
            <w:vAlign w:val="bottom"/>
            <w:gridSpan w:val="2"/>
          </w:tcPr>
          <w:p>
            <w:pPr>
              <w:spacing w:after="0"/>
              <w:rPr>
                <w:sz w:val="20"/>
                <w:szCs w:val="20"/>
                <w:color w:val="auto"/>
              </w:rPr>
            </w:pPr>
            <w:r>
              <w:rPr>
                <w:rFonts w:ascii="Arial" w:cs="Arial" w:eastAsia="Arial" w:hAnsi="Arial"/>
                <w:sz w:val="13"/>
                <w:szCs w:val="13"/>
                <w:color w:val="auto"/>
              </w:rPr>
              <w:t>EnviroSolutions, Inc. (Warrants)</w:t>
            </w:r>
          </w:p>
        </w:tc>
        <w:tc>
          <w:tcPr>
            <w:tcW w:w="70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center"/>
              <w:ind w:right="60"/>
              <w:spacing w:after="0"/>
              <w:rPr>
                <w:sz w:val="20"/>
                <w:szCs w:val="20"/>
                <w:color w:val="auto"/>
              </w:rPr>
            </w:pPr>
            <w:r>
              <w:rPr>
                <w:rFonts w:ascii="Arial" w:cs="Arial" w:eastAsia="Arial" w:hAnsi="Arial"/>
                <w:sz w:val="13"/>
                <w:szCs w:val="13"/>
                <w:color w:val="auto"/>
                <w:w w:val="93"/>
              </w:rPr>
              <w:t>Environmental Services</w:t>
            </w:r>
          </w:p>
        </w:tc>
        <w:tc>
          <w:tcPr>
            <w:tcW w:w="8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40" w:type="dxa"/>
            <w:vAlign w:val="bottom"/>
          </w:tcPr>
          <w:p>
            <w:pPr>
              <w:ind w:left="4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50,102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3,129,447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7,561,205</w:t>
            </w:r>
          </w:p>
        </w:tc>
        <w:tc>
          <w:tcPr>
            <w:tcW w:w="0" w:type="dxa"/>
            <w:vAlign w:val="bottom"/>
          </w:tcPr>
          <w:p>
            <w:pPr>
              <w:spacing w:after="0"/>
              <w:rPr>
                <w:sz w:val="1"/>
                <w:szCs w:val="1"/>
                <w:color w:val="auto"/>
              </w:rPr>
            </w:pPr>
          </w:p>
        </w:tc>
      </w:tr>
      <w:tr>
        <w:trPr>
          <w:trHeight w:val="148"/>
        </w:trPr>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NCP-Performance (Performance Holdings, Inc.)</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4"/>
              </w:rPr>
              <w:t>Leisure, Amusement,</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375,000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3,750,000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1,193,610</w:t>
            </w:r>
          </w:p>
        </w:tc>
        <w:tc>
          <w:tcPr>
            <w:tcW w:w="0" w:type="dxa"/>
            <w:vAlign w:val="bottom"/>
          </w:tcPr>
          <w:p>
            <w:pPr>
              <w:spacing w:after="0"/>
              <w:rPr>
                <w:sz w:val="1"/>
                <w:szCs w:val="1"/>
                <w:color w:val="auto"/>
              </w:rPr>
            </w:pPr>
          </w:p>
        </w:tc>
      </w:tr>
      <w:tr>
        <w:trPr>
          <w:trHeight w:val="138"/>
        </w:trPr>
        <w:tc>
          <w:tcPr>
            <w:tcW w:w="4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tcPr>
          <w:p>
            <w:pPr>
              <w:jc w:val="center"/>
              <w:ind w:right="60"/>
              <w:spacing w:after="0" w:line="138" w:lineRule="exact"/>
              <w:rPr>
                <w:sz w:val="20"/>
                <w:szCs w:val="20"/>
                <w:color w:val="auto"/>
              </w:rPr>
            </w:pPr>
            <w:r>
              <w:rPr>
                <w:rFonts w:ascii="Arial" w:cs="Arial" w:eastAsia="Arial" w:hAnsi="Arial"/>
                <w:sz w:val="13"/>
                <w:szCs w:val="13"/>
                <w:color w:val="auto"/>
                <w:w w:val="93"/>
              </w:rPr>
              <w:t>Motion Pictures and</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3"/>
                <w:szCs w:val="13"/>
                <w:color w:val="auto"/>
                <w:w w:val="93"/>
              </w:rPr>
              <w:t>Entertainment</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Common Equity/Partnership Interest</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9,589,483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14,396,740</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2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36,744,425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40,673,133</w:t>
            </w:r>
          </w:p>
        </w:tc>
        <w:tc>
          <w:tcPr>
            <w:tcW w:w="0" w:type="dxa"/>
            <w:vAlign w:val="bottom"/>
          </w:tcPr>
          <w:p>
            <w:pPr>
              <w:spacing w:after="0"/>
              <w:rPr>
                <w:sz w:val="1"/>
                <w:szCs w:val="1"/>
                <w:color w:val="auto"/>
              </w:rPr>
            </w:pPr>
          </w:p>
        </w:tc>
      </w:tr>
      <w:tr>
        <w:trPr>
          <w:trHeight w:val="148"/>
        </w:trPr>
        <w:tc>
          <w:tcPr>
            <w:tcW w:w="48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Controlled, Affiliated Portfolio Companies—2.9% </w:t>
            </w:r>
            <w:r>
              <w:rPr>
                <w:rFonts w:ascii="Arial" w:cs="Arial" w:eastAsia="Arial" w:hAnsi="Arial"/>
                <w:sz w:val="17"/>
                <w:szCs w:val="17"/>
                <w:b w:val="1"/>
                <w:bCs w:val="1"/>
                <w:color w:val="auto"/>
                <w:vertAlign w:val="superscript"/>
              </w:rPr>
              <w:t>(1),(2)</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gridSpan w:val="2"/>
          </w:tcPr>
          <w:p>
            <w:pPr>
              <w:spacing w:after="0"/>
              <w:rPr>
                <w:sz w:val="20"/>
                <w:szCs w:val="20"/>
                <w:color w:val="auto"/>
              </w:rPr>
            </w:pPr>
            <w:r>
              <w:rPr>
                <w:rFonts w:ascii="Arial" w:cs="Arial" w:eastAsia="Arial" w:hAnsi="Arial"/>
                <w:sz w:val="13"/>
                <w:szCs w:val="13"/>
                <w:b w:val="1"/>
                <w:bCs w:val="1"/>
                <w:color w:val="auto"/>
              </w:rPr>
              <w:t>First Lien Secured Debt—2.1%</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06/30/2020</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0"/>
              </w:rPr>
              <w:t>Business Services</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 xml:space="preserve">14.00% </w:t>
            </w:r>
            <w:r>
              <w:rPr>
                <w:rFonts w:ascii="Arial" w:cs="Arial" w:eastAsia="Arial" w:hAnsi="Arial"/>
                <w:sz w:val="17"/>
                <w:szCs w:val="17"/>
                <w:color w:val="auto"/>
                <w:vertAlign w:val="superscript"/>
              </w:rPr>
              <w:t>(6)</w:t>
            </w:r>
          </w:p>
        </w:tc>
        <w:tc>
          <w:tcPr>
            <w:tcW w:w="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9,200,000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9,200,000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9,676,650</w:t>
            </w:r>
          </w:p>
        </w:tc>
        <w:tc>
          <w:tcPr>
            <w:tcW w:w="0" w:type="dxa"/>
            <w:vAlign w:val="bottom"/>
          </w:tcPr>
          <w:p>
            <w:pPr>
              <w:spacing w:after="0"/>
              <w:rPr>
                <w:sz w:val="1"/>
                <w:szCs w:val="1"/>
                <w:color w:val="auto"/>
              </w:rPr>
            </w:pPr>
          </w:p>
        </w:tc>
      </w:tr>
      <w:tr>
        <w:trPr>
          <w:trHeight w:val="155"/>
        </w:trPr>
        <w:tc>
          <w:tcPr>
            <w:tcW w:w="4820" w:type="dxa"/>
            <w:vAlign w:val="bottom"/>
            <w:gridSpan w:val="2"/>
          </w:tcPr>
          <w:p>
            <w:pPr>
              <w:spacing w:after="0"/>
              <w:rPr>
                <w:sz w:val="20"/>
                <w:szCs w:val="20"/>
                <w:color w:val="auto"/>
              </w:rPr>
            </w:pPr>
            <w:r>
              <w:rPr>
                <w:rFonts w:ascii="Arial" w:cs="Arial" w:eastAsia="Arial" w:hAnsi="Arial"/>
                <w:sz w:val="13"/>
                <w:szCs w:val="13"/>
                <w:b w:val="1"/>
                <w:bCs w:val="1"/>
                <w:color w:val="auto"/>
              </w:rPr>
              <w:t>Subordinated Debt/Corporate Notes—0.5%</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62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06/30/2020</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0"/>
              </w:rPr>
              <w:t>Business Services</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 xml:space="preserve">14.00% </w:t>
            </w:r>
            <w:r>
              <w:rPr>
                <w:rFonts w:ascii="Arial" w:cs="Arial" w:eastAsia="Arial" w:hAnsi="Arial"/>
                <w:sz w:val="17"/>
                <w:szCs w:val="17"/>
                <w:color w:val="auto"/>
                <w:vertAlign w:val="superscript"/>
              </w:rPr>
              <w:t>(6)</w:t>
            </w:r>
          </w:p>
        </w:tc>
        <w:tc>
          <w:tcPr>
            <w:tcW w:w="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2,300,000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2,300,000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2,085,357</w:t>
            </w:r>
          </w:p>
        </w:tc>
        <w:tc>
          <w:tcPr>
            <w:tcW w:w="0" w:type="dxa"/>
            <w:vAlign w:val="bottom"/>
          </w:tcPr>
          <w:p>
            <w:pPr>
              <w:spacing w:after="0"/>
              <w:rPr>
                <w:sz w:val="1"/>
                <w:szCs w:val="1"/>
                <w:color w:val="auto"/>
              </w:rPr>
            </w:pPr>
          </w:p>
        </w:tc>
      </w:tr>
      <w:tr>
        <w:trPr>
          <w:trHeight w:val="156"/>
        </w:trPr>
        <w:tc>
          <w:tcPr>
            <w:tcW w:w="482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Preferred Equity—0.4% </w:t>
            </w:r>
            <w:r>
              <w:rPr>
                <w:rFonts w:ascii="Arial" w:cs="Arial" w:eastAsia="Arial" w:hAnsi="Arial"/>
                <w:sz w:val="18"/>
                <w:szCs w:val="18"/>
                <w:b w:val="1"/>
                <w:bCs w:val="1"/>
                <w:color w:val="auto"/>
                <w:vertAlign w:val="superscript"/>
              </w:rPr>
              <w:t>(7)</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0"/>
              </w:rPr>
              <w:t>Business Services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14.00%</w:t>
            </w:r>
          </w:p>
        </w:tc>
        <w:tc>
          <w:tcPr>
            <w:tcW w:w="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2,000,000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1,737.994</w:t>
            </w:r>
          </w:p>
        </w:tc>
        <w:tc>
          <w:tcPr>
            <w:tcW w:w="0" w:type="dxa"/>
            <w:vAlign w:val="bottom"/>
          </w:tcPr>
          <w:p>
            <w:pPr>
              <w:spacing w:after="0"/>
              <w:rPr>
                <w:sz w:val="1"/>
                <w:szCs w:val="1"/>
                <w:color w:val="auto"/>
              </w:rPr>
            </w:pPr>
          </w:p>
        </w:tc>
      </w:tr>
      <w:tr>
        <w:trPr>
          <w:trHeight w:val="155"/>
        </w:trPr>
        <w:tc>
          <w:tcPr>
            <w:tcW w:w="482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8"/>
                <w:szCs w:val="18"/>
                <w:b w:val="1"/>
                <w:bCs w:val="1"/>
                <w:color w:val="auto"/>
                <w:vertAlign w:val="superscript"/>
              </w:rPr>
              <w:t>(7)</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SuttonPark Holdings, Inc.</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1380" w:type="dxa"/>
            <w:vAlign w:val="bottom"/>
            <w:gridSpan w:val="2"/>
            <w:shd w:val="clear" w:color="auto" w:fill="CCEEFF"/>
          </w:tcPr>
          <w:p>
            <w:pPr>
              <w:jc w:val="center"/>
              <w:ind w:right="60"/>
              <w:spacing w:after="0"/>
              <w:rPr>
                <w:sz w:val="20"/>
                <w:szCs w:val="20"/>
                <w:color w:val="auto"/>
              </w:rPr>
            </w:pPr>
            <w:r>
              <w:rPr>
                <w:rFonts w:ascii="Arial" w:cs="Arial" w:eastAsia="Arial" w:hAnsi="Arial"/>
                <w:sz w:val="13"/>
                <w:szCs w:val="13"/>
                <w:color w:val="auto"/>
                <w:w w:val="90"/>
              </w:rPr>
              <w:t>Business Services</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20" w:type="dxa"/>
            <w:vAlign w:val="bottom"/>
            <w:gridSpan w:val="2"/>
          </w:tcPr>
          <w:p>
            <w:pPr>
              <w:spacing w:after="0"/>
              <w:rPr>
                <w:sz w:val="20"/>
                <w:szCs w:val="20"/>
                <w:color w:val="auto"/>
              </w:rPr>
            </w:pPr>
            <w:r>
              <w:rPr>
                <w:rFonts w:ascii="Arial" w:cs="Arial" w:eastAsia="Arial" w:hAnsi="Arial"/>
                <w:sz w:val="13"/>
                <w:szCs w:val="13"/>
                <w:b w:val="1"/>
                <w:bCs w:val="1"/>
                <w:color w:val="auto"/>
              </w:rPr>
              <w:t>Total Investments in Controlled, Affiliated Portfolio Companies</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13,500,100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13,500,001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Investments—178.9%</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866,322,836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827,548,515</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Cash Equivalents—15.5%</w:t>
            </w: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2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71,604,519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71,604,519</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Equivalents—194.3%</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1"/>
              </w:rPr>
              <w:t>937,927,355</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899,153,034</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Assets—(94.3%)</w:t>
            </w: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3"/>
                <w:szCs w:val="13"/>
                <w:color w:val="auto"/>
                <w:w w:val="91"/>
              </w:rPr>
              <w:t>(436,495,838)</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6"/>
              </w:rPr>
              <w:t>462,657,196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-3436620</wp:posOffset>
            </wp:positionV>
            <wp:extent cx="7132320" cy="939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-3248025</wp:posOffset>
            </wp:positionV>
            <wp:extent cx="7132320" cy="291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PENNANTPARK INVESTMENT CORPORATION</w:t>
      </w:r>
    </w:p>
    <w:p>
      <w:pPr>
        <w:spacing w:after="0" w:line="12" w:lineRule="exact"/>
        <w:rPr>
          <w:sz w:val="20"/>
          <w:szCs w:val="20"/>
          <w:color w:val="auto"/>
        </w:rPr>
      </w:pPr>
    </w:p>
    <w:p>
      <w:pPr>
        <w:jc w:val="center"/>
        <w:ind w:right="-199"/>
        <w:spacing w:after="0"/>
        <w:rPr>
          <w:sz w:val="20"/>
          <w:szCs w:val="20"/>
          <w:color w:val="auto"/>
        </w:rPr>
      </w:pPr>
      <w:r>
        <w:rPr>
          <w:rFonts w:ascii="Arial" w:cs="Arial" w:eastAsia="Arial" w:hAnsi="Arial"/>
          <w:sz w:val="13"/>
          <w:szCs w:val="13"/>
          <w:b w:val="1"/>
          <w:bCs w:val="1"/>
          <w:color w:val="auto"/>
        </w:rPr>
        <w:t>CONSOLIDATED SCHEDULE OF INVESTMENTS—(CONTINUED)</w:t>
      </w:r>
    </w:p>
    <w:p>
      <w:pPr>
        <w:jc w:val="center"/>
        <w:ind w:right="-199"/>
        <w:spacing w:after="0"/>
        <w:rPr>
          <w:sz w:val="20"/>
          <w:szCs w:val="20"/>
          <w:color w:val="auto"/>
        </w:rPr>
      </w:pPr>
      <w:r>
        <w:rPr>
          <w:rFonts w:ascii="Arial" w:cs="Arial" w:eastAsia="Arial" w:hAnsi="Arial"/>
          <w:sz w:val="13"/>
          <w:szCs w:val="13"/>
          <w:b w:val="1"/>
          <w:bCs w:val="1"/>
          <w:color w:val="auto"/>
        </w:rPr>
        <w:t>SEPTEMBER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23571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64" w:lineRule="exact"/>
        <w:rPr>
          <w:sz w:val="20"/>
          <w:szCs w:val="20"/>
          <w:color w:val="auto"/>
        </w:rPr>
      </w:pPr>
    </w:p>
    <w:p>
      <w:pPr>
        <w:ind w:left="460" w:right="240" w:hanging="452"/>
        <w:spacing w:after="0" w:line="268" w:lineRule="auto"/>
        <w:tabs>
          <w:tab w:leader="none" w:pos="46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460" w:hanging="452"/>
        <w:spacing w:after="0" w:line="238" w:lineRule="auto"/>
        <w:tabs>
          <w:tab w:leader="none" w:pos="4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460" w:hanging="452"/>
        <w:spacing w:after="0"/>
        <w:tabs>
          <w:tab w:leader="none" w:pos="4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460" w:hanging="452"/>
        <w:spacing w:after="0"/>
        <w:tabs>
          <w:tab w:leader="none" w:pos="4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Prime.</w:t>
      </w:r>
    </w:p>
    <w:p>
      <w:pPr>
        <w:ind w:left="460" w:right="280" w:hanging="452"/>
        <w:spacing w:after="0" w:line="238" w:lineRule="auto"/>
        <w:tabs>
          <w:tab w:leader="none" w:pos="4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ind w:left="460" w:hanging="452"/>
        <w:spacing w:after="0"/>
        <w:tabs>
          <w:tab w:leader="none" w:pos="4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Coupon is payable in cash and/or PIK.</w:t>
      </w:r>
    </w:p>
    <w:p>
      <w:pPr>
        <w:ind w:left="460" w:hanging="452"/>
        <w:spacing w:after="0"/>
        <w:tabs>
          <w:tab w:leader="none" w:pos="4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460" w:hanging="452"/>
        <w:spacing w:after="0"/>
        <w:tabs>
          <w:tab w:leader="none" w:pos="4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Coupon is subject to a LIBOR or Prime rate floor.</w:t>
      </w:r>
    </w:p>
    <w:p>
      <w:pPr>
        <w:ind w:left="460" w:hanging="452"/>
        <w:spacing w:after="0"/>
        <w:tabs>
          <w:tab w:leader="none" w:pos="4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This security does not have a basis point spread above an index.</w:t>
      </w:r>
    </w:p>
    <w:p>
      <w:pPr>
        <w:ind w:left="460" w:hanging="452"/>
        <w:spacing w:after="0"/>
        <w:tabs>
          <w:tab w:leader="none" w:pos="460" w:val="left"/>
        </w:tabs>
        <w:numPr>
          <w:ilvl w:val="0"/>
          <w:numId w:val="48"/>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3"/>
          <w:szCs w:val="13"/>
          <w:color w:val="auto"/>
        </w:rPr>
        <w:t>69</w:t>
      </w:r>
    </w:p>
    <w:p>
      <w:pPr>
        <w:sectPr>
          <w:pgSz w:w="11900" w:h="16838" w:orient="portrait"/>
          <w:cols w:equalWidth="0" w:num="1">
            <w:col w:w="11060"/>
          </w:cols>
          <w:pgMar w:left="320" w:top="459" w:right="5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19"/>
        <w:spacing w:after="0"/>
        <w:rPr>
          <w:sz w:val="20"/>
          <w:szCs w:val="20"/>
          <w:color w:val="auto"/>
        </w:rPr>
      </w:pPr>
      <w:r>
        <w:rPr>
          <w:rFonts w:ascii="Arial" w:cs="Arial" w:eastAsia="Arial" w:hAnsi="Arial"/>
          <w:sz w:val="13"/>
          <w:szCs w:val="13"/>
          <w:b w:val="1"/>
          <w:bCs w:val="1"/>
          <w:color w:val="auto"/>
        </w:rPr>
        <w:t>SEPTEMBER 30, 2012</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2"/>
          <w:szCs w:val="12"/>
          <w:b w:val="1"/>
          <w:bCs w:val="1"/>
          <w:i w:val="1"/>
          <w:iCs w:val="1"/>
          <w:color w:val="auto"/>
        </w:rPr>
        <w:t>Except where the context suggests otherwise, the terms “we,” “us,” “our” and “PennantPark Investment” refer to PennantPark Investment Corporation and its consolidated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“SBIC LP” refers to our wholly owned, consolidated small business investment company, or SBIC, PennantPark SBIC LP.</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ORGANIZATION</w:t>
      </w:r>
    </w:p>
    <w:p>
      <w:pPr>
        <w:spacing w:after="0" w:line="82" w:lineRule="exact"/>
        <w:rPr>
          <w:sz w:val="20"/>
          <w:szCs w:val="20"/>
          <w:color w:val="auto"/>
        </w:rPr>
      </w:pPr>
    </w:p>
    <w:p>
      <w:pPr>
        <w:ind w:right="20" w:firstLine="786"/>
        <w:spacing w:after="0" w:line="250" w:lineRule="auto"/>
        <w:rPr>
          <w:sz w:val="20"/>
          <w:szCs w:val="20"/>
          <w:color w:val="auto"/>
        </w:rPr>
      </w:pPr>
      <w:r>
        <w:rPr>
          <w:rFonts w:ascii="Arial" w:cs="Arial" w:eastAsia="Arial" w:hAnsi="Arial"/>
          <w:sz w:val="13"/>
          <w:szCs w:val="13"/>
          <w:color w:val="auto"/>
        </w:rPr>
        <w:t>PennantPark Investment Corporation was organized as a Maryland corporation on January 11, 2007. PennantPark Investment is a closed-end, externally managed, non-diversified investment company that has elected to be treated as a business development company, or BDC, under the Investment Company Act of 1940, as amended, or the 1940 Act. PennantPark Investment’s objective is to generate both current income and capital appreciation through debt and equity investments. We invest primarily in U.S. middle-market companies in the form of senior secured loans, mezzanine debt and, to a lesser extent equity investments.</w:t>
      </w:r>
    </w:p>
    <w:p>
      <w:pPr>
        <w:spacing w:after="0" w:line="106"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On April 24, 2007, we closed our initial public offering and our common stock trades on the NASDAQ Global Select Market under the symbol “PNNT.” We completed our initial public offering of common stock in 2007 and issued 21.0 million shares raising $294.1 million in net proceeds. Since our initial public offering, we have sold 43.6 million shares of common stock through follow-on public offerings, resulting in net proceeds of $441.4 million. During the fiscal year September 30, 2012, we sold 19.4 million shares in follow-on public offerings, resulting in net proceeds of $198.9 million, after estimated offering costs. On September 28, 2012, we completed an offering of 9.0 million shares of common stock at a public offering price of $10.82 per share for gross proceeds of $97.4 million and net proceeds of $93.6 million after underwriting discounts and offering expenses. See Note 14.</w:t>
      </w:r>
    </w:p>
    <w:p>
      <w:pPr>
        <w:spacing w:after="0" w:line="108" w:lineRule="exact"/>
        <w:rPr>
          <w:sz w:val="20"/>
          <w:szCs w:val="20"/>
          <w:color w:val="auto"/>
        </w:rPr>
      </w:pPr>
    </w:p>
    <w:p>
      <w:pPr>
        <w:ind w:right="60" w:firstLine="562"/>
        <w:spacing w:after="0" w:line="288" w:lineRule="auto"/>
        <w:rPr>
          <w:sz w:val="20"/>
          <w:szCs w:val="20"/>
          <w:color w:val="auto"/>
        </w:rPr>
      </w:pPr>
      <w:r>
        <w:rPr>
          <w:rFonts w:ascii="Arial" w:cs="Arial" w:eastAsia="Arial" w:hAnsi="Arial"/>
          <w:sz w:val="12"/>
          <w:szCs w:val="12"/>
          <w:color w:val="auto"/>
        </w:rPr>
        <w:t>We are externally managed by PennantPark Investment Advisers. PennantPark Investment Administration provides the administrative services necessary for us to operate. PennantPark Investment, through the Investment Adviser, manages day-to-day operations of and provides investment advisory services to SBIC LP under a separate investment management agreement. PennantPark Investment, through the Administrator, also provides similar services to SBIC LP and our controlled affiliate SuttonPark Holdings, Inc. and its subsidiaries, or SPH, under separate administration agreements. See Note 3.</w:t>
      </w:r>
    </w:p>
    <w:p>
      <w:pPr>
        <w:spacing w:after="0" w:line="84" w:lineRule="exact"/>
        <w:rPr>
          <w:sz w:val="20"/>
          <w:szCs w:val="20"/>
          <w:color w:val="auto"/>
        </w:rPr>
      </w:pPr>
    </w:p>
    <w:p>
      <w:pPr>
        <w:ind w:right="60" w:firstLine="562"/>
        <w:spacing w:after="0" w:line="250" w:lineRule="auto"/>
        <w:rPr>
          <w:sz w:val="20"/>
          <w:szCs w:val="20"/>
          <w:color w:val="auto"/>
        </w:rPr>
      </w:pPr>
      <w:r>
        <w:rPr>
          <w:rFonts w:ascii="Arial" w:cs="Arial" w:eastAsia="Arial" w:hAnsi="Arial"/>
          <w:sz w:val="13"/>
          <w:szCs w:val="13"/>
          <w:color w:val="auto"/>
        </w:rPr>
        <w:t>SBIC LP and its general partner, SBIC GP, were organized in Delaware as a limited partnership and a limited liability company, respectively, in May 2010 and began operations in June 2010. SBIC LP received a license from the Small Business Administration, or SBA, to operate as an SBIC effective July 30, 2010 under Section 301(c) of the Small Business Investment Act of 1958, or the 1958 Act. Both SBIC LP and SBIC GP are consolidated wholly owned subsidiaries of PennantPark Investment. SBIC LP’s objective is to generate both current income and capital appreciation through debt and equity investments generally, investing with us in SBA eligible businesses that meet the investment criteria used by PennantPark Investment.</w:t>
      </w:r>
    </w:p>
    <w:p>
      <w:pPr>
        <w:spacing w:after="0" w:line="106" w:lineRule="exact"/>
        <w:rPr>
          <w:sz w:val="20"/>
          <w:szCs w:val="20"/>
          <w:color w:val="auto"/>
        </w:rPr>
      </w:pPr>
    </w:p>
    <w:p>
      <w:pPr>
        <w:jc w:val="both"/>
        <w:ind w:firstLine="562"/>
        <w:spacing w:after="0" w:line="256" w:lineRule="auto"/>
        <w:rPr>
          <w:sz w:val="20"/>
          <w:szCs w:val="20"/>
          <w:color w:val="auto"/>
        </w:rPr>
      </w:pPr>
      <w:r>
        <w:rPr>
          <w:rFonts w:ascii="Arial" w:cs="Arial" w:eastAsia="Arial" w:hAnsi="Arial"/>
          <w:sz w:val="13"/>
          <w:szCs w:val="13"/>
          <w:color w:val="auto"/>
        </w:rPr>
        <w:t>We have formed and expect to continue to form certain taxable subsidiaries, or the Taxable Subsidiaries, which are taxed as corporations for federal income tax purposes. These Taxable Subsidiaries allow us to hold portfolio companies organized as pass-through entities and satisfy the requirements of regulated investment companies, or RICs, under the Internal Revenue Code of 1986, as amended, or the Code.</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SIGNIFICANT ACCOUNTING POLICIES</w:t>
      </w:r>
    </w:p>
    <w:p>
      <w:pPr>
        <w:spacing w:after="0" w:line="82" w:lineRule="exact"/>
        <w:rPr>
          <w:sz w:val="20"/>
          <w:szCs w:val="20"/>
          <w:color w:val="auto"/>
        </w:rPr>
      </w:pPr>
    </w:p>
    <w:p>
      <w:pPr>
        <w:ind w:right="40" w:firstLine="562"/>
        <w:spacing w:after="0" w:line="278" w:lineRule="auto"/>
        <w:rPr>
          <w:sz w:val="20"/>
          <w:szCs w:val="20"/>
          <w:color w:val="auto"/>
        </w:rPr>
      </w:pPr>
      <w:r>
        <w:rPr>
          <w:rFonts w:ascii="Arial" w:cs="Arial" w:eastAsia="Arial" w:hAnsi="Arial"/>
          <w:sz w:val="12"/>
          <w:szCs w:val="12"/>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2"/>
          <w:szCs w:val="12"/>
          <w:color w:val="auto"/>
        </w:rPr>
        <w:t>Our Consolidated Financial Statements are prepared in accordance with GAAP and pursuant to the requirements for reporting on Form 10-K and Article 6 or 10 of Regulation S-X, as appropriate.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In accordance with Article 6-09 of Regulation S-X, we have provided a Consolidated Statement of Changes in Net Assets in lieu of a Consolidated Statement of Changes in Stockholders’ Equity.</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significant accounting policies consistently applied are as follows: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(a) Investment Valuations</w:t>
      </w:r>
    </w:p>
    <w:p>
      <w:pPr>
        <w:spacing w:after="0" w:line="80" w:lineRule="exact"/>
        <w:rPr>
          <w:sz w:val="20"/>
          <w:szCs w:val="20"/>
          <w:color w:val="auto"/>
        </w:rPr>
      </w:pPr>
    </w:p>
    <w:p>
      <w:pPr>
        <w:ind w:right="200" w:firstLine="562"/>
        <w:spacing w:after="0" w:line="274"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70</w:t>
      </w:r>
    </w:p>
    <w:p>
      <w:pPr>
        <w:sectPr>
          <w:pgSz w:w="11900" w:h="16838" w:orient="portrait"/>
          <w:cols w:equalWidth="0" w:num="1">
            <w:col w:w="11240"/>
          </w:cols>
          <w:pgMar w:left="32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19"/>
        <w:spacing w:after="0"/>
        <w:rPr>
          <w:sz w:val="20"/>
          <w:szCs w:val="20"/>
          <w:color w:val="auto"/>
        </w:rPr>
      </w:pPr>
      <w:r>
        <w:rPr>
          <w:rFonts w:ascii="Arial" w:cs="Arial" w:eastAsia="Arial" w:hAnsi="Arial"/>
          <w:sz w:val="13"/>
          <w:szCs w:val="13"/>
          <w:b w:val="1"/>
          <w:bCs w:val="1"/>
          <w:color w:val="auto"/>
        </w:rPr>
        <w:t>SEPTEMBER 30, 2012</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available, or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02" w:lineRule="exact"/>
        <w:rPr>
          <w:sz w:val="20"/>
          <w:szCs w:val="20"/>
          <w:color w:val="auto"/>
        </w:rPr>
      </w:pPr>
    </w:p>
    <w:p>
      <w:pPr>
        <w:ind w:right="20" w:firstLine="562"/>
        <w:spacing w:after="0" w:line="244" w:lineRule="auto"/>
        <w:rPr>
          <w:sz w:val="20"/>
          <w:szCs w:val="20"/>
          <w:color w:val="auto"/>
        </w:rPr>
      </w:pPr>
      <w:r>
        <w:rPr>
          <w:rFonts w:ascii="Arial" w:cs="Arial" w:eastAsia="Arial" w:hAnsi="Arial"/>
          <w:sz w:val="13"/>
          <w:szCs w:val="13"/>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300" w:firstLine="562"/>
        <w:spacing w:after="0" w:line="274" w:lineRule="auto"/>
        <w:rPr>
          <w:sz w:val="20"/>
          <w:szCs w:val="20"/>
          <w:color w:val="auto"/>
        </w:rPr>
      </w:pPr>
      <w:r>
        <w:rPr>
          <w:rFonts w:ascii="Arial" w:cs="Arial" w:eastAsia="Arial" w:hAnsi="Arial"/>
          <w:sz w:val="13"/>
          <w:szCs w:val="13"/>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4" w:lineRule="exact"/>
        <w:rPr>
          <w:sz w:val="20"/>
          <w:szCs w:val="20"/>
          <w:color w:val="auto"/>
        </w:rPr>
      </w:pPr>
    </w:p>
    <w:p>
      <w:pPr>
        <w:ind w:left="1000" w:right="360" w:hanging="547"/>
        <w:spacing w:after="0" w:line="274" w:lineRule="auto"/>
        <w:tabs>
          <w:tab w:leader="none" w:pos="1000" w:val="left"/>
        </w:tabs>
        <w:numPr>
          <w:ilvl w:val="1"/>
          <w:numId w:val="49"/>
        </w:numPr>
        <w:rPr>
          <w:rFonts w:ascii="Arial" w:cs="Arial" w:eastAsia="Arial" w:hAnsi="Arial"/>
          <w:sz w:val="13"/>
          <w:szCs w:val="13"/>
          <w:color w:val="auto"/>
        </w:rPr>
      </w:pPr>
      <w:r>
        <w:rPr>
          <w:rFonts w:ascii="Arial" w:cs="Arial" w:eastAsia="Arial" w:hAnsi="Arial"/>
          <w:sz w:val="13"/>
          <w:szCs w:val="13"/>
          <w:color w:val="auto"/>
        </w:rPr>
        <w:t>Our quarterly valuation process begins with each portfolio company or investment being initially valued by the investment professionals of our Investment Adviser responsible for the portfolio investment;</w:t>
      </w:r>
    </w:p>
    <w:p>
      <w:pPr>
        <w:spacing w:after="0" w:line="104" w:lineRule="exact"/>
        <w:rPr>
          <w:rFonts w:ascii="Arial" w:cs="Arial" w:eastAsia="Arial" w:hAnsi="Arial"/>
          <w:sz w:val="13"/>
          <w:szCs w:val="13"/>
          <w:color w:val="auto"/>
        </w:rPr>
      </w:pPr>
    </w:p>
    <w:p>
      <w:pPr>
        <w:ind w:left="1000" w:hanging="547"/>
        <w:spacing w:after="0"/>
        <w:tabs>
          <w:tab w:leader="none" w:pos="1000" w:val="left"/>
        </w:tabs>
        <w:numPr>
          <w:ilvl w:val="1"/>
          <w:numId w:val="49"/>
        </w:numPr>
        <w:rPr>
          <w:rFonts w:ascii="Arial" w:cs="Arial" w:eastAsia="Arial" w:hAnsi="Arial"/>
          <w:sz w:val="13"/>
          <w:szCs w:val="13"/>
          <w:color w:val="auto"/>
        </w:rPr>
      </w:pPr>
      <w:r>
        <w:rPr>
          <w:rFonts w:ascii="Arial" w:cs="Arial" w:eastAsia="Arial" w:hAnsi="Arial"/>
          <w:sz w:val="13"/>
          <w:szCs w:val="13"/>
          <w:color w:val="auto"/>
        </w:rPr>
        <w:t>Preliminary valuation conclusions are then documented and discussed with the management of our Investment Adviser;</w:t>
      </w:r>
    </w:p>
    <w:p>
      <w:pPr>
        <w:spacing w:after="0" w:line="147" w:lineRule="exact"/>
        <w:rPr>
          <w:rFonts w:ascii="Arial" w:cs="Arial" w:eastAsia="Arial" w:hAnsi="Arial"/>
          <w:sz w:val="13"/>
          <w:szCs w:val="13"/>
          <w:color w:val="auto"/>
        </w:rPr>
      </w:pPr>
    </w:p>
    <w:p>
      <w:pPr>
        <w:ind w:left="1000" w:right="200" w:hanging="547"/>
        <w:spacing w:after="0" w:line="256" w:lineRule="auto"/>
        <w:tabs>
          <w:tab w:leader="none" w:pos="1000" w:val="left"/>
        </w:tabs>
        <w:numPr>
          <w:ilvl w:val="1"/>
          <w:numId w:val="49"/>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15" w:lineRule="exact"/>
        <w:rPr>
          <w:rFonts w:ascii="Arial" w:cs="Arial" w:eastAsia="Arial" w:hAnsi="Arial"/>
          <w:sz w:val="13"/>
          <w:szCs w:val="13"/>
          <w:color w:val="auto"/>
        </w:rPr>
      </w:pPr>
    </w:p>
    <w:p>
      <w:pPr>
        <w:ind w:left="1000" w:right="80" w:hanging="547"/>
        <w:spacing w:after="0" w:line="274" w:lineRule="auto"/>
        <w:tabs>
          <w:tab w:leader="none" w:pos="1000" w:val="left"/>
        </w:tabs>
        <w:numPr>
          <w:ilvl w:val="1"/>
          <w:numId w:val="49"/>
        </w:numPr>
        <w:rPr>
          <w:rFonts w:ascii="Arial" w:cs="Arial" w:eastAsia="Arial" w:hAnsi="Arial"/>
          <w:sz w:val="13"/>
          <w:szCs w:val="13"/>
          <w:color w:val="auto"/>
        </w:rPr>
      </w:pPr>
      <w:r>
        <w:rPr>
          <w:rFonts w:ascii="Arial" w:cs="Arial" w:eastAsia="Arial" w:hAnsi="Arial"/>
          <w:sz w:val="13"/>
          <w:szCs w:val="13"/>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104" w:lineRule="exact"/>
        <w:rPr>
          <w:rFonts w:ascii="Arial" w:cs="Arial" w:eastAsia="Arial" w:hAnsi="Arial"/>
          <w:sz w:val="13"/>
          <w:szCs w:val="13"/>
          <w:color w:val="auto"/>
        </w:rPr>
      </w:pPr>
    </w:p>
    <w:p>
      <w:pPr>
        <w:ind w:left="1000" w:right="80" w:hanging="547"/>
        <w:spacing w:after="0" w:line="274" w:lineRule="auto"/>
        <w:tabs>
          <w:tab w:leader="none" w:pos="1000" w:val="left"/>
        </w:tabs>
        <w:numPr>
          <w:ilvl w:val="1"/>
          <w:numId w:val="49"/>
        </w:numPr>
        <w:rPr>
          <w:rFonts w:ascii="Arial" w:cs="Arial" w:eastAsia="Arial" w:hAnsi="Arial"/>
          <w:sz w:val="13"/>
          <w:szCs w:val="13"/>
          <w:color w:val="auto"/>
        </w:rPr>
      </w:pPr>
      <w:r>
        <w:rPr>
          <w:rFonts w:ascii="Arial" w:cs="Arial" w:eastAsia="Arial" w:hAnsi="Arial"/>
          <w:sz w:val="13"/>
          <w:szCs w:val="13"/>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44" w:lineRule="exact"/>
        <w:rPr>
          <w:rFonts w:ascii="Arial" w:cs="Arial" w:eastAsia="Arial" w:hAnsi="Arial"/>
          <w:sz w:val="13"/>
          <w:szCs w:val="13"/>
          <w:color w:val="auto"/>
        </w:rPr>
      </w:pPr>
    </w:p>
    <w:p>
      <w:pPr>
        <w:ind w:left="420" w:hanging="188"/>
        <w:spacing w:after="0"/>
        <w:tabs>
          <w:tab w:leader="none" w:pos="420" w:val="left"/>
        </w:tabs>
        <w:numPr>
          <w:ilvl w:val="0"/>
          <w:numId w:val="5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Security Transactions, Revenue Recognition, and Realized / Unrealized Gains or Losses</w:t>
      </w:r>
    </w:p>
    <w:p>
      <w:pPr>
        <w:spacing w:after="0" w:line="134" w:lineRule="exact"/>
        <w:rPr>
          <w:sz w:val="20"/>
          <w:szCs w:val="20"/>
          <w:color w:val="auto"/>
        </w:rPr>
      </w:pPr>
    </w:p>
    <w:p>
      <w:pPr>
        <w:ind w:right="120" w:firstLine="562"/>
        <w:spacing w:after="0" w:line="250"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investments and our senior secured revolving credit facility, or the Credit Facility, values during the reporting period, including any reversal of previously recorded unrealized appreciation or depreciation, when gains or losses are realized.</w:t>
      </w:r>
    </w:p>
    <w:p>
      <w:pPr>
        <w:spacing w:after="0" w:line="106" w:lineRule="exact"/>
        <w:rPr>
          <w:sz w:val="20"/>
          <w:szCs w:val="20"/>
          <w:color w:val="auto"/>
        </w:rPr>
      </w:pPr>
    </w:p>
    <w:p>
      <w:pPr>
        <w:ind w:right="40" w:firstLine="562"/>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are capitalized and we then accrete or amortize such amounts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93" w:lineRule="exact"/>
        <w:rPr>
          <w:sz w:val="20"/>
          <w:szCs w:val="20"/>
          <w:color w:val="auto"/>
        </w:rPr>
      </w:pPr>
    </w:p>
    <w:p>
      <w:pPr>
        <w:ind w:right="60" w:firstLine="562"/>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71</w:t>
      </w:r>
    </w:p>
    <w:p>
      <w:pPr>
        <w:sectPr>
          <w:pgSz w:w="11900" w:h="16838" w:orient="portrait"/>
          <w:cols w:equalWidth="0" w:num="1">
            <w:col w:w="11240"/>
          </w:cols>
          <w:pgMar w:left="32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19"/>
        <w:spacing w:after="0"/>
        <w:rPr>
          <w:sz w:val="20"/>
          <w:szCs w:val="20"/>
          <w:color w:val="auto"/>
        </w:rPr>
      </w:pPr>
      <w:r>
        <w:rPr>
          <w:rFonts w:ascii="Arial" w:cs="Arial" w:eastAsia="Arial" w:hAnsi="Arial"/>
          <w:sz w:val="13"/>
          <w:szCs w:val="13"/>
          <w:b w:val="1"/>
          <w:bCs w:val="1"/>
          <w:color w:val="auto"/>
        </w:rPr>
        <w:t>SEPTEMBER 30, 2012</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(c) Income Taxes</w:t>
      </w:r>
    </w:p>
    <w:p>
      <w:pPr>
        <w:spacing w:after="0" w:line="134" w:lineRule="exact"/>
        <w:rPr>
          <w:sz w:val="20"/>
          <w:szCs w:val="20"/>
          <w:color w:val="auto"/>
        </w:rPr>
      </w:pPr>
    </w:p>
    <w:p>
      <w:pPr>
        <w:ind w:right="120" w:firstLine="562"/>
        <w:spacing w:after="0" w:line="247" w:lineRule="auto"/>
        <w:rPr>
          <w:sz w:val="20"/>
          <w:szCs w:val="20"/>
          <w:color w:val="auto"/>
        </w:rPr>
      </w:pPr>
      <w:r>
        <w:rPr>
          <w:rFonts w:ascii="Arial" w:cs="Arial" w:eastAsia="Arial" w:hAnsi="Arial"/>
          <w:sz w:val="13"/>
          <w:szCs w:val="13"/>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pay an excise tax of $0.3 million, $0.2 million and $0.1 million for the fiscal years ended September 30, 2012, 2011 and 2010, respectively.</w:t>
      </w:r>
    </w:p>
    <w:p>
      <w:pPr>
        <w:spacing w:after="0" w:line="108" w:lineRule="exact"/>
        <w:rPr>
          <w:sz w:val="20"/>
          <w:szCs w:val="20"/>
          <w:color w:val="auto"/>
        </w:rPr>
      </w:pPr>
    </w:p>
    <w:p>
      <w:pPr>
        <w:ind w:right="120" w:firstLine="562"/>
        <w:spacing w:after="0" w:line="250" w:lineRule="auto"/>
        <w:rPr>
          <w:sz w:val="20"/>
          <w:szCs w:val="20"/>
          <w:color w:val="auto"/>
        </w:rPr>
      </w:pPr>
      <w:r>
        <w:rPr>
          <w:rFonts w:ascii="Arial" w:cs="Arial" w:eastAsia="Arial" w:hAnsi="Arial"/>
          <w:sz w:val="13"/>
          <w:szCs w:val="13"/>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2009 remain subject to examination by the Internal Revenue Service and the state department of revenue.</w:t>
      </w:r>
    </w:p>
    <w:p>
      <w:pPr>
        <w:spacing w:after="0" w:line="106" w:lineRule="exact"/>
        <w:rPr>
          <w:sz w:val="20"/>
          <w:szCs w:val="20"/>
          <w:color w:val="auto"/>
        </w:rPr>
      </w:pPr>
    </w:p>
    <w:p>
      <w:pPr>
        <w:ind w:right="100" w:firstLine="562"/>
        <w:spacing w:after="0" w:line="250"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(d) Dividends, Distributions, and Capital Transactions</w:t>
      </w:r>
    </w:p>
    <w:p>
      <w:pPr>
        <w:spacing w:after="0" w:line="134" w:lineRule="exact"/>
        <w:rPr>
          <w:sz w:val="20"/>
          <w:szCs w:val="20"/>
          <w:color w:val="auto"/>
        </w:rPr>
      </w:pPr>
    </w:p>
    <w:p>
      <w:pPr>
        <w:jc w:val="both"/>
        <w:ind w:right="240" w:firstLine="562"/>
        <w:spacing w:after="0" w:line="274" w:lineRule="auto"/>
        <w:rPr>
          <w:sz w:val="20"/>
          <w:szCs w:val="20"/>
          <w:color w:val="auto"/>
        </w:rPr>
      </w:pPr>
      <w:r>
        <w:rPr>
          <w:rFonts w:ascii="Arial" w:cs="Arial" w:eastAsia="Arial" w:hAnsi="Arial"/>
          <w:sz w:val="13"/>
          <w:szCs w:val="13"/>
          <w:color w:val="auto"/>
        </w:rPr>
        <w:t>Dividends and distributions to common stockholders are recorded on the ex-dividend date. The amount to be paid, if any, as a dividend or distributions determined by the board of directors each quarter and is generally based upon the earnings estimated by management. Net realized capital gains, if any, are distributed at least annually.</w:t>
      </w:r>
    </w:p>
    <w:p>
      <w:pPr>
        <w:spacing w:after="0" w:line="91" w:lineRule="exact"/>
        <w:rPr>
          <w:sz w:val="20"/>
          <w:szCs w:val="20"/>
          <w:color w:val="auto"/>
        </w:rPr>
      </w:pPr>
    </w:p>
    <w:p>
      <w:pPr>
        <w:ind w:right="100" w:firstLine="562"/>
        <w:spacing w:after="0" w:line="274" w:lineRule="auto"/>
        <w:rPr>
          <w:sz w:val="20"/>
          <w:szCs w:val="20"/>
          <w:color w:val="auto"/>
        </w:rPr>
      </w:pPr>
      <w:r>
        <w:rPr>
          <w:rFonts w:ascii="Arial" w:cs="Arial" w:eastAsia="Arial" w:hAnsi="Arial"/>
          <w:sz w:val="13"/>
          <w:szCs w:val="13"/>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(e) Consolidation</w:t>
      </w:r>
    </w:p>
    <w:p>
      <w:pPr>
        <w:spacing w:after="0" w:line="134" w:lineRule="exact"/>
        <w:rPr>
          <w:sz w:val="20"/>
          <w:szCs w:val="20"/>
          <w:color w:val="auto"/>
        </w:rPr>
      </w:pPr>
    </w:p>
    <w:p>
      <w:pPr>
        <w:jc w:val="both"/>
        <w:ind w:right="220" w:firstLine="562"/>
        <w:spacing w:after="0" w:line="256" w:lineRule="auto"/>
        <w:rPr>
          <w:sz w:val="20"/>
          <w:szCs w:val="20"/>
          <w:color w:val="auto"/>
        </w:rPr>
      </w:pPr>
      <w:r>
        <w:rPr>
          <w:rFonts w:ascii="Arial" w:cs="Arial" w:eastAsia="Arial" w:hAnsi="Arial"/>
          <w:sz w:val="13"/>
          <w:szCs w:val="13"/>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SBIC LP, SBIC GP and our Taxable Subsidiaries in our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AGREEMENTS</w:t>
      </w:r>
    </w:p>
    <w:p>
      <w:pPr>
        <w:spacing w:after="0" w:line="136" w:lineRule="exact"/>
        <w:rPr>
          <w:sz w:val="20"/>
          <w:szCs w:val="20"/>
          <w:color w:val="auto"/>
        </w:rPr>
      </w:pPr>
    </w:p>
    <w:p>
      <w:pPr>
        <w:ind w:right="100" w:firstLine="562"/>
        <w:spacing w:after="0" w:line="247" w:lineRule="auto"/>
        <w:rPr>
          <w:sz w:val="20"/>
          <w:szCs w:val="20"/>
          <w:color w:val="auto"/>
        </w:rPr>
      </w:pPr>
      <w:r>
        <w:rPr>
          <w:rFonts w:ascii="Arial" w:cs="Arial" w:eastAsia="Arial" w:hAnsi="Arial"/>
          <w:sz w:val="13"/>
          <w:szCs w:val="13"/>
          <w:color w:val="auto"/>
        </w:rPr>
        <w:t>PennantPark Investment’s Investment Management Agreement, with the Investment Adviser was re-approved by our board of directors, including a majority of our directors who are not interested persons of PennantPark Investment, in February 2012. Under the Investment Management Agreement, the Investment Adviser, subject to the overall supervision of PennantPark Investment’s board of directors, manages the day-to-day operations of and provides investment advisory services to PennantPark Investment. SBIC LP’s investment management agreement does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108"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The base management fee is calculated at an annual rate of 2.00% of our gross assets (net of temporary draws under our Credit Facility and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the fiscal years ended September 30, 2012, 2011 and 2010, the Investment Adviser earned base management fees of $17.5 million, $14.9 million and $11.6 million, respectively, from us.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incentive fee has two parts, as follows:</w:t>
      </w:r>
    </w:p>
    <w:p>
      <w:pPr>
        <w:spacing w:after="0" w:line="134" w:lineRule="exact"/>
        <w:rPr>
          <w:sz w:val="20"/>
          <w:szCs w:val="20"/>
          <w:color w:val="auto"/>
        </w:rPr>
      </w:pPr>
    </w:p>
    <w:p>
      <w:pPr>
        <w:ind w:right="200" w:firstLine="562"/>
        <w:spacing w:after="0" w:line="274"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72</w:t>
      </w:r>
    </w:p>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59"/>
        <w:spacing w:after="0"/>
        <w:rPr>
          <w:sz w:val="20"/>
          <w:szCs w:val="20"/>
          <w:color w:val="auto"/>
        </w:rPr>
      </w:pPr>
      <w:r>
        <w:rPr>
          <w:rFonts w:ascii="Arial" w:cs="Arial" w:eastAsia="Arial" w:hAnsi="Arial"/>
          <w:sz w:val="13"/>
          <w:szCs w:val="13"/>
          <w:b w:val="1"/>
          <w:bCs w:val="1"/>
          <w:color w:val="auto"/>
        </w:rPr>
        <w:t>SEPTEMBER 30, 2012</w:t>
      </w:r>
    </w:p>
    <w:p>
      <w:pPr>
        <w:spacing w:after="0" w:line="136" w:lineRule="exact"/>
        <w:rPr>
          <w:sz w:val="20"/>
          <w:szCs w:val="20"/>
          <w:color w:val="auto"/>
        </w:rPr>
      </w:pPr>
    </w:p>
    <w:p>
      <w:pPr>
        <w:ind w:right="60"/>
        <w:spacing w:after="0" w:line="264" w:lineRule="auto"/>
        <w:rPr>
          <w:sz w:val="20"/>
          <w:szCs w:val="20"/>
          <w:color w:val="auto"/>
        </w:rPr>
      </w:pPr>
      <w:r>
        <w:rPr>
          <w:rFonts w:ascii="Arial" w:cs="Arial" w:eastAsia="Arial" w:hAnsi="Arial"/>
          <w:sz w:val="12"/>
          <w:szCs w:val="12"/>
          <w:color w:val="auto"/>
        </w:rPr>
        <w:t>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applicable quarter. For the fiscal years ended September 30, 2012, 2011 and 2010, the Investment Adviser received an incentive fee of $14.2 million, $13.2 million and $8.0 million, respectively, from us.</w:t>
      </w:r>
    </w:p>
    <w:p>
      <w:pPr>
        <w:spacing w:after="0" w:line="102" w:lineRule="exact"/>
        <w:rPr>
          <w:sz w:val="20"/>
          <w:szCs w:val="20"/>
          <w:color w:val="auto"/>
        </w:rPr>
      </w:pPr>
    </w:p>
    <w:p>
      <w:pPr>
        <w:ind w:right="120" w:firstLine="562"/>
        <w:spacing w:after="0" w:line="278"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The performance based incentive fee on capital gains due to our Investment Adviser as calculated under the Investment Management Agreement (as described above) for the fiscal years ended September 30, 2012, 2011 and 2010, resulted in no accrual.</w:t>
      </w:r>
    </w:p>
    <w:p>
      <w:pPr>
        <w:spacing w:after="0" w:line="90" w:lineRule="exact"/>
        <w:rPr>
          <w:sz w:val="20"/>
          <w:szCs w:val="20"/>
          <w:color w:val="auto"/>
        </w:rPr>
      </w:pPr>
    </w:p>
    <w:p>
      <w:pPr>
        <w:ind w:firstLine="562"/>
        <w:spacing w:after="0" w:line="268"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2012, 2011 and 2010, our unrealized and realized capital gains did not exceed our cumulative realized and unrealized losses and resulted in no accrual under GAAP.</w:t>
      </w:r>
    </w:p>
    <w:p>
      <w:pPr>
        <w:spacing w:after="0" w:line="96" w:lineRule="exact"/>
        <w:rPr>
          <w:sz w:val="20"/>
          <w:szCs w:val="20"/>
          <w:color w:val="auto"/>
        </w:rPr>
      </w:pPr>
    </w:p>
    <w:p>
      <w:pPr>
        <w:ind w:right="60" w:firstLine="562"/>
        <w:spacing w:after="0" w:line="266" w:lineRule="auto"/>
        <w:rPr>
          <w:sz w:val="20"/>
          <w:szCs w:val="20"/>
          <w:color w:val="auto"/>
        </w:rPr>
      </w:pPr>
      <w:r>
        <w:rPr>
          <w:rFonts w:ascii="Arial" w:cs="Arial" w:eastAsia="Arial" w:hAnsi="Arial"/>
          <w:sz w:val="12"/>
          <w:szCs w:val="12"/>
          <w:color w:val="auto"/>
        </w:rPr>
        <w:t>PennantPark Investment’s Administration Agreement with the Administrator was reapproved by our board of directors, including a majority of our directors who are not interested persons of PennantPark Investment, in February 2012. Under the Administration Agreement, PennantPark Investment Administration provides administrative services for PennantPark Investment. The Administrator provides similar services to SBIC LP under its administration agreement with PennantPark Investment. For providing these services, facilities and personnel, PennantPark Investment reimburses the Administrator for its allocable portion of overhead and other expenses incurred by the Administrator in performing its obligations under the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fiscal years ended September 30, 2012, 2011 and 2010, the Investment Adviser and Administrator, collectively, were reimbursed $3.6 million, $2.6 million and $2.1 million, respectively, from us, including expenses it incurred on behalf of the Administrator, for services described above.</w:t>
      </w:r>
    </w:p>
    <w:p>
      <w:pPr>
        <w:spacing w:after="0" w:line="99" w:lineRule="exact"/>
        <w:rPr>
          <w:sz w:val="20"/>
          <w:szCs w:val="20"/>
          <w:color w:val="auto"/>
        </w:rPr>
      </w:pPr>
    </w:p>
    <w:p>
      <w:pPr>
        <w:ind w:right="40" w:firstLine="562"/>
        <w:spacing w:after="0" w:line="270" w:lineRule="auto"/>
        <w:rPr>
          <w:sz w:val="20"/>
          <w:szCs w:val="20"/>
          <w:color w:val="auto"/>
        </w:rPr>
      </w:pPr>
      <w:r>
        <w:rPr>
          <w:rFonts w:ascii="Arial" w:cs="Arial" w:eastAsia="Arial" w:hAnsi="Arial"/>
          <w:sz w:val="12"/>
          <w:szCs w:val="12"/>
          <w:color w:val="auto"/>
        </w:rPr>
        <w:t>PennantPark Investment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respective staffs. For the fiscal years ended September 30, 2012, 2011 and 2010, PennantPark Investment was reimbursed $0.7 million, $0.5 million and $0.1 million, respectively, for the services described above.</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73</w:t>
      </w:r>
    </w:p>
    <w:p>
      <w:pPr>
        <w:sectPr>
          <w:pgSz w:w="11900" w:h="16838" w:orient="portrait"/>
          <w:cols w:equalWidth="0" w:num="1">
            <w:col w:w="11200"/>
          </w:cols>
          <w:pgMar w:left="320" w:top="459" w:right="3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79"/>
        <w:spacing w:after="0"/>
        <w:rPr>
          <w:sz w:val="20"/>
          <w:szCs w:val="20"/>
          <w:color w:val="auto"/>
        </w:rPr>
      </w:pPr>
      <w:r>
        <w:rPr>
          <w:rFonts w:ascii="Arial" w:cs="Arial" w:eastAsia="Arial" w:hAnsi="Arial"/>
          <w:sz w:val="13"/>
          <w:szCs w:val="13"/>
          <w:b w:val="1"/>
          <w:bCs w:val="1"/>
          <w:color w:val="auto"/>
        </w:rPr>
        <w:t>SEPTEMBER 30, 2012</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INVESTMENTS</w:t>
      </w:r>
    </w:p>
    <w:p>
      <w:pPr>
        <w:spacing w:after="0" w:line="136"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Purchases of long-term investments, including PIK, for the fiscal years ended September 30, 2012, 2011 and 2010 totaled $337.3 million, $490.6 million and $315.8 million, respectively. Sales and repayments of long-term investments for the fiscal years ended September 30, 2012, 2011 and 2010 totaled $201.7 million, $304.0 million and $145.2 million, respectively.</w:t>
      </w:r>
    </w:p>
    <w:p>
      <w:pPr>
        <w:spacing w:after="0" w:line="91"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4320" w:type="dxa"/>
            <w:vAlign w:val="bottom"/>
          </w:tcPr>
          <w:p>
            <w:pPr>
              <w:ind w:left="680"/>
              <w:spacing w:after="0"/>
              <w:rPr>
                <w:sz w:val="20"/>
                <w:szCs w:val="20"/>
                <w:color w:val="auto"/>
              </w:rPr>
            </w:pPr>
            <w:r>
              <w:rPr>
                <w:rFonts w:ascii="Arial" w:cs="Arial" w:eastAsia="Arial" w:hAnsi="Arial"/>
                <w:sz w:val="13"/>
                <w:szCs w:val="13"/>
                <w:color w:val="auto"/>
              </w:rPr>
              <w:t>Investments and cash equivalents consisted of the following: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84"/>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4"/>
          </w:tcPr>
          <w:p>
            <w:pPr>
              <w:jc w:val="right"/>
              <w:ind w:right="773"/>
              <w:spacing w:after="0"/>
              <w:rPr>
                <w:sz w:val="20"/>
                <w:szCs w:val="20"/>
                <w:color w:val="auto"/>
              </w:rPr>
            </w:pPr>
            <w:r>
              <w:rPr>
                <w:rFonts w:ascii="Arial" w:cs="Arial" w:eastAsia="Arial" w:hAnsi="Arial"/>
                <w:sz w:val="13"/>
                <w:szCs w:val="13"/>
                <w:b w:val="1"/>
                <w:bCs w:val="1"/>
                <w:color w:val="auto"/>
              </w:rPr>
              <w:t>September 30, 2012</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5"/>
          </w:tcPr>
          <w:p>
            <w:pPr>
              <w:ind w:left="520"/>
              <w:spacing w:after="0"/>
              <w:rPr>
                <w:sz w:val="20"/>
                <w:szCs w:val="20"/>
                <w:color w:val="auto"/>
              </w:rPr>
            </w:pPr>
            <w:r>
              <w:rPr>
                <w:rFonts w:ascii="Arial" w:cs="Arial" w:eastAsia="Arial" w:hAnsi="Arial"/>
                <w:sz w:val="13"/>
                <w:szCs w:val="13"/>
                <w:b w:val="1"/>
                <w:bCs w:val="1"/>
                <w:color w:val="auto"/>
              </w:rPr>
              <w:t>September 30, 2011</w:t>
            </w:r>
          </w:p>
        </w:tc>
      </w:tr>
      <w:tr>
        <w:trPr>
          <w:trHeight w:val="142"/>
        </w:trPr>
        <w:tc>
          <w:tcPr>
            <w:tcW w:w="4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Arial" w:cs="Arial" w:eastAsia="Arial" w:hAnsi="Arial"/>
                <w:sz w:val="13"/>
                <w:szCs w:val="13"/>
                <w:b w:val="1"/>
                <w:bCs w:val="1"/>
                <w:color w:val="auto"/>
              </w:rPr>
              <w:t>Cost</w:t>
            </w:r>
          </w:p>
        </w:tc>
        <w:tc>
          <w:tcPr>
            <w:tcW w:w="5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Fair Value</w:t>
            </w:r>
          </w:p>
        </w:tc>
        <w:tc>
          <w:tcPr>
            <w:tcW w:w="4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3"/>
                <w:szCs w:val="13"/>
                <w:b w:val="1"/>
                <w:bCs w:val="1"/>
                <w:color w:val="auto"/>
              </w:rPr>
              <w:t>Cost</w:t>
            </w:r>
          </w:p>
        </w:tc>
        <w:tc>
          <w:tcPr>
            <w:tcW w:w="4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Fair Value</w:t>
            </w:r>
          </w:p>
        </w:tc>
        <w:tc>
          <w:tcPr>
            <w:tcW w:w="100" w:type="dxa"/>
            <w:vAlign w:val="bottom"/>
            <w:tcBorders>
              <w:bottom w:val="single" w:sz="8" w:color="CCEEFF"/>
            </w:tcBorders>
          </w:tcPr>
          <w:p>
            <w:pPr>
              <w:spacing w:after="0"/>
              <w:rPr>
                <w:sz w:val="12"/>
                <w:szCs w:val="12"/>
                <w:color w:val="auto"/>
              </w:rPr>
            </w:pPr>
          </w:p>
        </w:tc>
      </w:tr>
      <w:tr>
        <w:trPr>
          <w:trHeight w:val="142"/>
        </w:trPr>
        <w:tc>
          <w:tcPr>
            <w:tcW w:w="43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First lien</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58"/>
              <w:spacing w:after="0"/>
              <w:rPr>
                <w:sz w:val="20"/>
                <w:szCs w:val="20"/>
                <w:color w:val="auto"/>
              </w:rPr>
            </w:pPr>
            <w:r>
              <w:rPr>
                <w:rFonts w:ascii="Arial" w:cs="Arial" w:eastAsia="Arial" w:hAnsi="Arial"/>
                <w:sz w:val="4"/>
                <w:szCs w:val="4"/>
                <w:color w:val="auto"/>
                <w:w w:val="87"/>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289,964,255</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291,677,553</w:t>
            </w: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305,608,989</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296,488,131</w:t>
            </w:r>
          </w:p>
        </w:tc>
        <w:tc>
          <w:tcPr>
            <w:tcW w:w="100" w:type="dxa"/>
            <w:vAlign w:val="bottom"/>
            <w:shd w:val="clear" w:color="auto" w:fill="CCEEFF"/>
          </w:tcPr>
          <w:p>
            <w:pPr>
              <w:spacing w:after="0"/>
              <w:rPr>
                <w:sz w:val="12"/>
                <w:szCs w:val="12"/>
                <w:color w:val="auto"/>
              </w:rPr>
            </w:pPr>
          </w:p>
        </w:tc>
      </w:tr>
      <w:tr>
        <w:trPr>
          <w:trHeight w:val="149"/>
        </w:trPr>
        <w:tc>
          <w:tcPr>
            <w:tcW w:w="4320" w:type="dxa"/>
            <w:vAlign w:val="bottom"/>
          </w:tcPr>
          <w:p>
            <w:pPr>
              <w:spacing w:after="0"/>
              <w:rPr>
                <w:sz w:val="20"/>
                <w:szCs w:val="20"/>
                <w:color w:val="auto"/>
              </w:rPr>
            </w:pPr>
            <w:r>
              <w:rPr>
                <w:rFonts w:ascii="Arial" w:cs="Arial" w:eastAsia="Arial" w:hAnsi="Arial"/>
                <w:sz w:val="13"/>
                <w:szCs w:val="13"/>
                <w:color w:val="auto"/>
              </w:rPr>
              <w:t>Second lien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208,454,615</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191,339,241</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189,962,828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165,272,201</w:t>
            </w:r>
          </w:p>
        </w:tc>
        <w:tc>
          <w:tcPr>
            <w:tcW w:w="100" w:type="dxa"/>
            <w:vAlign w:val="bottom"/>
          </w:tcPr>
          <w:p>
            <w:pPr>
              <w:spacing w:after="0"/>
              <w:rPr>
                <w:sz w:val="12"/>
                <w:szCs w:val="12"/>
                <w:color w:val="auto"/>
              </w:rPr>
            </w:pPr>
          </w:p>
        </w:tc>
      </w:tr>
      <w:tr>
        <w:trPr>
          <w:trHeight w:val="148"/>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Subordinated debt / corporate notes</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404,507,916</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400,682,637</w:t>
            </w: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325,318,958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309,329,169</w:t>
            </w:r>
          </w:p>
        </w:tc>
        <w:tc>
          <w:tcPr>
            <w:tcW w:w="100" w:type="dxa"/>
            <w:vAlign w:val="bottom"/>
            <w:shd w:val="clear" w:color="auto" w:fill="CCEEFF"/>
          </w:tcPr>
          <w:p>
            <w:pPr>
              <w:spacing w:after="0"/>
              <w:rPr>
                <w:sz w:val="12"/>
                <w:szCs w:val="12"/>
                <w:color w:val="auto"/>
              </w:rPr>
            </w:pPr>
          </w:p>
        </w:tc>
      </w:tr>
      <w:tr>
        <w:trPr>
          <w:trHeight w:val="148"/>
        </w:trPr>
        <w:tc>
          <w:tcPr>
            <w:tcW w:w="4320" w:type="dxa"/>
            <w:vAlign w:val="bottom"/>
          </w:tcPr>
          <w:p>
            <w:pPr>
              <w:spacing w:after="0"/>
              <w:rPr>
                <w:sz w:val="20"/>
                <w:szCs w:val="20"/>
                <w:color w:val="auto"/>
              </w:rPr>
            </w:pPr>
            <w:r>
              <w:rPr>
                <w:rFonts w:ascii="Arial" w:cs="Arial" w:eastAsia="Arial" w:hAnsi="Arial"/>
                <w:sz w:val="13"/>
                <w:szCs w:val="13"/>
                <w:color w:val="auto"/>
              </w:rPr>
              <w:t>Preferred equity</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49,222,034</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19,634,989</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12,268,187</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9,762,932</w:t>
            </w:r>
          </w:p>
        </w:tc>
        <w:tc>
          <w:tcPr>
            <w:tcW w:w="100" w:type="dxa"/>
            <w:vAlign w:val="bottom"/>
          </w:tcPr>
          <w:p>
            <w:pPr>
              <w:spacing w:after="0"/>
              <w:rPr>
                <w:sz w:val="12"/>
                <w:szCs w:val="12"/>
                <w:color w:val="auto"/>
              </w:rPr>
            </w:pPr>
          </w:p>
        </w:tc>
      </w:tr>
      <w:tr>
        <w:trPr>
          <w:trHeight w:val="148"/>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Common equity</w:t>
            </w: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56,463,042</w:t>
            </w:r>
          </w:p>
        </w:tc>
        <w:tc>
          <w:tcPr>
            <w:tcW w:w="5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87,145,290</w:t>
            </w:r>
          </w:p>
        </w:tc>
        <w:tc>
          <w:tcPr>
            <w:tcW w:w="4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33,163,874</w:t>
            </w:r>
          </w:p>
        </w:tc>
        <w:tc>
          <w:tcPr>
            <w:tcW w:w="4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46,696,082</w:t>
            </w:r>
          </w:p>
        </w:tc>
        <w:tc>
          <w:tcPr>
            <w:tcW w:w="100" w:type="dxa"/>
            <w:vAlign w:val="bottom"/>
            <w:shd w:val="clear" w:color="auto" w:fill="CCEEFF"/>
          </w:tcPr>
          <w:p>
            <w:pPr>
              <w:spacing w:after="0"/>
              <w:rPr>
                <w:sz w:val="12"/>
                <w:szCs w:val="12"/>
                <w:color w:val="auto"/>
              </w:rPr>
            </w:pPr>
          </w:p>
        </w:tc>
      </w:tr>
      <w:tr>
        <w:trPr>
          <w:trHeight w:val="156"/>
        </w:trPr>
        <w:tc>
          <w:tcPr>
            <w:tcW w:w="4320" w:type="dxa"/>
            <w:vAlign w:val="bottom"/>
          </w:tcPr>
          <w:p>
            <w:pPr>
              <w:spacing w:after="0"/>
              <w:rPr>
                <w:sz w:val="20"/>
                <w:szCs w:val="20"/>
                <w:color w:val="auto"/>
              </w:rPr>
            </w:pPr>
            <w:r>
              <w:rPr>
                <w:rFonts w:ascii="Arial" w:cs="Arial" w:eastAsia="Arial" w:hAnsi="Arial"/>
                <w:sz w:val="13"/>
                <w:szCs w:val="13"/>
                <w:color w:val="auto"/>
              </w:rPr>
              <w:t>Total investments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1,008,611,862</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990,479,710</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866,322,836</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827,548,515</w:t>
            </w:r>
          </w:p>
        </w:tc>
        <w:tc>
          <w:tcPr>
            <w:tcW w:w="100" w:type="dxa"/>
            <w:vAlign w:val="bottom"/>
          </w:tcPr>
          <w:p>
            <w:pPr>
              <w:spacing w:after="0"/>
              <w:rPr>
                <w:sz w:val="13"/>
                <w:szCs w:val="13"/>
                <w:color w:val="auto"/>
              </w:rPr>
            </w:pPr>
          </w:p>
        </w:tc>
      </w:tr>
      <w:tr>
        <w:trPr>
          <w:trHeight w:val="148"/>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Cash equivalents</w:t>
            </w: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7,559,453</w:t>
            </w:r>
          </w:p>
        </w:tc>
        <w:tc>
          <w:tcPr>
            <w:tcW w:w="5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7,559,453</w:t>
            </w:r>
          </w:p>
        </w:tc>
        <w:tc>
          <w:tcPr>
            <w:tcW w:w="4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71,604,519</w:t>
            </w:r>
          </w:p>
        </w:tc>
        <w:tc>
          <w:tcPr>
            <w:tcW w:w="4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71,604,519</w:t>
            </w:r>
          </w:p>
        </w:tc>
        <w:tc>
          <w:tcPr>
            <w:tcW w:w="100" w:type="dxa"/>
            <w:vAlign w:val="bottom"/>
            <w:shd w:val="clear" w:color="auto" w:fill="CCEEFF"/>
          </w:tcPr>
          <w:p>
            <w:pPr>
              <w:spacing w:after="0"/>
              <w:rPr>
                <w:sz w:val="12"/>
                <w:szCs w:val="12"/>
                <w:color w:val="auto"/>
              </w:rPr>
            </w:pPr>
          </w:p>
        </w:tc>
      </w:tr>
      <w:tr>
        <w:trPr>
          <w:trHeight w:val="156"/>
        </w:trPr>
        <w:tc>
          <w:tcPr>
            <w:tcW w:w="4320" w:type="dxa"/>
            <w:vAlign w:val="bottom"/>
          </w:tcPr>
          <w:p>
            <w:pPr>
              <w:spacing w:after="0"/>
              <w:rPr>
                <w:sz w:val="20"/>
                <w:szCs w:val="20"/>
                <w:color w:val="auto"/>
              </w:rPr>
            </w:pPr>
            <w:r>
              <w:rPr>
                <w:rFonts w:ascii="Arial" w:cs="Arial" w:eastAsia="Arial" w:hAnsi="Arial"/>
                <w:sz w:val="13"/>
                <w:szCs w:val="13"/>
                <w:color w:val="auto"/>
              </w:rPr>
              <w:t>Total investments and cash equivalents</w:t>
            </w:r>
          </w:p>
        </w:tc>
        <w:tc>
          <w:tcPr>
            <w:tcW w:w="240" w:type="dxa"/>
            <w:vAlign w:val="bottom"/>
            <w:gridSpan w:val="2"/>
          </w:tcPr>
          <w:p>
            <w:pPr>
              <w:jc w:val="right"/>
              <w:ind w:right="158"/>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1,016,171,315</w:t>
            </w:r>
          </w:p>
        </w:tc>
        <w:tc>
          <w:tcPr>
            <w:tcW w:w="64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998,039,163</w:t>
            </w:r>
          </w:p>
        </w:tc>
        <w:tc>
          <w:tcPr>
            <w:tcW w:w="72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937,927,355</w:t>
            </w:r>
          </w:p>
        </w:tc>
        <w:tc>
          <w:tcPr>
            <w:tcW w:w="64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899,153,034</w:t>
            </w:r>
          </w:p>
        </w:tc>
        <w:tc>
          <w:tcPr>
            <w:tcW w:w="100" w:type="dxa"/>
            <w:vAlign w:val="bottom"/>
          </w:tcPr>
          <w:p>
            <w:pPr>
              <w:spacing w:after="0"/>
              <w:rPr>
                <w:sz w:val="13"/>
                <w:szCs w:val="13"/>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8" w:lineRule="exact"/>
        <w:rPr>
          <w:sz w:val="20"/>
          <w:szCs w:val="20"/>
          <w:color w:val="auto"/>
        </w:rPr>
      </w:pPr>
    </w:p>
    <w:p>
      <w:pPr>
        <w:ind w:left="560"/>
        <w:spacing w:after="0"/>
        <w:rPr>
          <w:sz w:val="20"/>
          <w:szCs w:val="20"/>
          <w:color w:val="auto"/>
        </w:rPr>
      </w:pPr>
      <w:r>
        <w:rPr>
          <w:rFonts w:ascii="Arial" w:cs="Arial" w:eastAsia="Arial" w:hAnsi="Arial"/>
          <w:sz w:val="12"/>
          <w:szCs w:val="12"/>
          <w:color w:val="auto"/>
        </w:rPr>
        <w:t>The table below describes investments by industry classification and enumerates the percentage, by fair value, of the total portfolio assets (excluding cash equivalents) in such industries as of</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September 30,:</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60" w:type="dxa"/>
            <w:vAlign w:val="bottom"/>
            <w:gridSpan w:val="2"/>
          </w:tcPr>
          <w:p>
            <w:pPr>
              <w:spacing w:after="0"/>
              <w:rPr>
                <w:sz w:val="20"/>
                <w:szCs w:val="20"/>
                <w:color w:val="auto"/>
              </w:rPr>
            </w:pPr>
            <w:r>
              <w:rPr>
                <w:rFonts w:ascii="Arial" w:cs="Arial" w:eastAsia="Arial" w:hAnsi="Arial"/>
                <w:sz w:val="13"/>
                <w:szCs w:val="13"/>
                <w:b w:val="1"/>
                <w:bCs w:val="1"/>
                <w:color w:val="auto"/>
              </w:rPr>
              <w:t>Industry Classification</w:t>
            </w:r>
          </w:p>
        </w:tc>
        <w:tc>
          <w:tcPr>
            <w:tcW w:w="37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2012</w:t>
            </w:r>
          </w:p>
        </w:tc>
        <w:tc>
          <w:tcPr>
            <w:tcW w:w="12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96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Healthcare, Education and Childcare</w:t>
            </w:r>
          </w:p>
        </w:tc>
        <w:tc>
          <w:tcPr>
            <w:tcW w:w="348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right"/>
              <w:ind w:right="1180"/>
              <w:spacing w:after="0" w:line="136" w:lineRule="exact"/>
              <w:rPr>
                <w:sz w:val="20"/>
                <w:szCs w:val="20"/>
                <w:color w:val="auto"/>
              </w:rPr>
            </w:pPr>
            <w:r>
              <w:rPr>
                <w:rFonts w:ascii="Arial" w:cs="Arial" w:eastAsia="Arial" w:hAnsi="Arial"/>
                <w:sz w:val="13"/>
                <w:szCs w:val="13"/>
                <w:color w:val="auto"/>
              </w:rPr>
              <w:t>8%</w:t>
            </w: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rPr>
                <w:sz w:val="20"/>
                <w:szCs w:val="20"/>
                <w:color w:val="auto"/>
              </w:rPr>
            </w:pPr>
            <w:r>
              <w:rPr>
                <w:rFonts w:ascii="Arial" w:cs="Arial" w:eastAsia="Arial" w:hAnsi="Arial"/>
                <w:sz w:val="13"/>
                <w:szCs w:val="13"/>
                <w:color w:val="auto"/>
              </w:rPr>
              <w:t>Electronics</w:t>
            </w:r>
          </w:p>
        </w:tc>
        <w:tc>
          <w:tcPr>
            <w:tcW w:w="3760" w:type="dxa"/>
            <w:vAlign w:val="bottom"/>
            <w:gridSpan w:val="2"/>
          </w:tcPr>
          <w:p>
            <w:pPr>
              <w:jc w:val="right"/>
              <w:spacing w:after="0"/>
              <w:rPr>
                <w:sz w:val="20"/>
                <w:szCs w:val="20"/>
                <w:color w:val="auto"/>
              </w:rPr>
            </w:pPr>
            <w:r>
              <w:rPr>
                <w:rFonts w:ascii="Arial" w:cs="Arial" w:eastAsia="Arial" w:hAnsi="Arial"/>
                <w:sz w:val="13"/>
                <w:szCs w:val="13"/>
                <w:color w:val="auto"/>
              </w:rPr>
              <w:t>7</w:t>
            </w:r>
          </w:p>
        </w:tc>
        <w:tc>
          <w:tcPr>
            <w:tcW w:w="128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Energy/Utilities</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rPr>
                <w:sz w:val="20"/>
                <w:szCs w:val="20"/>
                <w:color w:val="auto"/>
              </w:rPr>
            </w:pPr>
            <w:r>
              <w:rPr>
                <w:rFonts w:ascii="Arial" w:cs="Arial" w:eastAsia="Arial" w:hAnsi="Arial"/>
                <w:sz w:val="13"/>
                <w:szCs w:val="13"/>
                <w:color w:val="auto"/>
              </w:rPr>
              <w:t>Auto Sector</w:t>
            </w:r>
          </w:p>
        </w:tc>
        <w:tc>
          <w:tcPr>
            <w:tcW w:w="376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128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Business Services</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rPr>
                <w:sz w:val="20"/>
                <w:szCs w:val="20"/>
                <w:color w:val="auto"/>
              </w:rPr>
            </w:pPr>
            <w:r>
              <w:rPr>
                <w:rFonts w:ascii="Arial" w:cs="Arial" w:eastAsia="Arial" w:hAnsi="Arial"/>
                <w:sz w:val="13"/>
                <w:szCs w:val="13"/>
                <w:color w:val="auto"/>
              </w:rPr>
              <w:t>Cargo Transport</w:t>
            </w:r>
          </w:p>
        </w:tc>
        <w:tc>
          <w:tcPr>
            <w:tcW w:w="376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128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Chemicals, Plastics and Rubber</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rPr>
                <w:sz w:val="20"/>
                <w:szCs w:val="20"/>
                <w:color w:val="auto"/>
              </w:rPr>
            </w:pPr>
            <w:r>
              <w:rPr>
                <w:rFonts w:ascii="Arial" w:cs="Arial" w:eastAsia="Arial" w:hAnsi="Arial"/>
                <w:sz w:val="13"/>
                <w:szCs w:val="13"/>
                <w:color w:val="auto"/>
              </w:rPr>
              <w:t>Consumer Products</w:t>
            </w:r>
          </w:p>
        </w:tc>
        <w:tc>
          <w:tcPr>
            <w:tcW w:w="376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128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Distribution</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rPr>
                <w:sz w:val="20"/>
                <w:szCs w:val="20"/>
                <w:color w:val="auto"/>
              </w:rPr>
            </w:pPr>
            <w:r>
              <w:rPr>
                <w:rFonts w:ascii="Arial" w:cs="Arial" w:eastAsia="Arial" w:hAnsi="Arial"/>
                <w:sz w:val="13"/>
                <w:szCs w:val="13"/>
                <w:color w:val="auto"/>
              </w:rPr>
              <w:t>Personal, Food and Miscellaneous Services</w:t>
            </w:r>
          </w:p>
        </w:tc>
        <w:tc>
          <w:tcPr>
            <w:tcW w:w="376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128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Printing and Publishing</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rPr>
                <w:sz w:val="20"/>
                <w:szCs w:val="20"/>
                <w:color w:val="auto"/>
              </w:rPr>
            </w:pPr>
            <w:r>
              <w:rPr>
                <w:rFonts w:ascii="Arial" w:cs="Arial" w:eastAsia="Arial" w:hAnsi="Arial"/>
                <w:sz w:val="13"/>
                <w:szCs w:val="13"/>
                <w:color w:val="auto"/>
              </w:rPr>
              <w:t>Other Media</w:t>
            </w:r>
          </w:p>
        </w:tc>
        <w:tc>
          <w:tcPr>
            <w:tcW w:w="376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128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Communication</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rPr>
                <w:sz w:val="20"/>
                <w:szCs w:val="20"/>
                <w:color w:val="auto"/>
              </w:rPr>
            </w:pPr>
            <w:r>
              <w:rPr>
                <w:rFonts w:ascii="Arial" w:cs="Arial" w:eastAsia="Arial" w:hAnsi="Arial"/>
                <w:sz w:val="13"/>
                <w:szCs w:val="13"/>
                <w:color w:val="auto"/>
              </w:rPr>
              <w:t>Diversified Natural Resources, Precious Metals and Minerals</w:t>
            </w:r>
          </w:p>
        </w:tc>
        <w:tc>
          <w:tcPr>
            <w:tcW w:w="376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128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Education</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rPr>
                <w:sz w:val="20"/>
                <w:szCs w:val="20"/>
                <w:color w:val="auto"/>
              </w:rPr>
            </w:pPr>
            <w:r>
              <w:rPr>
                <w:rFonts w:ascii="Arial" w:cs="Arial" w:eastAsia="Arial" w:hAnsi="Arial"/>
                <w:sz w:val="13"/>
                <w:szCs w:val="13"/>
                <w:color w:val="auto"/>
              </w:rPr>
              <w:t>Mining, Steel, Iron and Non-Precious Metals</w:t>
            </w:r>
          </w:p>
        </w:tc>
        <w:tc>
          <w:tcPr>
            <w:tcW w:w="376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128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Oil and Gas</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rPr>
                <w:sz w:val="20"/>
                <w:szCs w:val="20"/>
                <w:color w:val="auto"/>
              </w:rPr>
            </w:pPr>
            <w:r>
              <w:rPr>
                <w:rFonts w:ascii="Arial" w:cs="Arial" w:eastAsia="Arial" w:hAnsi="Arial"/>
                <w:sz w:val="13"/>
                <w:szCs w:val="13"/>
                <w:color w:val="auto"/>
              </w:rPr>
              <w:t>Aerospace and Defense</w:t>
            </w:r>
          </w:p>
        </w:tc>
        <w:tc>
          <w:tcPr>
            <w:tcW w:w="376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28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Beverage, Food and Tobacco</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rPr>
                <w:sz w:val="20"/>
                <w:szCs w:val="20"/>
                <w:color w:val="auto"/>
              </w:rPr>
            </w:pPr>
            <w:r>
              <w:rPr>
                <w:rFonts w:ascii="Arial" w:cs="Arial" w:eastAsia="Arial" w:hAnsi="Arial"/>
                <w:sz w:val="13"/>
                <w:szCs w:val="13"/>
                <w:color w:val="auto"/>
              </w:rPr>
              <w:t>Buildings and Real Estate</w:t>
            </w:r>
          </w:p>
        </w:tc>
        <w:tc>
          <w:tcPr>
            <w:tcW w:w="376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28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Environmental Services</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rPr>
                <w:sz w:val="20"/>
                <w:szCs w:val="20"/>
                <w:color w:val="auto"/>
              </w:rPr>
            </w:pPr>
            <w:r>
              <w:rPr>
                <w:rFonts w:ascii="Arial" w:cs="Arial" w:eastAsia="Arial" w:hAnsi="Arial"/>
                <w:sz w:val="13"/>
                <w:szCs w:val="13"/>
                <w:color w:val="auto"/>
              </w:rPr>
              <w:t>Financial Services</w:t>
            </w:r>
          </w:p>
        </w:tc>
        <w:tc>
          <w:tcPr>
            <w:tcW w:w="376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28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Hotels, Motels, Inns and Gaming</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rPr>
                <w:sz w:val="20"/>
                <w:szCs w:val="20"/>
                <w:color w:val="auto"/>
              </w:rPr>
            </w:pPr>
            <w:r>
              <w:rPr>
                <w:rFonts w:ascii="Arial" w:cs="Arial" w:eastAsia="Arial" w:hAnsi="Arial"/>
                <w:sz w:val="13"/>
                <w:szCs w:val="13"/>
                <w:color w:val="auto"/>
              </w:rPr>
              <w:t>Insurance</w:t>
            </w:r>
          </w:p>
        </w:tc>
        <w:tc>
          <w:tcPr>
            <w:tcW w:w="376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28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Leisure, Amusement, Motion Pictures, Entertainment</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rPr>
                <w:sz w:val="20"/>
                <w:szCs w:val="20"/>
                <w:color w:val="auto"/>
              </w:rPr>
            </w:pPr>
            <w:r>
              <w:rPr>
                <w:rFonts w:ascii="Arial" w:cs="Arial" w:eastAsia="Arial" w:hAnsi="Arial"/>
                <w:sz w:val="13"/>
                <w:szCs w:val="13"/>
                <w:color w:val="auto"/>
              </w:rPr>
              <w:t>Telecommunications</w:t>
            </w:r>
          </w:p>
        </w:tc>
        <w:tc>
          <w:tcPr>
            <w:tcW w:w="3760" w:type="dxa"/>
            <w:vAlign w:val="bottom"/>
            <w:gridSpan w:val="2"/>
          </w:tcPr>
          <w:p>
            <w:pPr>
              <w:jc w:val="right"/>
              <w:spacing w:after="0"/>
              <w:rPr>
                <w:sz w:val="20"/>
                <w:szCs w:val="20"/>
                <w:color w:val="auto"/>
              </w:rPr>
            </w:pPr>
            <w:r>
              <w:rPr>
                <w:rFonts w:ascii="Arial" w:cs="Arial" w:eastAsia="Arial" w:hAnsi="Arial"/>
                <w:sz w:val="13"/>
                <w:szCs w:val="13"/>
                <w:color w:val="auto"/>
              </w:rPr>
              <w:t>2</w:t>
            </w:r>
          </w:p>
        </w:tc>
        <w:tc>
          <w:tcPr>
            <w:tcW w:w="128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Manufacturing/Basic Industry</w:t>
            </w:r>
          </w:p>
        </w:tc>
        <w:tc>
          <w:tcPr>
            <w:tcW w:w="34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28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rPr>
                <w:sz w:val="20"/>
                <w:szCs w:val="20"/>
                <w:color w:val="auto"/>
              </w:rPr>
            </w:pPr>
            <w:r>
              <w:rPr>
                <w:rFonts w:ascii="Arial" w:cs="Arial" w:eastAsia="Arial" w:hAnsi="Arial"/>
                <w:sz w:val="13"/>
                <w:szCs w:val="13"/>
                <w:color w:val="auto"/>
              </w:rPr>
              <w:t>Personal Transportation</w:t>
            </w:r>
          </w:p>
        </w:tc>
        <w:tc>
          <w:tcPr>
            <w:tcW w:w="3480" w:type="dxa"/>
            <w:vAlign w:val="bottom"/>
          </w:tcPr>
          <w:p>
            <w:pPr>
              <w:spacing w:after="0"/>
              <w:rPr>
                <w:sz w:val="12"/>
                <w:szCs w:val="12"/>
                <w:color w:val="auto"/>
              </w:rPr>
            </w:pPr>
          </w:p>
        </w:tc>
        <w:tc>
          <w:tcPr>
            <w:tcW w:w="1560" w:type="dxa"/>
            <w:vAlign w:val="bottom"/>
            <w:gridSpan w:val="2"/>
          </w:tcPr>
          <w:p>
            <w:pPr>
              <w:jc w:val="right"/>
              <w:ind w:right="128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w:t>
            </w:r>
          </w:p>
        </w:tc>
        <w:tc>
          <w:tcPr>
            <w:tcW w:w="34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3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60" w:type="dxa"/>
            <w:vAlign w:val="bottom"/>
            <w:gridSpan w:val="2"/>
            <w:vMerge w:val="continue"/>
          </w:tcPr>
          <w:p>
            <w:pPr>
              <w:spacing w:after="0"/>
              <w:rPr>
                <w:sz w:val="13"/>
                <w:szCs w:val="13"/>
                <w:color w:val="auto"/>
              </w:rPr>
            </w:pPr>
          </w:p>
        </w:tc>
        <w:tc>
          <w:tcPr>
            <w:tcW w:w="3480" w:type="dxa"/>
            <w:vAlign w:val="bottom"/>
          </w:tcPr>
          <w:p>
            <w:pPr>
              <w:spacing w:after="0"/>
              <w:rPr>
                <w:sz w:val="13"/>
                <w:szCs w:val="13"/>
                <w:color w:val="auto"/>
              </w:rPr>
            </w:pPr>
          </w:p>
        </w:tc>
        <w:tc>
          <w:tcPr>
            <w:tcW w:w="1560" w:type="dxa"/>
            <w:vAlign w:val="bottom"/>
            <w:gridSpan w:val="2"/>
          </w:tcPr>
          <w:p>
            <w:pPr>
              <w:jc w:val="right"/>
              <w:ind w:right="1180"/>
              <w:spacing w:after="0"/>
              <w:rPr>
                <w:sz w:val="20"/>
                <w:szCs w:val="20"/>
                <w:color w:val="auto"/>
              </w:rPr>
            </w:pPr>
            <w:r>
              <w:rPr>
                <w:rFonts w:ascii="Arial" w:cs="Arial" w:eastAsia="Arial" w:hAnsi="Arial"/>
                <w:sz w:val="13"/>
                <w:szCs w:val="13"/>
                <w:color w:val="auto"/>
              </w:rPr>
              <w:t>100%</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80" w:type="dxa"/>
            <w:vAlign w:val="bottom"/>
            <w:vMerge w:val="restart"/>
          </w:tcPr>
          <w:p>
            <w:pPr>
              <w:jc w:val="right"/>
              <w:ind w:right="2593"/>
              <w:spacing w:after="0"/>
              <w:rPr>
                <w:sz w:val="20"/>
                <w:szCs w:val="20"/>
                <w:color w:val="auto"/>
              </w:rPr>
            </w:pPr>
            <w:r>
              <w:rPr>
                <w:rFonts w:ascii="Arial" w:cs="Arial" w:eastAsia="Arial" w:hAnsi="Arial"/>
                <w:sz w:val="13"/>
                <w:szCs w:val="13"/>
                <w:color w:val="auto"/>
              </w:rPr>
              <w:t>74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2012</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FAIR VALUE OF FINANCIAL INSTRUMENTS</w:t>
      </w:r>
    </w:p>
    <w:p>
      <w:pPr>
        <w:spacing w:after="0" w:line="136" w:lineRule="exact"/>
        <w:rPr>
          <w:sz w:val="20"/>
          <w:szCs w:val="20"/>
          <w:color w:val="auto"/>
        </w:rPr>
      </w:pPr>
    </w:p>
    <w:p>
      <w:pPr>
        <w:ind w:right="160" w:firstLine="562"/>
        <w:spacing w:after="0" w:line="247"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ASC 820 classifies the inputs used to measure these fair values into the following hierarchies:</w:t>
      </w:r>
    </w:p>
    <w:p>
      <w:pPr>
        <w:spacing w:after="0" w:line="80"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75" w:lineRule="exact"/>
        <w:rPr>
          <w:sz w:val="20"/>
          <w:szCs w:val="20"/>
          <w:color w:val="auto"/>
        </w:rPr>
      </w:pPr>
    </w:p>
    <w:p>
      <w:pPr>
        <w:ind w:left="1500" w:right="740" w:hanging="1039"/>
        <w:spacing w:after="0" w:line="317" w:lineRule="auto"/>
        <w:tabs>
          <w:tab w:leader="none" w:pos="148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08"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4" w:lineRule="exact"/>
        <w:rPr>
          <w:sz w:val="20"/>
          <w:szCs w:val="20"/>
          <w:color w:val="auto"/>
        </w:rPr>
      </w:pPr>
    </w:p>
    <w:p>
      <w:pPr>
        <w:ind w:right="20" w:firstLine="562"/>
        <w:spacing w:after="0" w:line="256"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02"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a disclaimer would result in classification as Level 3 information, assuming no additional corroborating evidence was available. Corroborating evidence that would result in classifying these non-binding brokers/dealer bids as a Level 2 asset includes observable market-based transactions for the same or similar assets or other relevant observable market based inputs that may be used in pricing an asset.</w:t>
      </w:r>
    </w:p>
    <w:p>
      <w:pPr>
        <w:spacing w:after="0" w:line="108" w:lineRule="exact"/>
        <w:rPr>
          <w:sz w:val="20"/>
          <w:szCs w:val="20"/>
          <w:color w:val="auto"/>
        </w:rPr>
      </w:pPr>
    </w:p>
    <w:p>
      <w:pPr>
        <w:ind w:right="60" w:firstLine="562"/>
        <w:spacing w:after="0" w:line="278" w:lineRule="auto"/>
        <w:rPr>
          <w:sz w:val="20"/>
          <w:szCs w:val="20"/>
          <w:color w:val="auto"/>
        </w:rPr>
      </w:pPr>
      <w:r>
        <w:rPr>
          <w:rFonts w:ascii="Arial" w:cs="Arial" w:eastAsia="Arial" w:hAnsi="Arial"/>
          <w:sz w:val="12"/>
          <w:szCs w:val="12"/>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90" w:lineRule="exact"/>
        <w:rPr>
          <w:sz w:val="20"/>
          <w:szCs w:val="20"/>
          <w:color w:val="auto"/>
        </w:rPr>
      </w:pPr>
    </w:p>
    <w:p>
      <w:pPr>
        <w:ind w:right="80" w:firstLine="562"/>
        <w:spacing w:after="0" w:line="250" w:lineRule="auto"/>
        <w:rPr>
          <w:sz w:val="20"/>
          <w:szCs w:val="20"/>
          <w:color w:val="auto"/>
        </w:rPr>
      </w:pPr>
      <w:r>
        <w:rPr>
          <w:rFonts w:ascii="Arial" w:cs="Arial" w:eastAsia="Arial" w:hAnsi="Arial"/>
          <w:sz w:val="13"/>
          <w:szCs w:val="13"/>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fiscal year ended September 30, 2012, our ability to observe valuation inputs has resulted in no reclassification of assets between Levels 1, 2 and 3. During the fiscal year ended December 31, 2011 there was a transfer out of Level 3 to Level 2.</w:t>
      </w:r>
    </w:p>
    <w:p>
      <w:pPr>
        <w:spacing w:after="0" w:line="106" w:lineRule="exact"/>
        <w:rPr>
          <w:sz w:val="20"/>
          <w:szCs w:val="20"/>
          <w:color w:val="auto"/>
        </w:rPr>
      </w:pPr>
    </w:p>
    <w:p>
      <w:pPr>
        <w:ind w:right="180" w:firstLine="562"/>
        <w:spacing w:after="0" w:line="317"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67" w:lineRule="exact"/>
        <w:rPr>
          <w:sz w:val="20"/>
          <w:szCs w:val="20"/>
          <w:color w:val="auto"/>
        </w:rPr>
      </w:pPr>
    </w:p>
    <w:p>
      <w:pPr>
        <w:ind w:right="160" w:firstLine="562"/>
        <w:spacing w:after="0" w:line="256" w:lineRule="auto"/>
        <w:rPr>
          <w:sz w:val="20"/>
          <w:szCs w:val="20"/>
          <w:color w:val="auto"/>
        </w:rPr>
      </w:pPr>
      <w:r>
        <w:rPr>
          <w:rFonts w:ascii="Arial" w:cs="Arial" w:eastAsia="Arial" w:hAnsi="Arial"/>
          <w:sz w:val="13"/>
          <w:szCs w:val="13"/>
          <w:color w:val="auto"/>
        </w:rPr>
        <w:t>In accordance with Accounting Standards Update No. 2011-04 “Fair Value Measurement: Amendment to Achieve Common Fair Value Measurement and Disclosure Requirements in U.S. GAAP and IFRS,”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02" w:lineRule="exact"/>
        <w:rPr>
          <w:sz w:val="20"/>
          <w:szCs w:val="20"/>
          <w:color w:val="auto"/>
        </w:rPr>
      </w:pPr>
    </w:p>
    <w:p>
      <w:pPr>
        <w:ind w:firstLine="562"/>
        <w:spacing w:after="0" w:line="268" w:lineRule="auto"/>
        <w:rPr>
          <w:sz w:val="20"/>
          <w:szCs w:val="20"/>
          <w:color w:val="auto"/>
        </w:rPr>
      </w:pPr>
      <w:r>
        <w:rPr>
          <w:rFonts w:ascii="Arial" w:cs="Arial" w:eastAsia="Arial" w:hAnsi="Arial"/>
          <w:sz w:val="12"/>
          <w:szCs w:val="12"/>
          <w:color w:val="auto"/>
        </w:rPr>
        <w:t>The remainder of our portfolio, including our long-term Credit Facility, is classified as Level 3 and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ectPr>
          <w:pgSz w:w="11900" w:h="16838" w:orient="portrait"/>
          <w:cols w:equalWidth="0" w:num="1">
            <w:col w:w="11240"/>
          </w:cols>
          <w:pgMar w:left="32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2012</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120" w:type="dxa"/>
            <w:vAlign w:val="bottom"/>
          </w:tcPr>
          <w:p>
            <w:pPr>
              <w:spacing w:after="0"/>
              <w:rPr>
                <w:sz w:val="13"/>
                <w:szCs w:val="13"/>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Fair Value at</w:t>
            </w: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6"/>
              </w:rPr>
              <w:t>Range of Input</w:t>
            </w:r>
          </w:p>
        </w:tc>
        <w:tc>
          <w:tcPr>
            <w:tcW w:w="0" w:type="dxa"/>
            <w:vAlign w:val="bottom"/>
          </w:tcPr>
          <w:p>
            <w:pPr>
              <w:spacing w:after="0"/>
              <w:rPr>
                <w:sz w:val="1"/>
                <w:szCs w:val="1"/>
                <w:color w:val="auto"/>
              </w:rPr>
            </w:pPr>
          </w:p>
        </w:tc>
      </w:tr>
      <w:tr>
        <w:trPr>
          <w:trHeight w:val="161"/>
        </w:trPr>
        <w:tc>
          <w:tcPr>
            <w:tcW w:w="3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5"/>
              </w:rPr>
              <w:t>September 30, 2012</w:t>
            </w:r>
          </w:p>
        </w:tc>
        <w:tc>
          <w:tcPr>
            <w:tcW w:w="1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Valuation Technique</w:t>
            </w:r>
          </w:p>
        </w:tc>
        <w:tc>
          <w:tcPr>
            <w:tcW w:w="2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Unobservable Input</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4"/>
              </w:rPr>
              <w:t>(Weighted Average)</w:t>
            </w:r>
          </w:p>
        </w:tc>
        <w:tc>
          <w:tcPr>
            <w:tcW w:w="0" w:type="dxa"/>
            <w:vAlign w:val="bottom"/>
          </w:tcPr>
          <w:p>
            <w:pPr>
              <w:spacing w:after="0"/>
              <w:rPr>
                <w:sz w:val="1"/>
                <w:szCs w:val="1"/>
                <w:color w:val="auto"/>
              </w:rPr>
            </w:pPr>
          </w:p>
        </w:tc>
      </w:tr>
      <w:tr>
        <w:trPr>
          <w:trHeight w:val="142"/>
        </w:trPr>
        <w:tc>
          <w:tcPr>
            <w:tcW w:w="37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First lien, second lien, subordinated debt/corporate notes</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258,617,082</w:t>
            </w:r>
          </w:p>
        </w:tc>
        <w:tc>
          <w:tcPr>
            <w:tcW w:w="30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Market Comparable</w:t>
            </w:r>
          </w:p>
        </w:tc>
        <w:tc>
          <w:tcPr>
            <w:tcW w:w="22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Broker/Dealer bid quotes</w:t>
            </w:r>
          </w:p>
        </w:tc>
        <w:tc>
          <w:tcPr>
            <w:tcW w:w="2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2"/>
              </w:rPr>
              <w:t>1 - 5</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rPr>
                <w:sz w:val="20"/>
                <w:szCs w:val="20"/>
                <w:color w:val="auto"/>
              </w:rPr>
            </w:pPr>
            <w:r>
              <w:rPr>
                <w:rFonts w:ascii="Arial" w:cs="Arial" w:eastAsia="Arial" w:hAnsi="Arial"/>
                <w:sz w:val="13"/>
                <w:szCs w:val="13"/>
                <w:color w:val="auto"/>
              </w:rPr>
              <w:t>First lien, second lien, subordinated debt/corporate notes</w:t>
            </w:r>
          </w:p>
        </w:tc>
        <w:tc>
          <w:tcPr>
            <w:tcW w:w="120" w:type="dxa"/>
            <w:vAlign w:val="bottom"/>
          </w:tcPr>
          <w:p>
            <w:pPr>
              <w:spacing w:after="0"/>
              <w:rPr>
                <w:sz w:val="12"/>
                <w:szCs w:val="12"/>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3"/>
                <w:szCs w:val="13"/>
                <w:color w:val="auto"/>
              </w:rPr>
              <w:t>589,806,989</w:t>
            </w:r>
          </w:p>
        </w:tc>
        <w:tc>
          <w:tcPr>
            <w:tcW w:w="194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Market Comparable</w:t>
            </w:r>
          </w:p>
        </w:tc>
        <w:tc>
          <w:tcPr>
            <w:tcW w:w="202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Market Yield</w:t>
            </w:r>
          </w:p>
        </w:tc>
        <w:tc>
          <w:tcPr>
            <w:tcW w:w="1600" w:type="dxa"/>
            <w:vAlign w:val="bottom"/>
          </w:tcPr>
          <w:p>
            <w:pPr>
              <w:jc w:val="center"/>
              <w:spacing w:after="0"/>
              <w:rPr>
                <w:sz w:val="20"/>
                <w:szCs w:val="20"/>
                <w:color w:val="auto"/>
              </w:rPr>
            </w:pPr>
            <w:r>
              <w:rPr>
                <w:rFonts w:ascii="Arial" w:cs="Arial" w:eastAsia="Arial" w:hAnsi="Arial"/>
                <w:sz w:val="13"/>
                <w:szCs w:val="13"/>
                <w:color w:val="auto"/>
                <w:w w:val="95"/>
              </w:rPr>
              <w:t>8.4% - 19.0% (14.1%)</w:t>
            </w:r>
          </w:p>
        </w:tc>
        <w:tc>
          <w:tcPr>
            <w:tcW w:w="0" w:type="dxa"/>
            <w:vAlign w:val="bottom"/>
          </w:tcPr>
          <w:p>
            <w:pPr>
              <w:spacing w:after="0"/>
              <w:rPr>
                <w:sz w:val="1"/>
                <w:szCs w:val="1"/>
                <w:color w:val="auto"/>
              </w:rPr>
            </w:pPr>
          </w:p>
        </w:tc>
      </w:tr>
      <w:tr>
        <w:trPr>
          <w:trHeight w:val="148"/>
        </w:trPr>
        <w:tc>
          <w:tcPr>
            <w:tcW w:w="3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Preferred and common equity</w:t>
            </w:r>
          </w:p>
        </w:tc>
        <w:tc>
          <w:tcPr>
            <w:tcW w:w="1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101,323,123</w:t>
            </w:r>
          </w:p>
        </w:tc>
        <w:tc>
          <w:tcPr>
            <w:tcW w:w="194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4"/>
              </w:rPr>
              <w:t>Enterprise Market Value</w:t>
            </w:r>
          </w:p>
        </w:tc>
        <w:tc>
          <w:tcPr>
            <w:tcW w:w="202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rPr>
              <w:t>EBITDA multiple</w:t>
            </w:r>
          </w:p>
        </w:tc>
        <w:tc>
          <w:tcPr>
            <w:tcW w:w="1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4.3x - 15.5x (8.5x)</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3"/>
                <w:szCs w:val="13"/>
                <w:color w:val="auto"/>
              </w:rPr>
              <w:t>Total Level 3 investments</w:t>
            </w: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20" w:type="dxa"/>
            <w:vAlign w:val="bottom"/>
            <w:gridSpan w:val="2"/>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40" w:type="dxa"/>
            <w:vAlign w:val="bottom"/>
            <w:gridSpan w:val="2"/>
          </w:tcPr>
          <w:p>
            <w:pPr>
              <w:jc w:val="right"/>
              <w:ind w:right="300"/>
              <w:spacing w:after="0"/>
              <w:rPr>
                <w:sz w:val="20"/>
                <w:szCs w:val="20"/>
                <w:color w:val="auto"/>
              </w:rPr>
            </w:pPr>
            <w:r>
              <w:rPr>
                <w:rFonts w:ascii="Arial" w:cs="Arial" w:eastAsia="Arial" w:hAnsi="Arial"/>
                <w:sz w:val="13"/>
                <w:szCs w:val="13"/>
                <w:color w:val="auto"/>
              </w:rPr>
              <w:t>949,747,194</w:t>
            </w: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2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Long-Term Credit Facility</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164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3"/>
                <w:szCs w:val="13"/>
                <w:color w:val="auto"/>
              </w:rPr>
              <w:t>144,452,500</w:t>
            </w:r>
          </w:p>
        </w:tc>
        <w:tc>
          <w:tcPr>
            <w:tcW w:w="194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3"/>
                <w:szCs w:val="13"/>
                <w:color w:val="auto"/>
                <w:w w:val="94"/>
              </w:rPr>
              <w:t>Market Comparable</w:t>
            </w:r>
          </w:p>
        </w:tc>
        <w:tc>
          <w:tcPr>
            <w:tcW w:w="202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3"/>
                <w:szCs w:val="13"/>
                <w:color w:val="auto"/>
                <w:w w:val="93"/>
              </w:rPr>
              <w:t>Discount rate</w:t>
            </w:r>
          </w:p>
        </w:tc>
        <w:tc>
          <w:tcPr>
            <w:tcW w:w="1600" w:type="dxa"/>
            <w:vAlign w:val="bottom"/>
            <w:shd w:val="clear" w:color="auto" w:fill="CCEEFF"/>
          </w:tcPr>
          <w:p>
            <w:pPr>
              <w:jc w:val="center"/>
              <w:spacing w:after="0" w:line="143" w:lineRule="exact"/>
              <w:rPr>
                <w:sz w:val="20"/>
                <w:szCs w:val="20"/>
                <w:color w:val="auto"/>
              </w:rPr>
            </w:pPr>
            <w:r>
              <w:rPr>
                <w:rFonts w:ascii="Arial" w:cs="Arial" w:eastAsia="Arial" w:hAnsi="Arial"/>
                <w:sz w:val="13"/>
                <w:szCs w:val="13"/>
                <w:color w:val="auto"/>
                <w:w w:val="94"/>
              </w:rPr>
              <w:t>3.5%</w:t>
            </w: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Our cash equivalents, investments and our Credit Facility were categorized as follows in the fair value hierarchy for ASC 820 purposes: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rPr>
              <w:t>Fair Value</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Fair Value at September 30, 2012</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560"/>
              <w:spacing w:after="0" w:line="142" w:lineRule="exact"/>
              <w:rPr>
                <w:sz w:val="20"/>
                <w:szCs w:val="20"/>
                <w:color w:val="auto"/>
              </w:rPr>
            </w:pPr>
            <w:r>
              <w:rPr>
                <w:rFonts w:ascii="Arial" w:cs="Arial" w:eastAsia="Arial" w:hAnsi="Arial"/>
                <w:sz w:val="13"/>
                <w:szCs w:val="13"/>
                <w:b w:val="1"/>
                <w:bCs w:val="1"/>
                <w:color w:val="auto"/>
              </w:rPr>
              <w:t>Level 1</w:t>
            </w:r>
          </w:p>
        </w:tc>
        <w:tc>
          <w:tcPr>
            <w:tcW w:w="160" w:type="dxa"/>
            <w:vAlign w:val="bottom"/>
          </w:tcPr>
          <w:p>
            <w:pPr>
              <w:spacing w:after="0"/>
              <w:rPr>
                <w:sz w:val="12"/>
                <w:szCs w:val="12"/>
                <w:color w:val="auto"/>
              </w:rPr>
            </w:pPr>
          </w:p>
        </w:tc>
        <w:tc>
          <w:tcPr>
            <w:tcW w:w="1100" w:type="dxa"/>
            <w:vAlign w:val="bottom"/>
            <w:gridSpan w:val="2"/>
          </w:tcPr>
          <w:p>
            <w:pPr>
              <w:jc w:val="right"/>
              <w:ind w:right="560"/>
              <w:spacing w:after="0" w:line="142" w:lineRule="exact"/>
              <w:rPr>
                <w:sz w:val="20"/>
                <w:szCs w:val="20"/>
                <w:color w:val="auto"/>
              </w:rPr>
            </w:pPr>
            <w:r>
              <w:rPr>
                <w:rFonts w:ascii="Arial" w:cs="Arial" w:eastAsia="Arial" w:hAnsi="Arial"/>
                <w:sz w:val="13"/>
                <w:szCs w:val="13"/>
                <w:b w:val="1"/>
                <w:bCs w:val="1"/>
                <w:color w:val="auto"/>
              </w:rPr>
              <w:t>Level 2</w:t>
            </w:r>
          </w:p>
        </w:tc>
        <w:tc>
          <w:tcPr>
            <w:tcW w:w="280" w:type="dxa"/>
            <w:vAlign w:val="bottom"/>
          </w:tcPr>
          <w:p>
            <w:pPr>
              <w:spacing w:after="0"/>
              <w:rPr>
                <w:sz w:val="12"/>
                <w:szCs w:val="12"/>
                <w:color w:val="auto"/>
              </w:rPr>
            </w:pPr>
          </w:p>
        </w:tc>
        <w:tc>
          <w:tcPr>
            <w:tcW w:w="780" w:type="dxa"/>
            <w:vAlign w:val="bottom"/>
          </w:tcPr>
          <w:p>
            <w:pPr>
              <w:jc w:val="right"/>
              <w:ind w:right="253"/>
              <w:spacing w:after="0" w:line="142" w:lineRule="exact"/>
              <w:rPr>
                <w:sz w:val="20"/>
                <w:szCs w:val="20"/>
                <w:color w:val="auto"/>
              </w:rPr>
            </w:pPr>
            <w:r>
              <w:rPr>
                <w:rFonts w:ascii="Arial" w:cs="Arial" w:eastAsia="Arial" w:hAnsi="Arial"/>
                <w:sz w:val="13"/>
                <w:szCs w:val="13"/>
                <w:b w:val="1"/>
                <w:bCs w:val="1"/>
                <w:color w:val="auto"/>
                <w:w w:val="99"/>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Loan and debt investments</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883,669,431</w:t>
            </w: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35,275,360</w:t>
            </w:r>
          </w:p>
        </w:tc>
        <w:tc>
          <w:tcPr>
            <w:tcW w:w="3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3"/>
              <w:spacing w:after="0" w:line="142"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848,424,071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gridSpan w:val="2"/>
          </w:tcPr>
          <w:p>
            <w:pPr>
              <w:spacing w:after="0"/>
              <w:rPr>
                <w:sz w:val="20"/>
                <w:szCs w:val="20"/>
                <w:color w:val="auto"/>
              </w:rPr>
            </w:pPr>
            <w:r>
              <w:rPr>
                <w:rFonts w:ascii="Arial" w:cs="Arial" w:eastAsia="Arial" w:hAnsi="Arial"/>
                <w:sz w:val="13"/>
                <w:szCs w:val="13"/>
                <w:color w:val="auto"/>
              </w:rPr>
              <w:t>Equity investments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106,780,279</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5,425,378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31,778</w:t>
            </w:r>
          </w:p>
        </w:tc>
        <w:tc>
          <w:tcPr>
            <w:tcW w:w="2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101,323,123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28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Total investments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990,449,710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5,425,378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35,307,138</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949,747,194</w:t>
            </w:r>
          </w:p>
        </w:tc>
        <w:tc>
          <w:tcPr>
            <w:tcW w:w="0" w:type="dxa"/>
            <w:vAlign w:val="bottom"/>
          </w:tcPr>
          <w:p>
            <w:pPr>
              <w:spacing w:after="0"/>
              <w:rPr>
                <w:sz w:val="1"/>
                <w:szCs w:val="1"/>
                <w:color w:val="auto"/>
              </w:rPr>
            </w:pPr>
          </w:p>
        </w:tc>
      </w:tr>
      <w:tr>
        <w:trPr>
          <w:trHeight w:val="149"/>
        </w:trPr>
        <w:tc>
          <w:tcPr>
            <w:tcW w:w="6280" w:type="dxa"/>
            <w:vAlign w:val="bottom"/>
            <w:gridSpan w:val="2"/>
          </w:tcPr>
          <w:p>
            <w:pPr>
              <w:spacing w:after="0"/>
              <w:rPr>
                <w:sz w:val="20"/>
                <w:szCs w:val="20"/>
                <w:color w:val="auto"/>
              </w:rPr>
            </w:pPr>
            <w:r>
              <w:rPr>
                <w:rFonts w:ascii="Arial" w:cs="Arial" w:eastAsia="Arial" w:hAnsi="Arial"/>
                <w:sz w:val="13"/>
                <w:szCs w:val="13"/>
                <w:color w:val="auto"/>
              </w:rPr>
              <w:t>Cash equivalents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7,559,453</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7,559,453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28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Total investments and cash equivalents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998,009,163</w:t>
            </w:r>
          </w:p>
        </w:tc>
        <w:tc>
          <w:tcPr>
            <w:tcW w:w="44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12,984,831</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35,307,138</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949,747,194</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3"/>
                <w:szCs w:val="13"/>
                <w:color w:val="auto"/>
              </w:rPr>
              <w:t>Credit Facility</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80" w:type="dxa"/>
            <w:vAlign w:val="bottom"/>
            <w:gridSpan w:val="2"/>
            <w:vMerge w:val="continue"/>
          </w:tcPr>
          <w:p>
            <w:pPr>
              <w:spacing w:after="0"/>
              <w:rPr>
                <w:sz w:val="12"/>
                <w:szCs w:val="12"/>
                <w:color w:val="auto"/>
              </w:rPr>
            </w:pPr>
          </w:p>
        </w:tc>
        <w:tc>
          <w:tcPr>
            <w:tcW w:w="140" w:type="dxa"/>
            <w:vAlign w:val="bottom"/>
            <w:gridSpan w:val="2"/>
          </w:tcPr>
          <w:p>
            <w:pPr>
              <w:jc w:val="right"/>
              <w:ind w:right="9"/>
              <w:spacing w:after="0" w:line="143" w:lineRule="exact"/>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line="143" w:lineRule="exact"/>
              <w:rPr>
                <w:sz w:val="20"/>
                <w:szCs w:val="20"/>
                <w:color w:val="auto"/>
              </w:rPr>
            </w:pPr>
            <w:r>
              <w:rPr>
                <w:rFonts w:ascii="Arial" w:cs="Arial" w:eastAsia="Arial" w:hAnsi="Arial"/>
                <w:sz w:val="13"/>
                <w:szCs w:val="13"/>
                <w:color w:val="auto"/>
              </w:rPr>
              <w:t>144,452,500</w:t>
            </w:r>
          </w:p>
        </w:tc>
        <w:tc>
          <w:tcPr>
            <w:tcW w:w="440" w:type="dxa"/>
            <w:vAlign w:val="bottom"/>
            <w:gridSpan w:val="2"/>
          </w:tcPr>
          <w:p>
            <w:pPr>
              <w:jc w:val="right"/>
              <w:ind w:right="49"/>
              <w:spacing w:after="0" w:line="143"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00"/>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00"/>
              <w:spacing w:after="0" w:line="143" w:lineRule="exact"/>
              <w:rPr>
                <w:sz w:val="20"/>
                <w:szCs w:val="20"/>
                <w:color w:val="auto"/>
              </w:rPr>
            </w:pPr>
            <w:r>
              <w:rPr>
                <w:rFonts w:ascii="Arial" w:cs="Arial" w:eastAsia="Arial" w:hAnsi="Arial"/>
                <w:sz w:val="13"/>
                <w:szCs w:val="13"/>
                <w:color w:val="auto"/>
              </w:rPr>
              <w:t>—</w:t>
            </w:r>
          </w:p>
        </w:tc>
        <w:tc>
          <w:tcPr>
            <w:tcW w:w="280" w:type="dxa"/>
            <w:vAlign w:val="bottom"/>
          </w:tcPr>
          <w:p>
            <w:pPr>
              <w:jc w:val="right"/>
              <w:ind w:right="133"/>
              <w:spacing w:after="0" w:line="143" w:lineRule="exact"/>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144,452,500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rPr>
              <w:t>Fair Value</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Fair Value at September 30, 2011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vMerge w:val="continue"/>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560"/>
              <w:spacing w:after="0" w:line="142" w:lineRule="exact"/>
              <w:rPr>
                <w:sz w:val="20"/>
                <w:szCs w:val="20"/>
                <w:color w:val="auto"/>
              </w:rPr>
            </w:pPr>
            <w:r>
              <w:rPr>
                <w:rFonts w:ascii="Arial" w:cs="Arial" w:eastAsia="Arial" w:hAnsi="Arial"/>
                <w:sz w:val="13"/>
                <w:szCs w:val="13"/>
                <w:b w:val="1"/>
                <w:bCs w:val="1"/>
                <w:color w:val="auto"/>
              </w:rPr>
              <w:t>Level 1</w:t>
            </w:r>
          </w:p>
        </w:tc>
        <w:tc>
          <w:tcPr>
            <w:tcW w:w="160" w:type="dxa"/>
            <w:vAlign w:val="bottom"/>
          </w:tcPr>
          <w:p>
            <w:pPr>
              <w:spacing w:after="0"/>
              <w:rPr>
                <w:sz w:val="12"/>
                <w:szCs w:val="12"/>
                <w:color w:val="auto"/>
              </w:rPr>
            </w:pPr>
          </w:p>
        </w:tc>
        <w:tc>
          <w:tcPr>
            <w:tcW w:w="1100" w:type="dxa"/>
            <w:vAlign w:val="bottom"/>
            <w:gridSpan w:val="2"/>
          </w:tcPr>
          <w:p>
            <w:pPr>
              <w:jc w:val="right"/>
              <w:ind w:right="560"/>
              <w:spacing w:after="0" w:line="142" w:lineRule="exact"/>
              <w:rPr>
                <w:sz w:val="20"/>
                <w:szCs w:val="20"/>
                <w:color w:val="auto"/>
              </w:rPr>
            </w:pPr>
            <w:r>
              <w:rPr>
                <w:rFonts w:ascii="Arial" w:cs="Arial" w:eastAsia="Arial" w:hAnsi="Arial"/>
                <w:sz w:val="13"/>
                <w:szCs w:val="13"/>
                <w:b w:val="1"/>
                <w:bCs w:val="1"/>
                <w:color w:val="auto"/>
              </w:rPr>
              <w:t>Level 2</w:t>
            </w:r>
          </w:p>
        </w:tc>
        <w:tc>
          <w:tcPr>
            <w:tcW w:w="280" w:type="dxa"/>
            <w:vAlign w:val="bottom"/>
          </w:tcPr>
          <w:p>
            <w:pPr>
              <w:spacing w:after="0"/>
              <w:rPr>
                <w:sz w:val="12"/>
                <w:szCs w:val="12"/>
                <w:color w:val="auto"/>
              </w:rPr>
            </w:pPr>
          </w:p>
        </w:tc>
        <w:tc>
          <w:tcPr>
            <w:tcW w:w="780" w:type="dxa"/>
            <w:vAlign w:val="bottom"/>
          </w:tcPr>
          <w:p>
            <w:pPr>
              <w:jc w:val="right"/>
              <w:ind w:right="253"/>
              <w:spacing w:after="0" w:line="142" w:lineRule="exact"/>
              <w:rPr>
                <w:sz w:val="20"/>
                <w:szCs w:val="20"/>
                <w:color w:val="auto"/>
              </w:rPr>
            </w:pPr>
            <w:r>
              <w:rPr>
                <w:rFonts w:ascii="Arial" w:cs="Arial" w:eastAsia="Arial" w:hAnsi="Arial"/>
                <w:sz w:val="13"/>
                <w:szCs w:val="13"/>
                <w:b w:val="1"/>
                <w:bCs w:val="1"/>
                <w:color w:val="auto"/>
                <w:w w:val="99"/>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Loan and debt investments</w:t>
            </w:r>
          </w:p>
        </w:tc>
        <w:tc>
          <w:tcPr>
            <w:tcW w:w="19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771,089,501</w:t>
            </w:r>
          </w:p>
        </w:tc>
        <w:tc>
          <w:tcPr>
            <w:tcW w:w="2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38,395,050</w:t>
            </w:r>
          </w:p>
        </w:tc>
        <w:tc>
          <w:tcPr>
            <w:tcW w:w="3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3"/>
              <w:spacing w:after="0" w:line="142" w:lineRule="exact"/>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732,694,451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20"/>
                <w:szCs w:val="20"/>
                <w:color w:val="auto"/>
              </w:rPr>
            </w:pPr>
            <w:r>
              <w:rPr>
                <w:rFonts w:ascii="Arial" w:cs="Arial" w:eastAsia="Arial" w:hAnsi="Arial"/>
                <w:sz w:val="13"/>
                <w:szCs w:val="13"/>
                <w:color w:val="auto"/>
              </w:rPr>
              <w:t>Equity investments</w:t>
            </w: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56,459,014</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4,044,595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61,091</w:t>
            </w:r>
          </w:p>
        </w:tc>
        <w:tc>
          <w:tcPr>
            <w:tcW w:w="2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52,353,328</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1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Total investments</w:t>
            </w:r>
          </w:p>
        </w:tc>
        <w:tc>
          <w:tcPr>
            <w:tcW w:w="1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827,548,515</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4,044,595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38,456,141</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785,047,779</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20"/>
                <w:szCs w:val="20"/>
                <w:color w:val="auto"/>
              </w:rPr>
            </w:pPr>
            <w:r>
              <w:rPr>
                <w:rFonts w:ascii="Arial" w:cs="Arial" w:eastAsia="Arial" w:hAnsi="Arial"/>
                <w:sz w:val="13"/>
                <w:szCs w:val="13"/>
                <w:color w:val="auto"/>
              </w:rPr>
              <w:t>Cash equivalents</w:t>
            </w: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71,604,519</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71,604,519</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1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Total investments and cash equivalents</w:t>
            </w:r>
          </w:p>
        </w:tc>
        <w:tc>
          <w:tcPr>
            <w:tcW w:w="2180" w:type="dxa"/>
            <w:vAlign w:val="bottom"/>
            <w:gridSpan w:val="2"/>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899,153,034</w:t>
            </w:r>
          </w:p>
        </w:tc>
        <w:tc>
          <w:tcPr>
            <w:tcW w:w="44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75,649,114</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38,456,141</w:t>
            </w:r>
          </w:p>
        </w:tc>
        <w:tc>
          <w:tcPr>
            <w:tcW w:w="280" w:type="dxa"/>
            <w:vAlign w:val="bottom"/>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785,047,779</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3"/>
                <w:szCs w:val="13"/>
                <w:color w:val="auto"/>
              </w:rPr>
              <w:t>Credit Facility</w:t>
            </w: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00" w:type="dxa"/>
            <w:vAlign w:val="bottom"/>
            <w:vMerge w:val="continue"/>
          </w:tcPr>
          <w:p>
            <w:pPr>
              <w:spacing w:after="0"/>
              <w:rPr>
                <w:sz w:val="12"/>
                <w:szCs w:val="12"/>
                <w:color w:val="auto"/>
              </w:rPr>
            </w:pPr>
          </w:p>
        </w:tc>
        <w:tc>
          <w:tcPr>
            <w:tcW w:w="2320" w:type="dxa"/>
            <w:vAlign w:val="bottom"/>
            <w:gridSpan w:val="3"/>
          </w:tcPr>
          <w:p>
            <w:pPr>
              <w:jc w:val="right"/>
              <w:spacing w:after="0" w:line="143" w:lineRule="exact"/>
              <w:rPr>
                <w:sz w:val="20"/>
                <w:szCs w:val="20"/>
                <w:color w:val="auto"/>
              </w:rPr>
            </w:pPr>
            <w:r>
              <w:rPr>
                <w:rFonts w:ascii="Arial" w:cs="Arial" w:eastAsia="Arial" w:hAnsi="Arial"/>
                <w:sz w:val="13"/>
                <w:szCs w:val="13"/>
                <w:color w:val="auto"/>
              </w:rPr>
              <w:t>$</w:t>
            </w:r>
          </w:p>
        </w:tc>
        <w:tc>
          <w:tcPr>
            <w:tcW w:w="900" w:type="dxa"/>
            <w:vAlign w:val="bottom"/>
          </w:tcPr>
          <w:p>
            <w:pPr>
              <w:jc w:val="right"/>
              <w:spacing w:after="0" w:line="143" w:lineRule="exact"/>
              <w:rPr>
                <w:sz w:val="20"/>
                <w:szCs w:val="20"/>
                <w:color w:val="auto"/>
              </w:rPr>
            </w:pPr>
            <w:r>
              <w:rPr>
                <w:rFonts w:ascii="Arial" w:cs="Arial" w:eastAsia="Arial" w:hAnsi="Arial"/>
                <w:sz w:val="13"/>
                <w:szCs w:val="13"/>
                <w:color w:val="auto"/>
              </w:rPr>
              <w:t>238,792,125</w:t>
            </w:r>
          </w:p>
        </w:tc>
        <w:tc>
          <w:tcPr>
            <w:tcW w:w="440" w:type="dxa"/>
            <w:vAlign w:val="bottom"/>
            <w:gridSpan w:val="2"/>
          </w:tcPr>
          <w:p>
            <w:pPr>
              <w:jc w:val="right"/>
              <w:ind w:right="49"/>
              <w:spacing w:after="0" w:line="143"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00"/>
              <w:spacing w:after="0" w:line="143" w:lineRule="exact"/>
              <w:rPr>
                <w:sz w:val="20"/>
                <w:szCs w:val="20"/>
                <w:color w:val="auto"/>
              </w:rPr>
            </w:pPr>
            <w:r>
              <w:rPr>
                <w:rFonts w:ascii="Arial" w:cs="Arial" w:eastAsia="Arial" w:hAnsi="Arial"/>
                <w:sz w:val="13"/>
                <w:szCs w:val="13"/>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00"/>
              <w:spacing w:after="0" w:line="143" w:lineRule="exact"/>
              <w:rPr>
                <w:sz w:val="20"/>
                <w:szCs w:val="20"/>
                <w:color w:val="auto"/>
              </w:rPr>
            </w:pPr>
            <w:r>
              <w:rPr>
                <w:rFonts w:ascii="Arial" w:cs="Arial" w:eastAsia="Arial" w:hAnsi="Arial"/>
                <w:sz w:val="13"/>
                <w:szCs w:val="13"/>
                <w:color w:val="auto"/>
              </w:rPr>
              <w:t>—</w:t>
            </w:r>
          </w:p>
        </w:tc>
        <w:tc>
          <w:tcPr>
            <w:tcW w:w="280" w:type="dxa"/>
            <w:vAlign w:val="bottom"/>
          </w:tcPr>
          <w:p>
            <w:pPr>
              <w:jc w:val="right"/>
              <w:ind w:right="133"/>
              <w:spacing w:after="0" w:line="143" w:lineRule="exact"/>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238,792,125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960" w:type="dxa"/>
            <w:vAlign w:val="bottom"/>
            <w:vMerge w:val="restart"/>
          </w:tcPr>
          <w:p>
            <w:pPr>
              <w:jc w:val="right"/>
              <w:ind w:right="293"/>
              <w:spacing w:after="0"/>
              <w:rPr>
                <w:sz w:val="20"/>
                <w:szCs w:val="20"/>
                <w:color w:val="auto"/>
              </w:rPr>
            </w:pPr>
            <w:r>
              <w:rPr>
                <w:rFonts w:ascii="Arial" w:cs="Arial" w:eastAsia="Arial" w:hAnsi="Arial"/>
                <w:sz w:val="13"/>
                <w:szCs w:val="13"/>
                <w:color w:val="auto"/>
              </w:rPr>
              <w:t>76</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1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980" w:type="dxa"/>
            <w:vAlign w:val="bottom"/>
            <w:gridSpan w:val="16"/>
          </w:tcPr>
          <w:p>
            <w:pPr>
              <w:ind w:left="560"/>
              <w:spacing w:after="0"/>
              <w:rPr>
                <w:sz w:val="20"/>
                <w:szCs w:val="20"/>
                <w:color w:val="auto"/>
              </w:rPr>
            </w:pPr>
            <w:r>
              <w:rPr>
                <w:rFonts w:ascii="Arial" w:cs="Arial" w:eastAsia="Arial" w:hAnsi="Arial"/>
                <w:sz w:val="13"/>
                <w:szCs w:val="13"/>
                <w:color w:val="auto"/>
                <w:w w:val="99"/>
              </w:rPr>
              <w:t>The following tables show a reconciliation of the beginning and ending balances for fair valued investments measured using significant unobservable inputs (Level 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14"/>
          </w:tcPr>
          <w:p>
            <w:pPr>
              <w:jc w:val="right"/>
              <w:ind w:right="9"/>
              <w:spacing w:after="0"/>
              <w:rPr>
                <w:sz w:val="20"/>
                <w:szCs w:val="20"/>
                <w:color w:val="auto"/>
              </w:rPr>
            </w:pPr>
            <w:r>
              <w:rPr>
                <w:rFonts w:ascii="Arial" w:cs="Arial" w:eastAsia="Arial" w:hAnsi="Arial"/>
                <w:sz w:val="13"/>
                <w:szCs w:val="13"/>
                <w:b w:val="1"/>
                <w:bCs w:val="1"/>
                <w:color w:val="auto"/>
                <w:w w:val="92"/>
              </w:rPr>
              <w:t>Year ended September 30, 2012</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4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240" w:type="dxa"/>
            <w:vAlign w:val="bottom"/>
            <w:gridSpan w:val="6"/>
          </w:tcPr>
          <w:p>
            <w:pPr>
              <w:jc w:val="center"/>
              <w:ind w:right="280"/>
              <w:spacing w:after="0" w:line="129" w:lineRule="exact"/>
              <w:rPr>
                <w:sz w:val="20"/>
                <w:szCs w:val="20"/>
                <w:color w:val="auto"/>
              </w:rPr>
            </w:pPr>
            <w:r>
              <w:rPr>
                <w:rFonts w:ascii="Arial" w:cs="Arial" w:eastAsia="Arial" w:hAnsi="Arial"/>
                <w:sz w:val="13"/>
                <w:szCs w:val="13"/>
                <w:b w:val="1"/>
                <w:bCs w:val="1"/>
                <w:color w:val="auto"/>
                <w:w w:val="94"/>
              </w:rPr>
              <w:t>Loan and debt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4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89"/>
              </w:rPr>
              <w:t>investments</w:t>
            </w:r>
          </w:p>
        </w:tc>
        <w:tc>
          <w:tcPr>
            <w:tcW w:w="1340" w:type="dxa"/>
            <w:vAlign w:val="bottom"/>
            <w:gridSpan w:val="7"/>
          </w:tcPr>
          <w:p>
            <w:pPr>
              <w:jc w:val="right"/>
              <w:ind w:right="180"/>
              <w:spacing w:after="0"/>
              <w:rPr>
                <w:sz w:val="20"/>
                <w:szCs w:val="20"/>
                <w:color w:val="auto"/>
              </w:rPr>
            </w:pPr>
            <w:r>
              <w:rPr>
                <w:rFonts w:ascii="Arial" w:cs="Arial" w:eastAsia="Arial" w:hAnsi="Arial"/>
                <w:sz w:val="13"/>
                <w:szCs w:val="13"/>
                <w:b w:val="1"/>
                <w:bCs w:val="1"/>
                <w:color w:val="auto"/>
                <w:w w:val="95"/>
              </w:rPr>
              <w:t>Equity investments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7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Beginning Balance, September 30, 2011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732,694,451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52,353,328</w:t>
            </w:r>
          </w:p>
        </w:tc>
        <w:tc>
          <w:tcPr>
            <w:tcW w:w="140" w:type="dxa"/>
            <w:vAlign w:val="bottom"/>
            <w:tcBorders>
              <w:top w:val="single" w:sz="8" w:color="CCEEFF"/>
              <w:left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785,047,779</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gridSpan w:val="3"/>
          </w:tcPr>
          <w:p>
            <w:pPr>
              <w:ind w:left="540"/>
              <w:spacing w:after="0"/>
              <w:rPr>
                <w:sz w:val="20"/>
                <w:szCs w:val="20"/>
                <w:color w:val="auto"/>
              </w:rPr>
            </w:pPr>
            <w:r>
              <w:rPr>
                <w:rFonts w:ascii="Arial" w:cs="Arial" w:eastAsia="Arial" w:hAnsi="Arial"/>
                <w:sz w:val="13"/>
                <w:szCs w:val="13"/>
                <w:color w:val="auto"/>
              </w:rPr>
              <w:t>Realized gains (losses)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3"/>
              <w:spacing w:after="0"/>
              <w:rPr>
                <w:sz w:val="20"/>
                <w:szCs w:val="20"/>
                <w:color w:val="auto"/>
              </w:rPr>
            </w:pPr>
            <w:r>
              <w:rPr>
                <w:rFonts w:ascii="Arial" w:cs="Arial" w:eastAsia="Arial" w:hAnsi="Arial"/>
                <w:sz w:val="13"/>
                <w:szCs w:val="13"/>
                <w:color w:val="auto"/>
              </w:rPr>
              <w:t>(1,893,297)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3"/>
                <w:szCs w:val="13"/>
                <w:color w:val="auto"/>
              </w:rPr>
              <w:t>(865,772)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3"/>
                <w:szCs w:val="13"/>
                <w:color w:val="auto"/>
              </w:rPr>
              <w:t>(2,759,069)</w:t>
            </w:r>
          </w:p>
        </w:tc>
        <w:tc>
          <w:tcPr>
            <w:tcW w:w="0" w:type="dxa"/>
            <w:vAlign w:val="bottom"/>
          </w:tcPr>
          <w:p>
            <w:pPr>
              <w:spacing w:after="0"/>
              <w:rPr>
                <w:sz w:val="1"/>
                <w:szCs w:val="1"/>
                <w:color w:val="auto"/>
              </w:rPr>
            </w:pPr>
          </w:p>
        </w:tc>
      </w:tr>
      <w:tr>
        <w:trPr>
          <w:trHeight w:val="149"/>
        </w:trPr>
        <w:tc>
          <w:tcPr>
            <w:tcW w:w="7400" w:type="dxa"/>
            <w:vAlign w:val="bottom"/>
            <w:gridSpan w:val="3"/>
            <w:shd w:val="clear" w:color="auto" w:fill="CCEEFF"/>
          </w:tcPr>
          <w:p>
            <w:pPr>
              <w:ind w:left="540"/>
              <w:spacing w:after="0"/>
              <w:rPr>
                <w:sz w:val="20"/>
                <w:szCs w:val="20"/>
                <w:color w:val="auto"/>
              </w:rPr>
            </w:pPr>
            <w:r>
              <w:rPr>
                <w:rFonts w:ascii="Arial" w:cs="Arial" w:eastAsia="Arial" w:hAnsi="Arial"/>
                <w:sz w:val="13"/>
                <w:szCs w:val="13"/>
                <w:color w:val="auto"/>
              </w:rPr>
              <w:t>Unrealized appreciation</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23,034,558</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(11,283,219)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11,751,339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gridSpan w:val="3"/>
          </w:tcPr>
          <w:p>
            <w:pPr>
              <w:ind w:left="540"/>
              <w:spacing w:after="0"/>
              <w:rPr>
                <w:sz w:val="20"/>
                <w:szCs w:val="20"/>
                <w:color w:val="auto"/>
              </w:rPr>
            </w:pPr>
            <w:r>
              <w:rPr>
                <w:rFonts w:ascii="Arial" w:cs="Arial" w:eastAsia="Arial" w:hAnsi="Arial"/>
                <w:sz w:val="13"/>
                <w:szCs w:val="13"/>
                <w:color w:val="auto"/>
              </w:rPr>
              <w:t>Purchases, PIK, net discount accretion and non-cash exchanges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93"/>
              <w:spacing w:after="0"/>
              <w:rPr>
                <w:sz w:val="20"/>
                <w:szCs w:val="20"/>
                <w:color w:val="auto"/>
              </w:rPr>
            </w:pPr>
            <w:r>
              <w:rPr>
                <w:rFonts w:ascii="Arial" w:cs="Arial" w:eastAsia="Arial" w:hAnsi="Arial"/>
                <w:sz w:val="13"/>
                <w:szCs w:val="13"/>
                <w:color w:val="auto"/>
              </w:rPr>
              <w:t>288,868,017</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3"/>
                <w:szCs w:val="13"/>
                <w:color w:val="auto"/>
              </w:rPr>
              <w:t>66,892,499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355,760,516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gridSpan w:val="3"/>
            <w:shd w:val="clear" w:color="auto" w:fill="CCEEFF"/>
          </w:tcPr>
          <w:p>
            <w:pPr>
              <w:ind w:left="540"/>
              <w:spacing w:after="0"/>
              <w:rPr>
                <w:sz w:val="20"/>
                <w:szCs w:val="20"/>
                <w:color w:val="auto"/>
              </w:rPr>
            </w:pPr>
            <w:r>
              <w:rPr>
                <w:rFonts w:ascii="Arial" w:cs="Arial" w:eastAsia="Arial" w:hAnsi="Arial"/>
                <w:sz w:val="13"/>
                <w:szCs w:val="13"/>
                <w:color w:val="auto"/>
              </w:rPr>
              <w:t>Sales / repayments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w w:val="96"/>
              </w:rPr>
              <w:t>(194,279,658)</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(5,773,713)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(200,053,371)</w:t>
            </w:r>
          </w:p>
        </w:tc>
        <w:tc>
          <w:tcPr>
            <w:tcW w:w="0" w:type="dxa"/>
            <w:vAlign w:val="bottom"/>
          </w:tcPr>
          <w:p>
            <w:pPr>
              <w:spacing w:after="0"/>
              <w:rPr>
                <w:sz w:val="1"/>
                <w:szCs w:val="1"/>
                <w:color w:val="auto"/>
              </w:rPr>
            </w:pPr>
          </w:p>
        </w:tc>
      </w:tr>
      <w:tr>
        <w:trPr>
          <w:trHeight w:val="148"/>
        </w:trPr>
        <w:tc>
          <w:tcPr>
            <w:tcW w:w="7400" w:type="dxa"/>
            <w:vAlign w:val="bottom"/>
            <w:gridSpan w:val="3"/>
          </w:tcPr>
          <w:p>
            <w:pPr>
              <w:ind w:left="540"/>
              <w:spacing w:after="0"/>
              <w:rPr>
                <w:sz w:val="20"/>
                <w:szCs w:val="20"/>
                <w:color w:val="auto"/>
              </w:rPr>
            </w:pPr>
            <w:r>
              <w:rPr>
                <w:rFonts w:ascii="Arial" w:cs="Arial" w:eastAsia="Arial" w:hAnsi="Arial"/>
                <w:sz w:val="13"/>
                <w:szCs w:val="13"/>
                <w:color w:val="auto"/>
              </w:rPr>
              <w:t>Transfers in or out of Level 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Ending Balance, September 30, 2012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848,424,071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101,323,123</w:t>
            </w: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949,747,194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spacing w:after="0"/>
              <w:rPr>
                <w:sz w:val="20"/>
                <w:szCs w:val="20"/>
                <w:color w:val="auto"/>
              </w:rPr>
            </w:pPr>
            <w:r>
              <w:rPr>
                <w:rFonts w:ascii="Arial" w:cs="Arial" w:eastAsia="Arial" w:hAnsi="Arial"/>
                <w:sz w:val="13"/>
                <w:szCs w:val="13"/>
                <w:color w:val="auto"/>
              </w:rPr>
              <w:t>Net change in unrealized appreciation (depreciation) for the fiscal year reported within the net change in unrealized appreciation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4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00" w:type="dxa"/>
            <w:vAlign w:val="bottom"/>
            <w:gridSpan w:val="3"/>
          </w:tcPr>
          <w:p>
            <w:pPr>
              <w:ind w:left="220"/>
              <w:spacing w:after="0"/>
              <w:rPr>
                <w:sz w:val="20"/>
                <w:szCs w:val="20"/>
                <w:color w:val="auto"/>
              </w:rPr>
            </w:pPr>
            <w:r>
              <w:rPr>
                <w:rFonts w:ascii="Arial" w:cs="Arial" w:eastAsia="Arial" w:hAnsi="Arial"/>
                <w:sz w:val="13"/>
                <w:szCs w:val="13"/>
                <w:color w:val="auto"/>
              </w:rPr>
              <w:t>(depreciation) on investments in our Consolidated Statement of Operations attributable to our Level 3 assets still held at the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400" w:type="dxa"/>
            <w:vAlign w:val="bottom"/>
            <w:gridSpan w:val="3"/>
          </w:tcPr>
          <w:p>
            <w:pPr>
              <w:ind w:left="220"/>
              <w:spacing w:after="0"/>
              <w:rPr>
                <w:sz w:val="20"/>
                <w:szCs w:val="20"/>
                <w:color w:val="auto"/>
              </w:rPr>
            </w:pPr>
            <w:r>
              <w:rPr>
                <w:rFonts w:ascii="Arial" w:cs="Arial" w:eastAsia="Arial" w:hAnsi="Arial"/>
                <w:sz w:val="13"/>
                <w:szCs w:val="13"/>
                <w:color w:val="auto"/>
              </w:rPr>
              <w:t>reporting date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25,864,375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3"/>
                <w:szCs w:val="13"/>
                <w:color w:val="auto"/>
              </w:rPr>
              <w:t>(9,858,219)</w:t>
            </w:r>
          </w:p>
        </w:tc>
        <w:tc>
          <w:tcPr>
            <w:tcW w:w="26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16,006,156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14"/>
          </w:tcPr>
          <w:p>
            <w:pPr>
              <w:jc w:val="right"/>
              <w:spacing w:after="0"/>
              <w:rPr>
                <w:sz w:val="20"/>
                <w:szCs w:val="20"/>
                <w:color w:val="auto"/>
              </w:rPr>
            </w:pPr>
            <w:r>
              <w:rPr>
                <w:rFonts w:ascii="Arial" w:cs="Arial" w:eastAsia="Arial" w:hAnsi="Arial"/>
                <w:sz w:val="13"/>
                <w:szCs w:val="13"/>
                <w:b w:val="1"/>
                <w:bCs w:val="1"/>
                <w:color w:val="auto"/>
                <w:w w:val="95"/>
              </w:rPr>
              <w:t>Year ended September 30, 2011</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4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Description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tcPr>
          <w:p>
            <w:pPr>
              <w:jc w:val="center"/>
              <w:ind w:right="200"/>
              <w:spacing w:after="0" w:line="129" w:lineRule="exact"/>
              <w:rPr>
                <w:sz w:val="20"/>
                <w:szCs w:val="20"/>
                <w:color w:val="auto"/>
              </w:rPr>
            </w:pPr>
            <w:r>
              <w:rPr>
                <w:rFonts w:ascii="Arial" w:cs="Arial" w:eastAsia="Arial" w:hAnsi="Arial"/>
                <w:sz w:val="13"/>
                <w:szCs w:val="13"/>
                <w:b w:val="1"/>
                <w:bCs w:val="1"/>
                <w:color w:val="auto"/>
                <w:w w:val="94"/>
              </w:rPr>
              <w:t>Loan and debt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jc w:val="right"/>
              <w:ind w:right="480"/>
              <w:spacing w:after="0" w:line="129" w:lineRule="exact"/>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4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89"/>
              </w:rPr>
              <w:t>investments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w w:val="94"/>
              </w:rPr>
              <w:t>investments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42"/>
        </w:trPr>
        <w:tc>
          <w:tcPr>
            <w:tcW w:w="73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3"/>
                <w:szCs w:val="13"/>
                <w:color w:val="auto"/>
              </w:rPr>
              <w:t>Beginning Balance, September 30, 2010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615,236,138</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45,137,828</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left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660,373,966</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gridSpan w:val="3"/>
          </w:tcPr>
          <w:p>
            <w:pPr>
              <w:ind w:left="540"/>
              <w:spacing w:after="0"/>
              <w:rPr>
                <w:sz w:val="20"/>
                <w:szCs w:val="20"/>
                <w:color w:val="auto"/>
              </w:rPr>
            </w:pPr>
            <w:r>
              <w:rPr>
                <w:rFonts w:ascii="Arial" w:cs="Arial" w:eastAsia="Arial" w:hAnsi="Arial"/>
                <w:sz w:val="13"/>
                <w:szCs w:val="13"/>
                <w:color w:val="auto"/>
              </w:rPr>
              <w:t>Realized gains (losses)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10,194,422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6,065,196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16,259,618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gridSpan w:val="3"/>
            <w:shd w:val="clear" w:color="auto" w:fill="CCEEFF"/>
          </w:tcPr>
          <w:p>
            <w:pPr>
              <w:ind w:left="540"/>
              <w:spacing w:after="0"/>
              <w:rPr>
                <w:sz w:val="20"/>
                <w:szCs w:val="20"/>
                <w:color w:val="auto"/>
              </w:rPr>
            </w:pPr>
            <w:r>
              <w:rPr>
                <w:rFonts w:ascii="Arial" w:cs="Arial" w:eastAsia="Arial" w:hAnsi="Arial"/>
                <w:sz w:val="13"/>
                <w:szCs w:val="13"/>
                <w:color w:val="auto"/>
              </w:rPr>
              <w:t>Unrealized appreciation</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(48,568,848)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2,904,075</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(45,664,773)</w:t>
            </w:r>
          </w:p>
        </w:tc>
        <w:tc>
          <w:tcPr>
            <w:tcW w:w="0" w:type="dxa"/>
            <w:vAlign w:val="bottom"/>
          </w:tcPr>
          <w:p>
            <w:pPr>
              <w:spacing w:after="0"/>
              <w:rPr>
                <w:sz w:val="1"/>
                <w:szCs w:val="1"/>
                <w:color w:val="auto"/>
              </w:rPr>
            </w:pPr>
          </w:p>
        </w:tc>
      </w:tr>
      <w:tr>
        <w:trPr>
          <w:trHeight w:val="148"/>
        </w:trPr>
        <w:tc>
          <w:tcPr>
            <w:tcW w:w="7400" w:type="dxa"/>
            <w:vAlign w:val="bottom"/>
            <w:gridSpan w:val="3"/>
          </w:tcPr>
          <w:p>
            <w:pPr>
              <w:ind w:left="540"/>
              <w:spacing w:after="0"/>
              <w:rPr>
                <w:sz w:val="20"/>
                <w:szCs w:val="20"/>
                <w:color w:val="auto"/>
              </w:rPr>
            </w:pPr>
            <w:r>
              <w:rPr>
                <w:rFonts w:ascii="Arial" w:cs="Arial" w:eastAsia="Arial" w:hAnsi="Arial"/>
                <w:sz w:val="13"/>
                <w:szCs w:val="13"/>
                <w:color w:val="auto"/>
              </w:rPr>
              <w:t>Purchases, PIK, net discount accretion and non-cash exchanges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486,512,694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9,969,861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496,482,555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gridSpan w:val="3"/>
            <w:shd w:val="clear" w:color="auto" w:fill="CCEEFF"/>
          </w:tcPr>
          <w:p>
            <w:pPr>
              <w:ind w:left="540"/>
              <w:spacing w:after="0"/>
              <w:rPr>
                <w:sz w:val="20"/>
                <w:szCs w:val="20"/>
                <w:color w:val="auto"/>
              </w:rPr>
            </w:pPr>
            <w:r>
              <w:rPr>
                <w:rFonts w:ascii="Arial" w:cs="Arial" w:eastAsia="Arial" w:hAnsi="Arial"/>
                <w:sz w:val="13"/>
                <w:szCs w:val="13"/>
                <w:color w:val="auto"/>
              </w:rPr>
              <w:t>Sales / repayments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(292,284,905)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(11,723,632)</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(304,008,537)</w:t>
            </w:r>
          </w:p>
        </w:tc>
        <w:tc>
          <w:tcPr>
            <w:tcW w:w="0" w:type="dxa"/>
            <w:vAlign w:val="bottom"/>
          </w:tcPr>
          <w:p>
            <w:pPr>
              <w:spacing w:after="0"/>
              <w:rPr>
                <w:sz w:val="1"/>
                <w:szCs w:val="1"/>
                <w:color w:val="auto"/>
              </w:rPr>
            </w:pPr>
          </w:p>
        </w:tc>
      </w:tr>
      <w:tr>
        <w:trPr>
          <w:trHeight w:val="149"/>
        </w:trPr>
        <w:tc>
          <w:tcPr>
            <w:tcW w:w="7400" w:type="dxa"/>
            <w:vAlign w:val="bottom"/>
            <w:gridSpan w:val="3"/>
          </w:tcPr>
          <w:p>
            <w:pPr>
              <w:ind w:left="540"/>
              <w:spacing w:after="0"/>
              <w:rPr>
                <w:sz w:val="20"/>
                <w:szCs w:val="20"/>
                <w:color w:val="auto"/>
              </w:rPr>
            </w:pPr>
            <w:r>
              <w:rPr>
                <w:rFonts w:ascii="Arial" w:cs="Arial" w:eastAsia="Arial" w:hAnsi="Arial"/>
                <w:sz w:val="13"/>
                <w:szCs w:val="13"/>
                <w:color w:val="auto"/>
              </w:rPr>
              <w:t>Transfers in or out of Level 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3"/>
                <w:szCs w:val="13"/>
                <w:color w:val="auto"/>
              </w:rPr>
              <w:t>(38,395,050)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3"/>
                <w:szCs w:val="13"/>
                <w:color w:val="auto"/>
              </w:rPr>
              <w:t>(38,395,050)</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Ending Balance, September 30, 2011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732,694,451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52,353,328</w:t>
            </w:r>
          </w:p>
        </w:tc>
        <w:tc>
          <w:tcPr>
            <w:tcW w:w="140" w:type="dxa"/>
            <w:vAlign w:val="bottom"/>
            <w:tcBorders>
              <w:left w:val="single" w:sz="8" w:color="CCEEFF"/>
            </w:tcBorders>
            <w:shd w:val="clear" w:color="auto" w:fill="CCEEFF"/>
          </w:tcPr>
          <w:p>
            <w:pPr>
              <w:spacing w:after="0"/>
              <w:rPr>
                <w:sz w:val="12"/>
                <w:szCs w:val="12"/>
                <w:color w:val="auto"/>
              </w:rPr>
            </w:pPr>
          </w:p>
        </w:tc>
        <w:tc>
          <w:tcPr>
            <w:tcW w:w="260" w:type="dxa"/>
            <w:vAlign w:val="bottom"/>
            <w:gridSpan w:val="4"/>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785,047,779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400" w:type="dxa"/>
            <w:vAlign w:val="bottom"/>
            <w:gridSpan w:val="3"/>
          </w:tcPr>
          <w:p>
            <w:pPr>
              <w:spacing w:after="0" w:line="145" w:lineRule="exact"/>
              <w:rPr>
                <w:sz w:val="20"/>
                <w:szCs w:val="20"/>
                <w:color w:val="auto"/>
              </w:rPr>
            </w:pPr>
            <w:r>
              <w:rPr>
                <w:rFonts w:ascii="Arial" w:cs="Arial" w:eastAsia="Arial" w:hAnsi="Arial"/>
                <w:sz w:val="13"/>
                <w:szCs w:val="13"/>
                <w:color w:val="auto"/>
              </w:rPr>
              <w:t>Net change in unrealized appreciation (depreciation) for the fiscal year reported within the net change in unrealized appreciation</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gridSpan w:val="3"/>
          </w:tcPr>
          <w:p>
            <w:pPr>
              <w:ind w:left="220"/>
              <w:spacing w:after="0"/>
              <w:rPr>
                <w:sz w:val="20"/>
                <w:szCs w:val="20"/>
                <w:color w:val="auto"/>
              </w:rPr>
            </w:pPr>
            <w:r>
              <w:rPr>
                <w:rFonts w:ascii="Arial" w:cs="Arial" w:eastAsia="Arial" w:hAnsi="Arial"/>
                <w:sz w:val="13"/>
                <w:szCs w:val="13"/>
                <w:color w:val="auto"/>
              </w:rPr>
              <w:t>(depreciation) on investments in our Consolidated Statement of Operations attributable to our Level 3 assets still held at the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400" w:type="dxa"/>
            <w:vAlign w:val="bottom"/>
            <w:gridSpan w:val="3"/>
          </w:tcPr>
          <w:p>
            <w:pPr>
              <w:ind w:left="220"/>
              <w:spacing w:after="0"/>
              <w:rPr>
                <w:sz w:val="20"/>
                <w:szCs w:val="20"/>
                <w:color w:val="auto"/>
              </w:rPr>
            </w:pPr>
            <w:r>
              <w:rPr>
                <w:rFonts w:ascii="Arial" w:cs="Arial" w:eastAsia="Arial" w:hAnsi="Arial"/>
                <w:sz w:val="13"/>
                <w:szCs w:val="13"/>
                <w:color w:val="auto"/>
              </w:rPr>
              <w:t>reporting date</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3"/>
                <w:szCs w:val="13"/>
                <w:color w:val="auto"/>
              </w:rPr>
              <w:t>(24,916,057)</w:t>
            </w:r>
          </w:p>
        </w:tc>
        <w:tc>
          <w:tcPr>
            <w:tcW w:w="40" w:type="dxa"/>
            <w:vAlign w:val="bottom"/>
          </w:tcPr>
          <w:p>
            <w:pPr>
              <w:spacing w:after="0"/>
              <w:rPr>
                <w:sz w:val="13"/>
                <w:szCs w:val="13"/>
                <w:color w:val="auto"/>
              </w:rPr>
            </w:pPr>
          </w:p>
        </w:tc>
        <w:tc>
          <w:tcPr>
            <w:tcW w:w="28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2,186,601</w:t>
            </w:r>
          </w:p>
        </w:tc>
        <w:tc>
          <w:tcPr>
            <w:tcW w:w="140" w:type="dxa"/>
            <w:vAlign w:val="bottom"/>
          </w:tcPr>
          <w:p>
            <w:pPr>
              <w:spacing w:after="0"/>
              <w:rPr>
                <w:sz w:val="13"/>
                <w:szCs w:val="13"/>
                <w:color w:val="auto"/>
              </w:rPr>
            </w:pPr>
          </w:p>
        </w:tc>
        <w:tc>
          <w:tcPr>
            <w:tcW w:w="260" w:type="dxa"/>
            <w:vAlign w:val="bottom"/>
            <w:gridSpan w:val="4"/>
          </w:tcPr>
          <w:p>
            <w:pPr>
              <w:jc w:val="right"/>
              <w:ind w:right="29"/>
              <w:spacing w:after="0"/>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3"/>
                <w:szCs w:val="13"/>
                <w:color w:val="auto"/>
              </w:rPr>
              <w:t>(22,729,456)</w:t>
            </w:r>
          </w:p>
        </w:tc>
        <w:tc>
          <w:tcPr>
            <w:tcW w:w="0" w:type="dxa"/>
            <w:vAlign w:val="bottom"/>
          </w:tcPr>
          <w:p>
            <w:pPr>
              <w:spacing w:after="0"/>
              <w:rPr>
                <w:sz w:val="1"/>
                <w:szCs w:val="1"/>
                <w:color w:val="auto"/>
              </w:rPr>
            </w:pPr>
          </w:p>
        </w:tc>
      </w:tr>
      <w:tr>
        <w:trPr>
          <w:trHeight w:val="20"/>
        </w:trPr>
        <w:tc>
          <w:tcPr>
            <w:tcW w:w="7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980" w:type="dxa"/>
            <w:vAlign w:val="bottom"/>
            <w:gridSpan w:val="16"/>
          </w:tcPr>
          <w:p>
            <w:pPr>
              <w:ind w:left="560"/>
              <w:spacing w:after="0"/>
              <w:rPr>
                <w:sz w:val="20"/>
                <w:szCs w:val="20"/>
                <w:color w:val="auto"/>
              </w:rPr>
            </w:pPr>
            <w:r>
              <w:rPr>
                <w:rFonts w:ascii="Arial" w:cs="Arial" w:eastAsia="Arial" w:hAnsi="Arial"/>
                <w:sz w:val="13"/>
                <w:szCs w:val="13"/>
                <w:color w:val="auto"/>
              </w:rPr>
              <w:t>The following tables show a reconciliation of the beginning and ending balances for fair valued liabilities measured using significant unobservable inputs (Level 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10"/>
          </w:tcPr>
          <w:p>
            <w:pPr>
              <w:jc w:val="right"/>
              <w:ind w:right="680"/>
              <w:spacing w:after="0"/>
              <w:rPr>
                <w:sz w:val="20"/>
                <w:szCs w:val="20"/>
                <w:color w:val="auto"/>
              </w:rPr>
            </w:pPr>
            <w:r>
              <w:rPr>
                <w:rFonts w:ascii="Arial" w:cs="Arial" w:eastAsia="Arial" w:hAnsi="Arial"/>
                <w:sz w:val="13"/>
                <w:szCs w:val="13"/>
                <w:b w:val="1"/>
                <w:bCs w:val="1"/>
                <w:color w:val="auto"/>
              </w:rPr>
              <w:t>Carrying / Fair Value</w:t>
            </w:r>
          </w:p>
        </w:tc>
        <w:tc>
          <w:tcPr>
            <w:tcW w:w="0" w:type="dxa"/>
            <w:vAlign w:val="bottom"/>
          </w:tcPr>
          <w:p>
            <w:pPr>
              <w:spacing w:after="0"/>
              <w:rPr>
                <w:sz w:val="1"/>
                <w:szCs w:val="1"/>
                <w:color w:val="auto"/>
              </w:rPr>
            </w:pPr>
          </w:p>
        </w:tc>
      </w:tr>
      <w:tr>
        <w:trPr>
          <w:trHeight w:val="129"/>
        </w:trPr>
        <w:tc>
          <w:tcPr>
            <w:tcW w:w="74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Credit Facility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360"/>
              <w:spacing w:after="0" w:line="129" w:lineRule="exact"/>
              <w:rPr>
                <w:sz w:val="20"/>
                <w:szCs w:val="20"/>
                <w:color w:val="auto"/>
              </w:rPr>
            </w:pPr>
            <w:r>
              <w:rPr>
                <w:rFonts w:ascii="Arial" w:cs="Arial" w:eastAsia="Arial" w:hAnsi="Arial"/>
                <w:sz w:val="13"/>
                <w:szCs w:val="13"/>
                <w:b w:val="1"/>
                <w:bCs w:val="1"/>
                <w:color w:val="auto"/>
                <w:w w:val="95"/>
              </w:rPr>
              <w:t>Year Ended</w:t>
            </w: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220"/>
              <w:spacing w:after="0" w:line="129" w:lineRule="exact"/>
              <w:rPr>
                <w:sz w:val="20"/>
                <w:szCs w:val="20"/>
                <w:color w:val="auto"/>
              </w:rPr>
            </w:pPr>
            <w:r>
              <w:rPr>
                <w:rFonts w:ascii="Arial" w:cs="Arial" w:eastAsia="Arial" w:hAnsi="Arial"/>
                <w:sz w:val="13"/>
                <w:szCs w:val="13"/>
                <w:b w:val="1"/>
                <w:bCs w:val="1"/>
                <w:color w:val="auto"/>
                <w:w w:val="95"/>
              </w:rPr>
              <w:t>Year Ended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4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tcPr>
          <w:p>
            <w:pPr>
              <w:spacing w:after="0"/>
              <w:rPr>
                <w:sz w:val="20"/>
                <w:szCs w:val="20"/>
                <w:color w:val="auto"/>
              </w:rPr>
            </w:pPr>
            <w:r>
              <w:rPr>
                <w:rFonts w:ascii="Arial" w:cs="Arial" w:eastAsia="Arial" w:hAnsi="Arial"/>
                <w:sz w:val="13"/>
                <w:szCs w:val="13"/>
                <w:b w:val="1"/>
                <w:bCs w:val="1"/>
                <w:color w:val="auto"/>
              </w:rPr>
              <w:t>September 30, 2012</w:t>
            </w:r>
          </w:p>
        </w:tc>
        <w:tc>
          <w:tcPr>
            <w:tcW w:w="60" w:type="dxa"/>
            <w:vAlign w:val="bottom"/>
          </w:tcPr>
          <w:p>
            <w:pPr>
              <w:spacing w:after="0"/>
              <w:rPr>
                <w:sz w:val="14"/>
                <w:szCs w:val="14"/>
                <w:color w:val="auto"/>
              </w:rPr>
            </w:pPr>
          </w:p>
        </w:tc>
        <w:tc>
          <w:tcPr>
            <w:tcW w:w="1200" w:type="dxa"/>
            <w:vAlign w:val="bottom"/>
            <w:gridSpan w:val="6"/>
          </w:tcPr>
          <w:p>
            <w:pPr>
              <w:spacing w:after="0"/>
              <w:rPr>
                <w:sz w:val="20"/>
                <w:szCs w:val="20"/>
                <w:color w:val="auto"/>
              </w:rPr>
            </w:pPr>
            <w:r>
              <w:rPr>
                <w:rFonts w:ascii="Arial" w:cs="Arial" w:eastAsia="Arial" w:hAnsi="Arial"/>
                <w:sz w:val="13"/>
                <w:szCs w:val="13"/>
                <w:b w:val="1"/>
                <w:bCs w:val="1"/>
                <w:color w:val="auto"/>
                <w:w w:val="97"/>
              </w:rPr>
              <w:t>September 30, 2011</w:t>
            </w:r>
          </w:p>
        </w:tc>
        <w:tc>
          <w:tcPr>
            <w:tcW w:w="0" w:type="dxa"/>
            <w:vAlign w:val="bottom"/>
          </w:tcPr>
          <w:p>
            <w:pPr>
              <w:spacing w:after="0"/>
              <w:rPr>
                <w:sz w:val="1"/>
                <w:szCs w:val="1"/>
                <w:color w:val="auto"/>
              </w:rPr>
            </w:pPr>
          </w:p>
        </w:tc>
      </w:tr>
      <w:tr>
        <w:trPr>
          <w:trHeight w:val="142"/>
        </w:trPr>
        <w:tc>
          <w:tcPr>
            <w:tcW w:w="740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3"/>
                <w:szCs w:val="13"/>
                <w:color w:val="auto"/>
              </w:rPr>
              <w:t>Beginning Balance (Cost – $240,900,000 and $227,900,000, respectively)</w:t>
            </w: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238,792,125</w:t>
            </w:r>
          </w:p>
        </w:tc>
        <w:tc>
          <w:tcPr>
            <w:tcW w:w="140" w:type="dxa"/>
            <w:vAlign w:val="bottom"/>
            <w:tcBorders>
              <w:top w:val="single" w:sz="8" w:color="CCEEFF"/>
              <w:left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213,941,125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gridSpan w:val="3"/>
          </w:tcPr>
          <w:p>
            <w:pPr>
              <w:ind w:left="540"/>
              <w:spacing w:after="0"/>
              <w:rPr>
                <w:sz w:val="20"/>
                <w:szCs w:val="20"/>
                <w:color w:val="auto"/>
              </w:rPr>
            </w:pPr>
            <w:r>
              <w:rPr>
                <w:rFonts w:ascii="Arial" w:cs="Arial" w:eastAsia="Arial" w:hAnsi="Arial"/>
                <w:sz w:val="13"/>
                <w:szCs w:val="13"/>
                <w:color w:val="auto"/>
              </w:rPr>
              <w:t>Total unrealized appreciation included in earnings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1,560,375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3"/>
                <w:szCs w:val="13"/>
                <w:color w:val="auto"/>
              </w:rPr>
              <w:t>11,851,000</w:t>
            </w:r>
          </w:p>
        </w:tc>
        <w:tc>
          <w:tcPr>
            <w:tcW w:w="0" w:type="dxa"/>
            <w:vAlign w:val="bottom"/>
          </w:tcPr>
          <w:p>
            <w:pPr>
              <w:spacing w:after="0"/>
              <w:rPr>
                <w:sz w:val="1"/>
                <w:szCs w:val="1"/>
                <w:color w:val="auto"/>
              </w:rPr>
            </w:pPr>
          </w:p>
        </w:tc>
      </w:tr>
      <w:tr>
        <w:trPr>
          <w:trHeight w:val="148"/>
        </w:trPr>
        <w:tc>
          <w:tcPr>
            <w:tcW w:w="740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1"/>
                <w:szCs w:val="11"/>
                <w:color w:val="auto"/>
              </w:rPr>
              <w:t>Borrowings</w:t>
            </w:r>
            <w:r>
              <w:rPr>
                <w:rFonts w:ascii="Arial" w:cs="Arial" w:eastAsia="Arial" w:hAnsi="Arial"/>
                <w:sz w:val="17"/>
                <w:szCs w:val="17"/>
                <w:color w:val="auto"/>
                <w:vertAlign w:val="superscript"/>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556,800,000</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407,500,000</w:t>
            </w:r>
          </w:p>
        </w:tc>
        <w:tc>
          <w:tcPr>
            <w:tcW w:w="0" w:type="dxa"/>
            <w:vAlign w:val="bottom"/>
          </w:tcPr>
          <w:p>
            <w:pPr>
              <w:spacing w:after="0"/>
              <w:rPr>
                <w:sz w:val="1"/>
                <w:szCs w:val="1"/>
                <w:color w:val="auto"/>
              </w:rPr>
            </w:pPr>
          </w:p>
        </w:tc>
      </w:tr>
      <w:tr>
        <w:trPr>
          <w:trHeight w:val="149"/>
        </w:trPr>
        <w:tc>
          <w:tcPr>
            <w:tcW w:w="7400" w:type="dxa"/>
            <w:vAlign w:val="bottom"/>
            <w:gridSpan w:val="3"/>
          </w:tcPr>
          <w:p>
            <w:pPr>
              <w:ind w:left="540"/>
              <w:spacing w:after="0" w:line="149" w:lineRule="exact"/>
              <w:rPr>
                <w:sz w:val="20"/>
                <w:szCs w:val="20"/>
                <w:color w:val="auto"/>
              </w:rPr>
            </w:pPr>
            <w:r>
              <w:rPr>
                <w:rFonts w:ascii="Arial" w:cs="Arial" w:eastAsia="Arial" w:hAnsi="Arial"/>
                <w:sz w:val="11"/>
                <w:szCs w:val="11"/>
                <w:color w:val="auto"/>
              </w:rPr>
              <w:t>Repayments</w:t>
            </w:r>
            <w:r>
              <w:rPr>
                <w:rFonts w:ascii="Arial" w:cs="Arial" w:eastAsia="Arial" w:hAnsi="Arial"/>
                <w:sz w:val="17"/>
                <w:szCs w:val="17"/>
                <w:color w:val="auto"/>
                <w:vertAlign w:val="superscript"/>
              </w:rPr>
              <w:t>(1)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3"/>
                <w:szCs w:val="13"/>
                <w:color w:val="auto"/>
              </w:rPr>
              <w:t>(688,200,000)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3"/>
                <w:szCs w:val="13"/>
                <w:color w:val="auto"/>
              </w:rPr>
              <w:t>(394,500,000)</w:t>
            </w:r>
          </w:p>
        </w:tc>
        <w:tc>
          <w:tcPr>
            <w:tcW w:w="0" w:type="dxa"/>
            <w:vAlign w:val="bottom"/>
          </w:tcPr>
          <w:p>
            <w:pPr>
              <w:spacing w:after="0"/>
              <w:rPr>
                <w:sz w:val="1"/>
                <w:szCs w:val="1"/>
                <w:color w:val="auto"/>
              </w:rPr>
            </w:pPr>
          </w:p>
        </w:tc>
      </w:tr>
      <w:tr>
        <w:trPr>
          <w:trHeight w:val="148"/>
        </w:trPr>
        <w:tc>
          <w:tcPr>
            <w:tcW w:w="7400" w:type="dxa"/>
            <w:vAlign w:val="bottom"/>
            <w:gridSpan w:val="3"/>
            <w:shd w:val="clear" w:color="auto" w:fill="CCEEFF"/>
          </w:tcPr>
          <w:p>
            <w:pPr>
              <w:ind w:left="540"/>
              <w:spacing w:after="0"/>
              <w:rPr>
                <w:sz w:val="20"/>
                <w:szCs w:val="20"/>
                <w:color w:val="auto"/>
              </w:rPr>
            </w:pPr>
            <w:r>
              <w:rPr>
                <w:rFonts w:ascii="Arial" w:cs="Arial" w:eastAsia="Arial" w:hAnsi="Arial"/>
                <w:sz w:val="13"/>
                <w:szCs w:val="13"/>
                <w:color w:val="auto"/>
              </w:rPr>
              <w:t>Transfers in and/or out of Level 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400" w:type="dxa"/>
            <w:vAlign w:val="bottom"/>
            <w:gridSpan w:val="3"/>
          </w:tcPr>
          <w:p>
            <w:pPr>
              <w:spacing w:after="0"/>
              <w:rPr>
                <w:sz w:val="20"/>
                <w:szCs w:val="20"/>
                <w:color w:val="auto"/>
              </w:rPr>
            </w:pPr>
            <w:r>
              <w:rPr>
                <w:rFonts w:ascii="Arial" w:cs="Arial" w:eastAsia="Arial" w:hAnsi="Arial"/>
                <w:sz w:val="13"/>
                <w:szCs w:val="13"/>
                <w:color w:val="auto"/>
              </w:rPr>
              <w:t>Ending Balance (Cost – $109,500,000 and $240,900,000, respectively)</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108,952,500</w:t>
            </w:r>
          </w:p>
        </w:tc>
        <w:tc>
          <w:tcPr>
            <w:tcW w:w="140" w:type="dxa"/>
            <w:vAlign w:val="bottom"/>
          </w:tcPr>
          <w:p>
            <w:pPr>
              <w:spacing w:after="0"/>
              <w:rPr>
                <w:sz w:val="22"/>
                <w:szCs w:val="22"/>
                <w:color w:val="auto"/>
              </w:rPr>
            </w:pPr>
          </w:p>
        </w:tc>
        <w:tc>
          <w:tcPr>
            <w:tcW w:w="18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3"/>
                <w:szCs w:val="13"/>
                <w:color w:val="auto"/>
              </w:rPr>
              <w:t>238,792,125</w:t>
            </w:r>
          </w:p>
        </w:tc>
        <w:tc>
          <w:tcPr>
            <w:tcW w:w="0" w:type="dxa"/>
            <w:vAlign w:val="bottom"/>
          </w:tcPr>
          <w:p>
            <w:pPr>
              <w:spacing w:after="0"/>
              <w:rPr>
                <w:sz w:val="1"/>
                <w:szCs w:val="1"/>
                <w:color w:val="auto"/>
              </w:rPr>
            </w:pPr>
          </w:p>
        </w:tc>
      </w:tr>
      <w:tr>
        <w:trPr>
          <w:trHeight w:val="149"/>
        </w:trPr>
        <w:tc>
          <w:tcPr>
            <w:tcW w:w="7400" w:type="dxa"/>
            <w:vAlign w:val="bottom"/>
            <w:gridSpan w:val="3"/>
            <w:shd w:val="clear" w:color="auto" w:fill="CCEEFF"/>
          </w:tcPr>
          <w:p>
            <w:pPr>
              <w:ind w:left="540"/>
              <w:spacing w:after="0"/>
              <w:rPr>
                <w:sz w:val="20"/>
                <w:szCs w:val="20"/>
                <w:color w:val="auto"/>
              </w:rPr>
            </w:pPr>
            <w:r>
              <w:rPr>
                <w:rFonts w:ascii="Arial" w:cs="Arial" w:eastAsia="Arial" w:hAnsi="Arial"/>
                <w:sz w:val="13"/>
                <w:szCs w:val="13"/>
                <w:color w:val="auto"/>
              </w:rPr>
              <w:t>Temporary draw outstanding, at cost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35,500,000</w:t>
            </w:r>
          </w:p>
        </w:tc>
        <w:tc>
          <w:tcPr>
            <w:tcW w:w="14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7400" w:type="dxa"/>
            <w:vAlign w:val="bottom"/>
            <w:gridSpan w:val="3"/>
          </w:tcPr>
          <w:p>
            <w:pPr>
              <w:spacing w:after="0"/>
              <w:rPr>
                <w:sz w:val="20"/>
                <w:szCs w:val="20"/>
                <w:color w:val="auto"/>
              </w:rPr>
            </w:pPr>
            <w:r>
              <w:rPr>
                <w:rFonts w:ascii="Arial" w:cs="Arial" w:eastAsia="Arial" w:hAnsi="Arial"/>
                <w:sz w:val="13"/>
                <w:szCs w:val="13"/>
                <w:color w:val="auto"/>
              </w:rPr>
              <w:t>Ending Balance (Cost – $145,000,000 and 240,900,000, respectively)</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144,452,500</w:t>
            </w:r>
          </w:p>
        </w:tc>
        <w:tc>
          <w:tcPr>
            <w:tcW w:w="140" w:type="dxa"/>
            <w:vAlign w:val="bottom"/>
          </w:tcPr>
          <w:p>
            <w:pPr>
              <w:spacing w:after="0"/>
              <w:rPr>
                <w:sz w:val="22"/>
                <w:szCs w:val="22"/>
                <w:color w:val="auto"/>
              </w:rPr>
            </w:pPr>
          </w:p>
        </w:tc>
        <w:tc>
          <w:tcPr>
            <w:tcW w:w="180" w:type="dxa"/>
            <w:vAlign w:val="bottom"/>
            <w:gridSpan w:val="3"/>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3"/>
                <w:szCs w:val="13"/>
                <w:color w:val="auto"/>
              </w:rPr>
              <w:t>238,792,125</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(1)</w:t>
            </w:r>
          </w:p>
        </w:tc>
        <w:tc>
          <w:tcPr>
            <w:tcW w:w="5460" w:type="dxa"/>
            <w:vAlign w:val="bottom"/>
            <w:vMerge w:val="restart"/>
          </w:tcPr>
          <w:p>
            <w:pPr>
              <w:jc w:val="right"/>
              <w:ind w:right="3833"/>
              <w:spacing w:after="0"/>
              <w:rPr>
                <w:sz w:val="20"/>
                <w:szCs w:val="20"/>
                <w:color w:val="auto"/>
              </w:rPr>
            </w:pPr>
            <w:r>
              <w:rPr>
                <w:rFonts w:ascii="Arial" w:cs="Arial" w:eastAsia="Arial" w:hAnsi="Arial"/>
                <w:sz w:val="13"/>
                <w:szCs w:val="13"/>
                <w:color w:val="auto"/>
                <w:w w:val="98"/>
              </w:rPr>
              <w:t>Excludes temporary draws.</w:t>
            </w:r>
          </w:p>
        </w:tc>
        <w:tc>
          <w:tcPr>
            <w:tcW w:w="0" w:type="dxa"/>
            <w:vAlign w:val="bottom"/>
          </w:tcPr>
          <w:p>
            <w:pPr>
              <w:spacing w:after="0"/>
              <w:rPr>
                <w:sz w:val="1"/>
                <w:szCs w:val="1"/>
                <w:color w:val="auto"/>
              </w:rPr>
            </w:pPr>
          </w:p>
        </w:tc>
      </w:tr>
      <w:tr>
        <w:trPr>
          <w:trHeight w:val="75"/>
        </w:trPr>
        <w:tc>
          <w:tcPr>
            <w:tcW w:w="240" w:type="dxa"/>
            <w:vAlign w:val="bottom"/>
          </w:tcPr>
          <w:p>
            <w:pPr>
              <w:spacing w:after="0"/>
              <w:rPr>
                <w:sz w:val="6"/>
                <w:szCs w:val="6"/>
                <w:color w:val="auto"/>
              </w:rPr>
            </w:pPr>
          </w:p>
        </w:tc>
        <w:tc>
          <w:tcPr>
            <w:tcW w:w="5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5"/>
        </w:trPr>
        <w:tc>
          <w:tcPr>
            <w:tcW w:w="240" w:type="dxa"/>
            <w:vAlign w:val="bottom"/>
          </w:tcPr>
          <w:p>
            <w:pPr>
              <w:spacing w:after="0"/>
              <w:rPr>
                <w:sz w:val="24"/>
                <w:szCs w:val="24"/>
                <w:color w:val="auto"/>
              </w:rPr>
            </w:pPr>
          </w:p>
        </w:tc>
        <w:tc>
          <w:tcPr>
            <w:tcW w:w="5460" w:type="dxa"/>
            <w:vAlign w:val="bottom"/>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2012</w:t>
      </w:r>
    </w:p>
    <w:p>
      <w:pPr>
        <w:spacing w:after="0" w:line="136" w:lineRule="exact"/>
        <w:rPr>
          <w:sz w:val="20"/>
          <w:szCs w:val="20"/>
          <w:color w:val="auto"/>
        </w:rPr>
      </w:pPr>
    </w:p>
    <w:p>
      <w:pPr>
        <w:ind w:right="20" w:firstLine="562"/>
        <w:spacing w:after="0" w:line="265"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 mitigating volatility in earnings from using different measurement attributes. Due to that election and in accordance with GAAP, we incurred and expensed up-front fees of $5.4 million, which represents transaction costs and expenses related to the amended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years ended September 30, 2012 and 2011, our Credit Facility had a net change in unrealized appreciation of $1.6 million and $11.9 million, respectively. As of September 30, 2012 and 2011, net unrealized depreciation on our Credit Facility totaled $0.5 million and $2.1 million, respectively. We use a nationally recognized independent valuation service to measure the fair value of our Credit Facility in a manner consistent with the valuation process that the board of directors uses to value investments.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TRANSACTIONS WITH AFFILIATED COMPANIES</w:t>
      </w:r>
    </w:p>
    <w:p>
      <w:pPr>
        <w:spacing w:after="0" w:line="136" w:lineRule="exact"/>
        <w:rPr>
          <w:sz w:val="20"/>
          <w:szCs w:val="20"/>
          <w:color w:val="auto"/>
        </w:rPr>
      </w:pPr>
    </w:p>
    <w:p>
      <w:pPr>
        <w:ind w:right="60" w:firstLine="562"/>
        <w:spacing w:after="0" w:line="256" w:lineRule="auto"/>
        <w:rPr>
          <w:sz w:val="20"/>
          <w:szCs w:val="20"/>
          <w:color w:val="auto"/>
        </w:rPr>
      </w:pPr>
      <w:r>
        <w:rPr>
          <w:rFonts w:ascii="Arial" w:cs="Arial" w:eastAsia="Arial" w:hAnsi="Arial"/>
          <w:sz w:val="13"/>
          <w:szCs w:val="13"/>
          <w:color w:val="auto"/>
        </w:rPr>
        <w:t>An affiliated company is a company in which the PennantPark Investment has ownership of 5% or more of the portfolio company’s voting securities. A controlled affiliate is a portfolio company in which we own more than 25% of its voting securities. Purchase of /Advances to and Sale of / Distributions from affiliates are included in the Consolidated Statement of Cash Flows purchases and sales. Transactions with affiliates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Purchase of /</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ind w:right="13"/>
              <w:spacing w:after="0"/>
              <w:rPr>
                <w:sz w:val="20"/>
                <w:szCs w:val="20"/>
                <w:color w:val="auto"/>
              </w:rPr>
            </w:pPr>
            <w:r>
              <w:rPr>
                <w:rFonts w:ascii="Arial" w:cs="Arial" w:eastAsia="Arial" w:hAnsi="Arial"/>
                <w:sz w:val="13"/>
                <w:szCs w:val="13"/>
                <w:b w:val="1"/>
                <w:bCs w:val="1"/>
                <w:color w:val="auto"/>
                <w:w w:val="87"/>
              </w:rPr>
              <w:t>Sales of /</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Investment</w:t>
            </w:r>
          </w:p>
        </w:tc>
        <w:tc>
          <w:tcPr>
            <w:tcW w:w="80" w:type="dxa"/>
            <w:vAlign w:val="bottom"/>
          </w:tcPr>
          <w:p>
            <w:pPr>
              <w:spacing w:after="0"/>
              <w:rPr>
                <w:sz w:val="12"/>
                <w:szCs w:val="12"/>
                <w:color w:val="auto"/>
              </w:rPr>
            </w:pPr>
          </w:p>
        </w:tc>
        <w:tc>
          <w:tcPr>
            <w:tcW w:w="1180" w:type="dxa"/>
            <w:vAlign w:val="bottom"/>
          </w:tcPr>
          <w:p>
            <w:pPr>
              <w:jc w:val="right"/>
              <w:ind w:right="193"/>
              <w:spacing w:after="0"/>
              <w:rPr>
                <w:sz w:val="20"/>
                <w:szCs w:val="20"/>
                <w:color w:val="auto"/>
              </w:rPr>
            </w:pPr>
            <w:r>
              <w:rPr>
                <w:rFonts w:ascii="Arial" w:cs="Arial" w:eastAsia="Arial" w:hAnsi="Arial"/>
                <w:sz w:val="13"/>
                <w:szCs w:val="13"/>
                <w:b w:val="1"/>
                <w:bCs w:val="1"/>
                <w:color w:val="auto"/>
              </w:rPr>
              <w:t>Fair Value at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Advances to</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33"/>
              <w:spacing w:after="0"/>
              <w:rPr>
                <w:sz w:val="20"/>
                <w:szCs w:val="20"/>
                <w:color w:val="auto"/>
              </w:rPr>
            </w:pPr>
            <w:r>
              <w:rPr>
                <w:rFonts w:ascii="Arial" w:cs="Arial" w:eastAsia="Arial" w:hAnsi="Arial"/>
                <w:sz w:val="13"/>
                <w:szCs w:val="13"/>
                <w:b w:val="1"/>
                <w:bCs w:val="1"/>
                <w:color w:val="auto"/>
                <w:w w:val="94"/>
              </w:rPr>
              <w:t>Distributions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Income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Fair Value at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w w:val="90"/>
              </w:rPr>
              <w:t>September 30, 2011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Affiliates</w:t>
            </w:r>
          </w:p>
        </w:tc>
        <w:tc>
          <w:tcPr>
            <w:tcW w:w="14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from Affiliates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Received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2"/>
              </w:rPr>
              <w:t>September 30, 2012</w:t>
            </w:r>
          </w:p>
        </w:tc>
        <w:tc>
          <w:tcPr>
            <w:tcW w:w="14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8"/>
              </w:rPr>
              <w:t>Capital Loss</w:t>
            </w:r>
          </w:p>
        </w:tc>
        <w:tc>
          <w:tcPr>
            <w:tcW w:w="0" w:type="dxa"/>
            <w:vAlign w:val="bottom"/>
          </w:tcPr>
          <w:p>
            <w:pPr>
              <w:spacing w:after="0"/>
              <w:rPr>
                <w:sz w:val="1"/>
                <w:szCs w:val="1"/>
                <w:color w:val="auto"/>
              </w:rPr>
            </w:pPr>
          </w:p>
        </w:tc>
      </w:tr>
      <w:tr>
        <w:trPr>
          <w:trHeight w:val="142"/>
        </w:trPr>
        <w:tc>
          <w:tcPr>
            <w:tcW w:w="3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Controlled Affiliates</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spacing w:after="0"/>
              <w:rPr>
                <w:sz w:val="20"/>
                <w:szCs w:val="20"/>
                <w:color w:val="auto"/>
              </w:rPr>
            </w:pPr>
            <w:r>
              <w:rPr>
                <w:rFonts w:ascii="Arial" w:cs="Arial" w:eastAsia="Arial" w:hAnsi="Arial"/>
                <w:sz w:val="13"/>
                <w:szCs w:val="13"/>
                <w:color w:val="auto"/>
              </w:rPr>
              <w:t>SuttonPark Holdings, Inc.</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13,500,001</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5,500,000</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3,500,000</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2,078,611</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13,175,000</w:t>
            </w:r>
          </w:p>
        </w:tc>
        <w:tc>
          <w:tcPr>
            <w:tcW w:w="180" w:type="dxa"/>
            <w:vAlign w:val="bottom"/>
          </w:tcPr>
          <w:p>
            <w:pPr>
              <w:spacing w:after="0"/>
              <w:rPr>
                <w:sz w:val="19"/>
                <w:szCs w:val="19"/>
                <w:color w:val="auto"/>
              </w:rPr>
            </w:pPr>
          </w:p>
        </w:tc>
        <w:tc>
          <w:tcPr>
            <w:tcW w:w="3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UP Support Services, Inc.</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24,173,984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24,456,708</w:t>
            </w:r>
            <w:r>
              <w:rPr>
                <w:rFonts w:ascii="Arial" w:cs="Arial" w:eastAsia="Arial" w:hAnsi="Arial"/>
                <w:sz w:val="17"/>
                <w:szCs w:val="17"/>
                <w:color w:val="auto"/>
                <w:vertAlign w:val="superscript"/>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3580" w:type="dxa"/>
            <w:vAlign w:val="bottom"/>
            <w:gridSpan w:val="2"/>
          </w:tcPr>
          <w:p>
            <w:pPr>
              <w:spacing w:after="0"/>
              <w:rPr>
                <w:sz w:val="20"/>
                <w:szCs w:val="20"/>
                <w:color w:val="auto"/>
              </w:rPr>
            </w:pPr>
            <w:r>
              <w:rPr>
                <w:rFonts w:ascii="Arial" w:cs="Arial" w:eastAsia="Arial" w:hAnsi="Arial"/>
                <w:sz w:val="13"/>
                <w:szCs w:val="13"/>
                <w:b w:val="1"/>
                <w:bCs w:val="1"/>
                <w:color w:val="auto"/>
              </w:rPr>
              <w:t>Non-Controlled Affiliates</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Envirosolutions, Inc.</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25,740,212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6,815,433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13,657,543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366,936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18,425,519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(11,007)</w:t>
            </w:r>
          </w:p>
        </w:tc>
        <w:tc>
          <w:tcPr>
            <w:tcW w:w="0" w:type="dxa"/>
            <w:vAlign w:val="bottom"/>
          </w:tcPr>
          <w:p>
            <w:pPr>
              <w:spacing w:after="0"/>
              <w:rPr>
                <w:sz w:val="1"/>
                <w:szCs w:val="1"/>
                <w:color w:val="auto"/>
              </w:rPr>
            </w:pPr>
          </w:p>
        </w:tc>
      </w:tr>
      <w:tr>
        <w:trPr>
          <w:trHeight w:val="229"/>
        </w:trPr>
        <w:tc>
          <w:tcPr>
            <w:tcW w:w="3580" w:type="dxa"/>
            <w:vAlign w:val="bottom"/>
            <w:gridSpan w:val="2"/>
          </w:tcPr>
          <w:p>
            <w:pPr>
              <w:spacing w:after="0"/>
              <w:rPr>
                <w:sz w:val="20"/>
                <w:szCs w:val="20"/>
                <w:color w:val="auto"/>
              </w:rPr>
            </w:pPr>
            <w:r>
              <w:rPr>
                <w:rFonts w:ascii="Arial" w:cs="Arial" w:eastAsia="Arial" w:hAnsi="Arial"/>
                <w:sz w:val="13"/>
                <w:szCs w:val="13"/>
                <w:color w:val="auto"/>
              </w:rPr>
              <w:t>Performance Holdings, Inc.</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14,932,921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863,771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18,028,080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55"/>
        </w:trPr>
        <w:tc>
          <w:tcPr>
            <w:tcW w:w="3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Service Champ, Inc.</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27,660,000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758,333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44,501,658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3"/>
                <w:szCs w:val="13"/>
                <w:color w:val="auto"/>
              </w:rPr>
              <w:t>Total Controlled and Non-Controlled Affiliates</w:t>
            </w: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8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78,347,118</w:t>
            </w: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39,975,433</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17,157,543</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4,067,651</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3"/>
                <w:szCs w:val="13"/>
                <w:color w:val="auto"/>
              </w:rPr>
              <w:t>118,586,965</w:t>
            </w:r>
          </w:p>
        </w:tc>
        <w:tc>
          <w:tcPr>
            <w:tcW w:w="380" w:type="dxa"/>
            <w:vAlign w:val="bottom"/>
            <w:gridSpan w:val="2"/>
          </w:tcPr>
          <w:p>
            <w:pPr>
              <w:jc w:val="right"/>
              <w:ind w:right="113"/>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(11,007)</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9914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 Became a controlled affiliate on September 30, 2012.</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CHANGE IN NET ASSETS FROM OPERATIONS PER COMMON SHARE</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information sets forth the computation of basic and diluted per share net increase in net assets resulting from operations: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Class and Year</w:t>
            </w: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4"/>
              </w:rPr>
              <w:t>Years ended September 30,</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76"/>
              <w:spacing w:after="0" w:line="142" w:lineRule="exact"/>
              <w:rPr>
                <w:sz w:val="20"/>
                <w:szCs w:val="20"/>
                <w:color w:val="auto"/>
              </w:rPr>
            </w:pPr>
            <w:r>
              <w:rPr>
                <w:rFonts w:ascii="Arial" w:cs="Arial" w:eastAsia="Arial" w:hAnsi="Arial"/>
                <w:sz w:val="13"/>
                <w:szCs w:val="13"/>
                <w:b w:val="1"/>
                <w:bCs w:val="1"/>
                <w:color w:val="auto"/>
              </w:rPr>
              <w:t>2012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73"/>
              <w:spacing w:after="0" w:line="142" w:lineRule="exact"/>
              <w:rPr>
                <w:sz w:val="20"/>
                <w:szCs w:val="20"/>
                <w:color w:val="auto"/>
              </w:rPr>
            </w:pPr>
            <w:r>
              <w:rPr>
                <w:rFonts w:ascii="Arial" w:cs="Arial" w:eastAsia="Arial" w:hAnsi="Arial"/>
                <w:sz w:val="13"/>
                <w:szCs w:val="13"/>
                <w:b w:val="1"/>
                <w:bCs w:val="1"/>
                <w:color w:val="auto"/>
              </w:rPr>
              <w:t>2011</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93"/>
              <w:spacing w:after="0" w:line="142" w:lineRule="exact"/>
              <w:rPr>
                <w:sz w:val="20"/>
                <w:szCs w:val="20"/>
                <w:color w:val="auto"/>
              </w:rPr>
            </w:pPr>
            <w:r>
              <w:rPr>
                <w:rFonts w:ascii="Arial" w:cs="Arial" w:eastAsia="Arial" w:hAnsi="Arial"/>
                <w:sz w:val="13"/>
                <w:szCs w:val="13"/>
                <w:b w:val="1"/>
                <w:bCs w:val="1"/>
                <w:color w:val="auto"/>
              </w:rPr>
              <w:t>2010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Numerator for net increase in net assets resulting from operations</w:t>
            </w:r>
          </w:p>
        </w:tc>
        <w:tc>
          <w:tcPr>
            <w:tcW w:w="3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63,353,100</w:t>
            </w: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10,263,474</w:t>
            </w:r>
          </w:p>
        </w:tc>
        <w:tc>
          <w:tcPr>
            <w:tcW w:w="3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73"/>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16,535,491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20" w:type="dxa"/>
            <w:vAlign w:val="bottom"/>
            <w:gridSpan w:val="2"/>
          </w:tcPr>
          <w:p>
            <w:pPr>
              <w:spacing w:after="0"/>
              <w:rPr>
                <w:sz w:val="20"/>
                <w:szCs w:val="20"/>
                <w:color w:val="auto"/>
              </w:rPr>
            </w:pPr>
            <w:r>
              <w:rPr>
                <w:rFonts w:ascii="Arial" w:cs="Arial" w:eastAsia="Arial" w:hAnsi="Arial"/>
                <w:sz w:val="13"/>
                <w:szCs w:val="13"/>
                <w:color w:val="auto"/>
              </w:rPr>
              <w:t>Denominator for basic and diluted weighted average shares</w:t>
            </w:r>
          </w:p>
        </w:tc>
        <w:tc>
          <w:tcPr>
            <w:tcW w:w="18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1"/>
                <w:szCs w:val="11"/>
                <w:color w:val="auto"/>
              </w:rPr>
              <w:t>52,969,278</w:t>
            </w:r>
            <w:r>
              <w:rPr>
                <w:rFonts w:ascii="Arial" w:cs="Arial" w:eastAsia="Arial" w:hAnsi="Arial"/>
                <w:sz w:val="17"/>
                <w:szCs w:val="17"/>
                <w:color w:val="auto"/>
                <w:vertAlign w:val="superscript"/>
              </w:rPr>
              <w: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42,196,076</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29,546,772</w:t>
            </w:r>
          </w:p>
        </w:tc>
        <w:tc>
          <w:tcPr>
            <w:tcW w:w="0" w:type="dxa"/>
            <w:vAlign w:val="bottom"/>
          </w:tcPr>
          <w:p>
            <w:pPr>
              <w:spacing w:after="0"/>
              <w:rPr>
                <w:sz w:val="1"/>
                <w:szCs w:val="1"/>
                <w:color w:val="auto"/>
              </w:rPr>
            </w:pPr>
          </w:p>
        </w:tc>
      </w:tr>
      <w:tr>
        <w:trPr>
          <w:trHeight w:val="148"/>
        </w:trPr>
        <w:tc>
          <w:tcPr>
            <w:tcW w:w="75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and diluted net increase in net assets per share resulting from operations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1.20</w:t>
            </w:r>
          </w:p>
        </w:tc>
        <w:tc>
          <w:tcPr>
            <w:tcW w:w="54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0.24</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0.56</w:t>
            </w: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 The denominator for diluted weighted average shares was 52,975,015 shares.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ectPr>
          <w:pgSz w:w="11900" w:h="16838" w:orient="portrait"/>
          <w:cols w:equalWidth="0" w:num="1">
            <w:col w:w="11240"/>
          </w:cols>
          <w:pgMar w:left="320" w:top="45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2012</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TAXES AND DISTRIBUTIONS</w:t>
      </w:r>
    </w:p>
    <w:p>
      <w:pPr>
        <w:spacing w:after="0" w:line="136" w:lineRule="exact"/>
        <w:rPr>
          <w:sz w:val="20"/>
          <w:szCs w:val="20"/>
          <w:color w:val="auto"/>
        </w:rPr>
      </w:pPr>
    </w:p>
    <w:p>
      <w:pPr>
        <w:ind w:right="60" w:firstLine="562"/>
        <w:spacing w:after="0" w:line="250" w:lineRule="auto"/>
        <w:rPr>
          <w:sz w:val="20"/>
          <w:szCs w:val="20"/>
          <w:color w:val="auto"/>
        </w:rPr>
      </w:pPr>
      <w:r>
        <w:rPr>
          <w:rFonts w:ascii="Arial" w:cs="Arial" w:eastAsia="Arial" w:hAnsi="Arial"/>
          <w:sz w:val="13"/>
          <w:szCs w:val="13"/>
          <w:color w:val="auto"/>
        </w:rPr>
        <w:t>Dividends from net investment income and net realized capital gains are determined in accordance with U.S. federal tax regulations, which may differ materially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The following differences were reclassified for tax purposes for the years ended September 30, 2012, 2011 and 2010:</w:t>
      </w:r>
    </w:p>
    <w:p>
      <w:pPr>
        <w:spacing w:after="0" w:line="1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6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2011</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42"/>
        </w:trPr>
        <w:tc>
          <w:tcPr>
            <w:tcW w:w="48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Increase (Decrease) in paid-in capital</w:t>
            </w:r>
          </w:p>
        </w:tc>
        <w:tc>
          <w:tcPr>
            <w:tcW w:w="16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276,902</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(228,824)</w:t>
            </w: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(98,294)</w:t>
            </w:r>
          </w:p>
        </w:tc>
        <w:tc>
          <w:tcPr>
            <w:tcW w:w="100" w:type="dxa"/>
            <w:vAlign w:val="bottom"/>
            <w:shd w:val="clear" w:color="auto" w:fill="CCEEFF"/>
          </w:tcPr>
          <w:p>
            <w:pPr>
              <w:spacing w:after="0"/>
              <w:rPr>
                <w:sz w:val="12"/>
                <w:szCs w:val="12"/>
                <w:color w:val="auto"/>
              </w:rPr>
            </w:pPr>
          </w:p>
        </w:tc>
      </w:tr>
      <w:tr>
        <w:trPr>
          <w:trHeight w:val="149"/>
        </w:trPr>
        <w:tc>
          <w:tcPr>
            <w:tcW w:w="4860" w:type="dxa"/>
            <w:vAlign w:val="bottom"/>
          </w:tcPr>
          <w:p>
            <w:pPr>
              <w:spacing w:after="0"/>
              <w:rPr>
                <w:sz w:val="20"/>
                <w:szCs w:val="20"/>
                <w:color w:val="auto"/>
              </w:rPr>
            </w:pPr>
            <w:r>
              <w:rPr>
                <w:rFonts w:ascii="Arial" w:cs="Arial" w:eastAsia="Arial" w:hAnsi="Arial"/>
                <w:sz w:val="13"/>
                <w:szCs w:val="13"/>
                <w:color w:val="auto"/>
              </w:rPr>
              <w:t>Decrease in accumulated net realized loss</w:t>
            </w: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2,176,918</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48"/>
        </w:trPr>
        <w:tc>
          <w:tcPr>
            <w:tcW w:w="4860" w:type="dxa"/>
            <w:vAlign w:val="bottom"/>
            <w:shd w:val="clear" w:color="auto" w:fill="CCEEFF"/>
          </w:tcPr>
          <w:p>
            <w:pPr>
              <w:spacing w:after="0"/>
              <w:rPr>
                <w:sz w:val="20"/>
                <w:szCs w:val="20"/>
                <w:color w:val="auto"/>
              </w:rPr>
            </w:pPr>
            <w:r>
              <w:rPr>
                <w:rFonts w:ascii="Arial" w:cs="Arial" w:eastAsia="Arial" w:hAnsi="Arial"/>
                <w:sz w:val="13"/>
                <w:szCs w:val="13"/>
                <w:color w:val="auto"/>
              </w:rPr>
              <w:t>(Decrease) Increase in undistributed net investment income</w:t>
            </w:r>
          </w:p>
        </w:tc>
        <w:tc>
          <w:tcPr>
            <w:tcW w:w="1840" w:type="dxa"/>
            <w:vAlign w:val="bottom"/>
            <w:gridSpan w:val="2"/>
            <w:shd w:val="clear" w:color="auto" w:fill="CCEEFF"/>
          </w:tcPr>
          <w:p>
            <w:pPr>
              <w:jc w:val="right"/>
              <w:ind w:right="89"/>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(2,453,820)</w:t>
            </w:r>
          </w:p>
        </w:tc>
        <w:tc>
          <w:tcPr>
            <w:tcW w:w="460" w:type="dxa"/>
            <w:vAlign w:val="bottom"/>
            <w:gridSpan w:val="2"/>
            <w:shd w:val="clear" w:color="auto" w:fill="CCEEFF"/>
          </w:tcPr>
          <w:p>
            <w:pPr>
              <w:jc w:val="right"/>
              <w:ind w:right="69"/>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228,824</w:t>
            </w:r>
          </w:p>
        </w:tc>
        <w:tc>
          <w:tcPr>
            <w:tcW w:w="3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98,294</w:t>
            </w:r>
          </w:p>
        </w:tc>
        <w:tc>
          <w:tcPr>
            <w:tcW w:w="100" w:type="dxa"/>
            <w:vAlign w:val="bottom"/>
            <w:shd w:val="clear" w:color="auto" w:fill="CCEEFF"/>
          </w:tcPr>
          <w:p>
            <w:pPr>
              <w:spacing w:after="0"/>
              <w:rPr>
                <w:sz w:val="12"/>
                <w:szCs w:val="12"/>
                <w:color w:val="auto"/>
              </w:rPr>
            </w:pPr>
          </w:p>
        </w:tc>
      </w:tr>
    </w:tbl>
    <w:p>
      <w:pPr>
        <w:spacing w:after="0" w:line="124" w:lineRule="exact"/>
        <w:rPr>
          <w:sz w:val="20"/>
          <w:szCs w:val="20"/>
          <w:color w:val="auto"/>
        </w:rPr>
      </w:pPr>
    </w:p>
    <w:p>
      <w:pPr>
        <w:ind w:right="200" w:firstLine="562"/>
        <w:spacing w:after="0" w:line="274" w:lineRule="auto"/>
        <w:rPr>
          <w:sz w:val="20"/>
          <w:szCs w:val="20"/>
          <w:color w:val="auto"/>
        </w:rPr>
      </w:pPr>
      <w:r>
        <w:rPr>
          <w:rFonts w:ascii="Arial" w:cs="Arial" w:eastAsia="Arial" w:hAnsi="Arial"/>
          <w:sz w:val="13"/>
          <w:szCs w:val="13"/>
          <w:color w:val="auto"/>
        </w:rPr>
        <w:t>As of September 30, 2012 and 2011, the cost of investments for federal income tax purposes was $1,006.8 million and $865.8 million, respectively, resulting in a gross unrealized appreciation of $59.9 million and $31.3 million, respectively, and gross unrealized depreciation of $76.3 million and $69.6 million, respectively.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0" w:type="dxa"/>
            <w:vAlign w:val="bottom"/>
          </w:tcPr>
          <w:p>
            <w:pPr>
              <w:ind w:left="560"/>
              <w:spacing w:after="0"/>
              <w:rPr>
                <w:sz w:val="20"/>
                <w:szCs w:val="20"/>
                <w:color w:val="auto"/>
              </w:rPr>
            </w:pPr>
            <w:r>
              <w:rPr>
                <w:rFonts w:ascii="Arial" w:cs="Arial" w:eastAsia="Arial" w:hAnsi="Arial"/>
                <w:sz w:val="13"/>
                <w:szCs w:val="13"/>
                <w:color w:val="auto"/>
              </w:rPr>
              <w:t>The following reconciles net increase in net assets resulting from operations to taxable income: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8"/>
          </w:tcPr>
          <w:p>
            <w:pPr>
              <w:jc w:val="right"/>
              <w:ind w:right="193"/>
              <w:spacing w:after="0"/>
              <w:rPr>
                <w:sz w:val="20"/>
                <w:szCs w:val="20"/>
                <w:color w:val="auto"/>
              </w:rPr>
            </w:pPr>
            <w:r>
              <w:rPr>
                <w:rFonts w:ascii="Arial" w:cs="Arial" w:eastAsia="Arial" w:hAnsi="Arial"/>
                <w:sz w:val="13"/>
                <w:szCs w:val="13"/>
                <w:b w:val="1"/>
                <w:bCs w:val="1"/>
                <w:color w:val="auto"/>
                <w:w w:val="91"/>
              </w:rPr>
              <w:t>Years ended September 30,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4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2012</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increase in net assets resulting from operations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63,353,100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10,263,474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16,535,491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tcPr>
          <w:p>
            <w:pPr>
              <w:spacing w:after="0"/>
              <w:rPr>
                <w:sz w:val="20"/>
                <w:szCs w:val="20"/>
                <w:color w:val="auto"/>
              </w:rPr>
            </w:pPr>
            <w:r>
              <w:rPr>
                <w:rFonts w:ascii="Arial" w:cs="Arial" w:eastAsia="Arial" w:hAnsi="Arial"/>
                <w:sz w:val="13"/>
                <w:szCs w:val="13"/>
                <w:color w:val="auto"/>
              </w:rPr>
              <w:t>Net realized loss (gain) on investments not taxable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12,798,035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(16,259,622)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15,417,097</w:t>
            </w:r>
          </w:p>
        </w:tc>
        <w:tc>
          <w:tcPr>
            <w:tcW w:w="0" w:type="dxa"/>
            <w:vAlign w:val="bottom"/>
          </w:tcPr>
          <w:p>
            <w:pPr>
              <w:spacing w:after="0"/>
              <w:rPr>
                <w:sz w:val="1"/>
                <w:szCs w:val="1"/>
                <w:color w:val="auto"/>
              </w:rPr>
            </w:pPr>
          </w:p>
        </w:tc>
      </w:tr>
      <w:tr>
        <w:trPr>
          <w:trHeight w:val="148"/>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(appreciation) depreciation on investments and Credit Facility</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(19,081,794)</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58,641,223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122,029</w:t>
            </w:r>
          </w:p>
        </w:tc>
        <w:tc>
          <w:tcPr>
            <w:tcW w:w="0" w:type="dxa"/>
            <w:vAlign w:val="bottom"/>
          </w:tcPr>
          <w:p>
            <w:pPr>
              <w:spacing w:after="0"/>
              <w:rPr>
                <w:sz w:val="1"/>
                <w:szCs w:val="1"/>
                <w:color w:val="auto"/>
              </w:rPr>
            </w:pPr>
          </w:p>
        </w:tc>
      </w:tr>
      <w:tr>
        <w:trPr>
          <w:trHeight w:val="148"/>
        </w:trPr>
        <w:tc>
          <w:tcPr>
            <w:tcW w:w="7400" w:type="dxa"/>
            <w:vAlign w:val="bottom"/>
          </w:tcPr>
          <w:p>
            <w:pPr>
              <w:spacing w:after="0"/>
              <w:rPr>
                <w:sz w:val="20"/>
                <w:szCs w:val="20"/>
                <w:color w:val="auto"/>
              </w:rPr>
            </w:pPr>
            <w:r>
              <w:rPr>
                <w:rFonts w:ascii="Arial" w:cs="Arial" w:eastAsia="Arial" w:hAnsi="Arial"/>
                <w:sz w:val="13"/>
                <w:szCs w:val="13"/>
                <w:color w:val="auto"/>
              </w:rPr>
              <w:t>Other temporary book-to-tax differences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2,444,817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(3,178,194)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(321,805)</w:t>
            </w:r>
          </w:p>
        </w:tc>
        <w:tc>
          <w:tcPr>
            <w:tcW w:w="0" w:type="dxa"/>
            <w:vAlign w:val="bottom"/>
          </w:tcPr>
          <w:p>
            <w:pPr>
              <w:spacing w:after="0"/>
              <w:rPr>
                <w:sz w:val="1"/>
                <w:szCs w:val="1"/>
                <w:color w:val="auto"/>
              </w:rPr>
            </w:pPr>
          </w:p>
        </w:tc>
      </w:tr>
      <w:tr>
        <w:trPr>
          <w:trHeight w:val="148"/>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Other non-deductible expenses</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307,990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228,824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400" w:type="dxa"/>
            <w:vAlign w:val="bottom"/>
          </w:tcPr>
          <w:p>
            <w:pPr>
              <w:spacing w:after="0"/>
              <w:rPr>
                <w:sz w:val="20"/>
                <w:szCs w:val="20"/>
                <w:color w:val="auto"/>
              </w:rPr>
            </w:pPr>
            <w:r>
              <w:rPr>
                <w:rFonts w:ascii="Arial" w:cs="Arial" w:eastAsia="Arial" w:hAnsi="Arial"/>
                <w:sz w:val="13"/>
                <w:szCs w:val="13"/>
                <w:color w:val="auto"/>
              </w:rPr>
              <w:t>Taxable income before deductions for distributions</w:t>
            </w:r>
          </w:p>
        </w:tc>
        <w:tc>
          <w:tcPr>
            <w:tcW w:w="280" w:type="dxa"/>
            <w:vAlign w:val="bottom"/>
            <w:gridSpan w:val="2"/>
          </w:tcPr>
          <w:p>
            <w:pPr>
              <w:jc w:val="right"/>
              <w:ind w:right="49"/>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3"/>
                <w:szCs w:val="13"/>
                <w:color w:val="auto"/>
              </w:rPr>
              <w:t>59,822,148</w:t>
            </w:r>
          </w:p>
        </w:tc>
        <w:tc>
          <w:tcPr>
            <w:tcW w:w="500" w:type="dxa"/>
            <w:vAlign w:val="bottom"/>
            <w:gridSpan w:val="3"/>
          </w:tcPr>
          <w:p>
            <w:pPr>
              <w:jc w:val="right"/>
              <w:ind w:right="69"/>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49,695,705</w:t>
            </w:r>
          </w:p>
        </w:tc>
        <w:tc>
          <w:tcPr>
            <w:tcW w:w="180" w:type="dxa"/>
            <w:vAlign w:val="bottom"/>
          </w:tcPr>
          <w:p>
            <w:pPr>
              <w:spacing w:after="0"/>
              <w:rPr>
                <w:sz w:val="13"/>
                <w:szCs w:val="13"/>
                <w:color w:val="auto"/>
              </w:rPr>
            </w:pPr>
          </w:p>
        </w:tc>
        <w:tc>
          <w:tcPr>
            <w:tcW w:w="400" w:type="dxa"/>
            <w:vAlign w:val="bottom"/>
            <w:gridSpan w:val="3"/>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31,752,812</w:t>
            </w:r>
          </w:p>
        </w:tc>
        <w:tc>
          <w:tcPr>
            <w:tcW w:w="0" w:type="dxa"/>
            <w:vAlign w:val="bottom"/>
          </w:tcPr>
          <w:p>
            <w:pPr>
              <w:spacing w:after="0"/>
              <w:rPr>
                <w:sz w:val="1"/>
                <w:szCs w:val="1"/>
                <w:color w:val="auto"/>
              </w:rPr>
            </w:pPr>
          </w:p>
        </w:tc>
      </w:tr>
      <w:tr>
        <w:trPr>
          <w:trHeight w:val="303"/>
        </w:trPr>
        <w:tc>
          <w:tcPr>
            <w:tcW w:w="7400" w:type="dxa"/>
            <w:vAlign w:val="bottom"/>
          </w:tcPr>
          <w:p>
            <w:pPr>
              <w:ind w:left="560"/>
              <w:spacing w:after="0"/>
              <w:rPr>
                <w:sz w:val="20"/>
                <w:szCs w:val="20"/>
                <w:color w:val="auto"/>
              </w:rPr>
            </w:pPr>
            <w:r>
              <w:rPr>
                <w:rFonts w:ascii="Arial" w:cs="Arial" w:eastAsia="Arial" w:hAnsi="Arial"/>
                <w:sz w:val="13"/>
                <w:szCs w:val="13"/>
                <w:color w:val="auto"/>
                <w:w w:val="94"/>
              </w:rPr>
              <w:t>The components of accumulated losses on book basis and reconciliation to accumulated losses on a tax basis are as follows:</w:t>
            </w: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3"/>
                <w:szCs w:val="13"/>
                <w:b w:val="1"/>
                <w:bCs w:val="1"/>
                <w:color w:val="auto"/>
              </w:rPr>
              <w:t>As of September 30,</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4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3"/>
                <w:szCs w:val="13"/>
                <w:b w:val="1"/>
                <w:bCs w:val="1"/>
                <w:color w:val="auto"/>
              </w:rPr>
              <w:t>2012</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3"/>
                <w:szCs w:val="13"/>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3"/>
                <w:szCs w:val="13"/>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Undistributed ordinary income</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18,634,553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17,639,482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11,451,782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tcPr>
          <w:p>
            <w:pPr>
              <w:spacing w:after="0"/>
              <w:rPr>
                <w:sz w:val="20"/>
                <w:szCs w:val="20"/>
                <w:color w:val="auto"/>
              </w:rPr>
            </w:pPr>
            <w:r>
              <w:rPr>
                <w:rFonts w:ascii="Arial" w:cs="Arial" w:eastAsia="Arial" w:hAnsi="Arial"/>
                <w:sz w:val="13"/>
                <w:szCs w:val="13"/>
                <w:color w:val="auto"/>
              </w:rPr>
              <w:t>Undistributed long-term net capital gains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Total undistributed taxable income</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18,634,553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17,639,482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11,451,782</w:t>
            </w:r>
          </w:p>
        </w:tc>
        <w:tc>
          <w:tcPr>
            <w:tcW w:w="0" w:type="dxa"/>
            <w:vAlign w:val="bottom"/>
          </w:tcPr>
          <w:p>
            <w:pPr>
              <w:spacing w:after="0"/>
              <w:rPr>
                <w:sz w:val="1"/>
                <w:szCs w:val="1"/>
                <w:color w:val="auto"/>
              </w:rPr>
            </w:pPr>
          </w:p>
        </w:tc>
      </w:tr>
      <w:tr>
        <w:trPr>
          <w:trHeight w:val="149"/>
        </w:trPr>
        <w:tc>
          <w:tcPr>
            <w:tcW w:w="7400" w:type="dxa"/>
            <w:vAlign w:val="bottom"/>
          </w:tcPr>
          <w:p>
            <w:pPr>
              <w:spacing w:after="0" w:line="149" w:lineRule="exact"/>
              <w:rPr>
                <w:sz w:val="20"/>
                <w:szCs w:val="20"/>
                <w:color w:val="auto"/>
              </w:rPr>
            </w:pPr>
            <w:r>
              <w:rPr>
                <w:rFonts w:ascii="Arial" w:cs="Arial" w:eastAsia="Arial" w:hAnsi="Arial"/>
                <w:sz w:val="11"/>
                <w:szCs w:val="11"/>
                <w:color w:val="auto"/>
              </w:rPr>
              <w:t>Capital loss carry forwards</w:t>
            </w:r>
            <w:r>
              <w:rPr>
                <w:rFonts w:ascii="Arial" w:cs="Arial" w:eastAsia="Arial" w:hAnsi="Arial"/>
                <w:sz w:val="17"/>
                <w:szCs w:val="17"/>
                <w:color w:val="auto"/>
                <w:vertAlign w:val="superscript"/>
              </w:rPr>
              <w:t>(1) (3)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(56,786,282)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(47,030,821)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(54,591,911)</w:t>
            </w:r>
          </w:p>
        </w:tc>
        <w:tc>
          <w:tcPr>
            <w:tcW w:w="0" w:type="dxa"/>
            <w:vAlign w:val="bottom"/>
          </w:tcPr>
          <w:p>
            <w:pPr>
              <w:spacing w:after="0"/>
              <w:rPr>
                <w:sz w:val="1"/>
                <w:szCs w:val="1"/>
                <w:color w:val="auto"/>
              </w:rPr>
            </w:pPr>
          </w:p>
        </w:tc>
      </w:tr>
      <w:tr>
        <w:trPr>
          <w:trHeight w:val="148"/>
        </w:trPr>
        <w:tc>
          <w:tcPr>
            <w:tcW w:w="74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Post-October capital losses</w:t>
            </w:r>
            <w:r>
              <w:rPr>
                <w:rFonts w:ascii="Arial" w:cs="Arial" w:eastAsia="Arial" w:hAnsi="Arial"/>
                <w:sz w:val="17"/>
                <w:szCs w:val="17"/>
                <w:color w:val="auto"/>
                <w:vertAlign w:val="superscript"/>
              </w:rPr>
              <w:t>(2)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(8,645,354)</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20"/>
                <w:szCs w:val="20"/>
                <w:color w:val="auto"/>
              </w:rPr>
            </w:pPr>
            <w:r>
              <w:rPr>
                <w:rFonts w:ascii="Arial" w:cs="Arial" w:eastAsia="Arial" w:hAnsi="Arial"/>
                <w:sz w:val="13"/>
                <w:szCs w:val="13"/>
                <w:color w:val="auto"/>
              </w:rPr>
              <w:t>Dividends payable and other temporary differences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(21,086,425)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(12,477,778)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(9,651,137)</w:t>
            </w:r>
          </w:p>
        </w:tc>
        <w:tc>
          <w:tcPr>
            <w:tcW w:w="0" w:type="dxa"/>
            <w:vAlign w:val="bottom"/>
          </w:tcPr>
          <w:p>
            <w:pPr>
              <w:spacing w:after="0"/>
              <w:rPr>
                <w:sz w:val="1"/>
                <w:szCs w:val="1"/>
                <w:color w:val="auto"/>
              </w:rPr>
            </w:pPr>
          </w:p>
        </w:tc>
      </w:tr>
      <w:tr>
        <w:trPr>
          <w:trHeight w:val="148"/>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Net unrealized appreciation (depreciation) of investments and Credit Facility</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(15,815,138)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(36,122,397)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19,300,499</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3"/>
                <w:szCs w:val="13"/>
                <w:color w:val="auto"/>
              </w:rPr>
              <w:t>Total accumulated deficit</w:t>
            </w: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4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(75,053,292)</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(77,991,514)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(42,136,121)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714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31" w:lineRule="exact"/>
        <w:rPr>
          <w:sz w:val="20"/>
          <w:szCs w:val="20"/>
          <w:color w:val="auto"/>
        </w:rPr>
      </w:pPr>
    </w:p>
    <w:p>
      <w:pPr>
        <w:ind w:left="340" w:hanging="332"/>
        <w:spacing w:after="0" w:line="248"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As of September 30, 2012, the capital loss carry forward of $56.8 million expires, if not utilized against future capital gains, as follows: $1.5 million in 2017, $43.3 million in 2018 and $12.0 million has no expiration date.</w:t>
      </w:r>
    </w:p>
    <w:p>
      <w:pPr>
        <w:ind w:left="340" w:hanging="332"/>
        <w:spacing w:after="0"/>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Under federal tax law, capital losses realized after October 31 may be deferred and treated as having arisen on the first day of the following fiscal year.</w:t>
      </w:r>
    </w:p>
    <w:p>
      <w:pPr>
        <w:ind w:left="340" w:right="80" w:hanging="332"/>
        <w:spacing w:after="0" w:line="255" w:lineRule="auto"/>
        <w:tabs>
          <w:tab w:leader="none" w:pos="340" w:val="left"/>
        </w:tabs>
        <w:numPr>
          <w:ilvl w:val="0"/>
          <w:numId w:val="51"/>
        </w:numPr>
        <w:rPr>
          <w:rFonts w:ascii="Arial" w:cs="Arial" w:eastAsia="Arial" w:hAnsi="Arial"/>
          <w:sz w:val="13"/>
          <w:szCs w:val="13"/>
          <w:color w:val="auto"/>
        </w:rPr>
      </w:pPr>
      <w:r>
        <w:rPr>
          <w:rFonts w:ascii="Arial" w:cs="Arial" w:eastAsia="Arial" w:hAnsi="Arial"/>
          <w:sz w:val="13"/>
          <w:szCs w:val="13"/>
          <w:color w:val="auto"/>
        </w:rPr>
        <w:t>Under the recently enacted Regulated Investment Company Modernization Act of 2010, capital losses incurred by us after September 30, 2011 will not be subject to expiration. In addition, those losses must be utilized prior to the losses incurred in pre-enactment taxable years.</w:t>
      </w:r>
    </w:p>
    <w:p>
      <w:pPr>
        <w:spacing w:after="0" w:line="102" w:lineRule="exact"/>
        <w:rPr>
          <w:sz w:val="20"/>
          <w:szCs w:val="20"/>
          <w:color w:val="auto"/>
        </w:rPr>
      </w:pPr>
    </w:p>
    <w:p>
      <w:pPr>
        <w:ind w:right="20" w:firstLine="562"/>
        <w:spacing w:after="0" w:line="274" w:lineRule="auto"/>
        <w:rPr>
          <w:sz w:val="20"/>
          <w:szCs w:val="20"/>
          <w:color w:val="auto"/>
        </w:rPr>
      </w:pPr>
      <w:r>
        <w:rPr>
          <w:rFonts w:ascii="Arial" w:cs="Arial" w:eastAsia="Arial" w:hAnsi="Arial"/>
          <w:sz w:val="13"/>
          <w:szCs w:val="13"/>
          <w:color w:val="auto"/>
        </w:rPr>
        <w:t>The tax characteristics of dividends during the fiscal years ended September 30, 2012 and 2011 were solely from ordinary income and totaled $60.1 million, or $1.13 per share, and $46.3 million, or $1.10 per share, respectively.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ectPr>
          <w:pgSz w:w="11900" w:h="16838" w:orient="portrait"/>
          <w:cols w:equalWidth="0" w:num="1">
            <w:col w:w="11240"/>
          </w:cols>
          <w:pgMar w:left="32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jc w:val="center"/>
        <w:spacing w:after="0"/>
        <w:rPr>
          <w:sz w:val="20"/>
          <w:szCs w:val="20"/>
          <w:color w:val="auto"/>
        </w:rPr>
      </w:pPr>
      <w:r>
        <w:rPr>
          <w:rFonts w:ascii="Arial" w:cs="Arial" w:eastAsia="Arial" w:hAnsi="Arial"/>
          <w:sz w:val="13"/>
          <w:szCs w:val="13"/>
          <w:b w:val="1"/>
          <w:bCs w:val="1"/>
          <w:color w:val="auto"/>
        </w:rPr>
        <w:t>SEPTEMBER 30, 2012</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CASH EQUIVALENTS</w:t>
      </w:r>
    </w:p>
    <w:p>
      <w:pPr>
        <w:spacing w:after="0" w:line="136" w:lineRule="exact"/>
        <w:rPr>
          <w:sz w:val="20"/>
          <w:szCs w:val="20"/>
          <w:color w:val="auto"/>
        </w:rPr>
      </w:pPr>
    </w:p>
    <w:p>
      <w:pPr>
        <w:ind w:firstLine="562"/>
        <w:spacing w:after="0" w:line="268" w:lineRule="auto"/>
        <w:rPr>
          <w:sz w:val="20"/>
          <w:szCs w:val="20"/>
          <w:color w:val="auto"/>
        </w:rPr>
      </w:pPr>
      <w:r>
        <w:rPr>
          <w:rFonts w:ascii="Arial" w:cs="Arial" w:eastAsia="Arial" w:hAnsi="Arial"/>
          <w:sz w:val="12"/>
          <w:szCs w:val="12"/>
          <w:color w:val="auto"/>
        </w:rPr>
        <w:t>Cash equivalents represents cash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its total assets at quarter end. We may accomplish this in several ways, including purchasing U.S. Treasury Bills and closing out its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2012 and 2011 cash equivalents consisted of $7.6 million and $71.6 million, respectively, including amounts in money market funds.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FINANCIAL HIGHLIGHTS</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Below are the financial highlights for the respective years then ended September 30,: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2012</w:t>
            </w: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2011</w:t>
            </w:r>
          </w:p>
        </w:tc>
        <w:tc>
          <w:tcPr>
            <w:tcW w:w="6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2010</w:t>
            </w:r>
          </w:p>
        </w:tc>
        <w:tc>
          <w:tcPr>
            <w:tcW w:w="5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2009</w:t>
            </w: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2008</w:t>
            </w:r>
          </w:p>
        </w:tc>
        <w:tc>
          <w:tcPr>
            <w:tcW w:w="220" w:type="dxa"/>
            <w:vAlign w:val="bottom"/>
            <w:tcBorders>
              <w:bottom w:val="single" w:sz="8" w:color="CCEEFF"/>
            </w:tcBorders>
          </w:tcPr>
          <w:p>
            <w:pPr>
              <w:spacing w:after="0"/>
              <w:rPr>
                <w:sz w:val="14"/>
                <w:szCs w:val="14"/>
                <w:color w:val="auto"/>
              </w:rPr>
            </w:pPr>
          </w:p>
        </w:tc>
      </w:tr>
      <w:tr>
        <w:trPr>
          <w:trHeight w:val="128"/>
        </w:trPr>
        <w:tc>
          <w:tcPr>
            <w:tcW w:w="50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Per Share Data:</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48"/>
        </w:trPr>
        <w:tc>
          <w:tcPr>
            <w:tcW w:w="5020" w:type="dxa"/>
            <w:vAlign w:val="bottom"/>
          </w:tcPr>
          <w:p>
            <w:pPr>
              <w:spacing w:after="0"/>
              <w:rPr>
                <w:sz w:val="20"/>
                <w:szCs w:val="20"/>
                <w:color w:val="auto"/>
              </w:rPr>
            </w:pPr>
            <w:r>
              <w:rPr>
                <w:rFonts w:ascii="Arial" w:cs="Arial" w:eastAsia="Arial" w:hAnsi="Arial"/>
                <w:sz w:val="13"/>
                <w:szCs w:val="13"/>
                <w:color w:val="auto"/>
              </w:rPr>
              <w:t>Net asset value, beginning of year</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10.13</w:t>
            </w:r>
          </w:p>
        </w:tc>
        <w:tc>
          <w:tcPr>
            <w:tcW w:w="5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10.69</w:t>
            </w:r>
          </w:p>
        </w:tc>
        <w:tc>
          <w:tcPr>
            <w:tcW w:w="6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560"/>
              <w:spacing w:after="0"/>
              <w:rPr>
                <w:sz w:val="20"/>
                <w:szCs w:val="20"/>
                <w:color w:val="auto"/>
              </w:rPr>
            </w:pPr>
            <w:r>
              <w:rPr>
                <w:rFonts w:ascii="Arial" w:cs="Arial" w:eastAsia="Arial" w:hAnsi="Arial"/>
                <w:sz w:val="13"/>
                <w:szCs w:val="13"/>
                <w:color w:val="auto"/>
              </w:rPr>
              <w:t>11.85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10.00</w:t>
            </w:r>
          </w:p>
        </w:tc>
        <w:tc>
          <w:tcPr>
            <w:tcW w:w="5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12.83</w:t>
            </w:r>
          </w:p>
        </w:tc>
        <w:tc>
          <w:tcPr>
            <w:tcW w:w="220" w:type="dxa"/>
            <w:vAlign w:val="bottom"/>
          </w:tcPr>
          <w:p>
            <w:pPr>
              <w:spacing w:after="0"/>
              <w:rPr>
                <w:sz w:val="12"/>
                <w:szCs w:val="12"/>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Cumulative effect of adoption of fair value option</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r>
      <w:tr>
        <w:trPr>
          <w:trHeight w:val="156"/>
        </w:trPr>
        <w:tc>
          <w:tcPr>
            <w:tcW w:w="5020" w:type="dxa"/>
            <w:vAlign w:val="bottom"/>
          </w:tcPr>
          <w:p>
            <w:pPr>
              <w:spacing w:after="0"/>
              <w:rPr>
                <w:sz w:val="20"/>
                <w:szCs w:val="20"/>
                <w:color w:val="auto"/>
              </w:rPr>
            </w:pPr>
            <w:r>
              <w:rPr>
                <w:rFonts w:ascii="Arial" w:cs="Arial" w:eastAsia="Arial" w:hAnsi="Arial"/>
                <w:sz w:val="13"/>
                <w:szCs w:val="13"/>
                <w:color w:val="auto"/>
              </w:rPr>
              <w:t>Adjusted net asset value, beginning of year</w:t>
            </w: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10.13</w:t>
            </w:r>
          </w:p>
        </w:tc>
        <w:tc>
          <w:tcPr>
            <w:tcW w:w="5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10.69</w:t>
            </w:r>
          </w:p>
        </w:tc>
        <w:tc>
          <w:tcPr>
            <w:tcW w:w="6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11.85</w:t>
            </w:r>
          </w:p>
        </w:tc>
        <w:tc>
          <w:tcPr>
            <w:tcW w:w="5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11.99</w:t>
            </w:r>
          </w:p>
        </w:tc>
        <w:tc>
          <w:tcPr>
            <w:tcW w:w="5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12.83</w:t>
            </w:r>
          </w:p>
        </w:tc>
        <w:tc>
          <w:tcPr>
            <w:tcW w:w="220" w:type="dxa"/>
            <w:vAlign w:val="bottom"/>
          </w:tcPr>
          <w:p>
            <w:pPr>
              <w:spacing w:after="0"/>
              <w:rPr>
                <w:sz w:val="13"/>
                <w:szCs w:val="13"/>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investment income</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0.88</w:t>
            </w:r>
          </w:p>
        </w:tc>
        <w:tc>
          <w:tcPr>
            <w:tcW w:w="220" w:type="dxa"/>
            <w:vAlign w:val="bottom"/>
            <w:shd w:val="clear" w:color="auto" w:fill="CCEEFF"/>
          </w:tcPr>
          <w:p>
            <w:pPr>
              <w:spacing w:after="0"/>
              <w:rPr>
                <w:sz w:val="12"/>
                <w:szCs w:val="12"/>
                <w:color w:val="auto"/>
              </w:rPr>
            </w:pPr>
          </w:p>
        </w:tc>
      </w:tr>
      <w:tr>
        <w:trPr>
          <w:trHeight w:val="148"/>
        </w:trPr>
        <w:tc>
          <w:tcPr>
            <w:tcW w:w="5020" w:type="dxa"/>
            <w:vAlign w:val="bottom"/>
          </w:tcPr>
          <w:p>
            <w:pPr>
              <w:spacing w:after="0" w:line="149" w:lineRule="exact"/>
              <w:rPr>
                <w:sz w:val="20"/>
                <w:szCs w:val="20"/>
                <w:color w:val="auto"/>
              </w:rPr>
            </w:pPr>
            <w:r>
              <w:rPr>
                <w:rFonts w:ascii="Arial" w:cs="Arial" w:eastAsia="Arial" w:hAnsi="Arial"/>
                <w:sz w:val="11"/>
                <w:szCs w:val="11"/>
                <w:color w:val="auto"/>
              </w:rPr>
              <w:t>Net realized and unrealized gain (loss)</w:t>
            </w:r>
            <w:r>
              <w:rPr>
                <w:rFonts w:ascii="Arial" w:cs="Arial" w:eastAsia="Arial" w:hAnsi="Arial"/>
                <w:sz w:val="17"/>
                <w:szCs w:val="17"/>
                <w:color w:val="auto"/>
                <w:vertAlign w:val="superscript"/>
              </w:rPr>
              <w:t>(2)</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0.12</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3"/>
                <w:szCs w:val="13"/>
                <w:color w:val="auto"/>
              </w:rPr>
              <w:t>(1.01)</w:t>
            </w:r>
          </w:p>
        </w:tc>
        <w:tc>
          <w:tcPr>
            <w:tcW w:w="60" w:type="dxa"/>
            <w:vAlign w:val="bottom"/>
          </w:tcPr>
          <w:p>
            <w:pPr>
              <w:spacing w:after="0"/>
              <w:rPr>
                <w:sz w:val="12"/>
                <w:szCs w:val="12"/>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3"/>
                <w:szCs w:val="13"/>
                <w:color w:val="auto"/>
              </w:rPr>
              <w:t>(0.53)</w:t>
            </w: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0.62</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(2.81)</w:t>
            </w:r>
          </w:p>
        </w:tc>
      </w:tr>
      <w:tr>
        <w:trPr>
          <w:trHeight w:val="27"/>
        </w:trPr>
        <w:tc>
          <w:tcPr>
            <w:tcW w:w="5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increase (decrease) in net assets resulting from operations</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0.24</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0.56</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(1.93)</w:t>
            </w:r>
          </w:p>
        </w:tc>
      </w:tr>
      <w:tr>
        <w:trPr>
          <w:trHeight w:val="148"/>
        </w:trPr>
        <w:tc>
          <w:tcPr>
            <w:tcW w:w="5020" w:type="dxa"/>
            <w:vAlign w:val="bottom"/>
          </w:tcPr>
          <w:p>
            <w:pPr>
              <w:spacing w:after="0" w:line="149" w:lineRule="exact"/>
              <w:rPr>
                <w:sz w:val="20"/>
                <w:szCs w:val="20"/>
                <w:color w:val="auto"/>
              </w:rPr>
            </w:pPr>
            <w:r>
              <w:rPr>
                <w:rFonts w:ascii="Arial" w:cs="Arial" w:eastAsia="Arial" w:hAnsi="Arial"/>
                <w:sz w:val="11"/>
                <w:szCs w:val="11"/>
                <w:color w:val="auto"/>
              </w:rPr>
              <w:t>Distributions to stockholders</w:t>
            </w:r>
            <w:r>
              <w:rPr>
                <w:rFonts w:ascii="Arial" w:cs="Arial" w:eastAsia="Arial" w:hAnsi="Arial"/>
                <w:sz w:val="17"/>
                <w:szCs w:val="17"/>
                <w:color w:val="auto"/>
                <w:vertAlign w:val="superscript"/>
              </w:rPr>
              <w:t>(2),(3)</w:t>
            </w:r>
          </w:p>
        </w:tc>
        <w:tc>
          <w:tcPr>
            <w:tcW w:w="80" w:type="dxa"/>
            <w:vAlign w:val="bottom"/>
          </w:tcPr>
          <w:p>
            <w:pPr>
              <w:spacing w:after="0"/>
              <w:rPr>
                <w:sz w:val="12"/>
                <w:szCs w:val="12"/>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3"/>
                <w:szCs w:val="13"/>
                <w:color w:val="auto"/>
              </w:rPr>
              <w:t>(1.13)</w:t>
            </w:r>
          </w:p>
        </w:tc>
        <w:tc>
          <w:tcPr>
            <w:tcW w:w="80" w:type="dxa"/>
            <w:vAlign w:val="bottom"/>
          </w:tcPr>
          <w:p>
            <w:pPr>
              <w:spacing w:after="0"/>
              <w:rPr>
                <w:sz w:val="12"/>
                <w:szCs w:val="12"/>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3"/>
                <w:szCs w:val="13"/>
                <w:color w:val="auto"/>
              </w:rPr>
              <w:t>(1.10)</w:t>
            </w:r>
          </w:p>
        </w:tc>
        <w:tc>
          <w:tcPr>
            <w:tcW w:w="60" w:type="dxa"/>
            <w:vAlign w:val="bottom"/>
          </w:tcPr>
          <w:p>
            <w:pPr>
              <w:spacing w:after="0"/>
              <w:rPr>
                <w:sz w:val="12"/>
                <w:szCs w:val="12"/>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3"/>
                <w:szCs w:val="13"/>
                <w:color w:val="auto"/>
              </w:rPr>
              <w:t>(1.09)</w:t>
            </w:r>
          </w:p>
        </w:tc>
        <w:tc>
          <w:tcPr>
            <w:tcW w:w="60" w:type="dxa"/>
            <w:vAlign w:val="bottom"/>
          </w:tcPr>
          <w:p>
            <w:pPr>
              <w:spacing w:after="0"/>
              <w:rPr>
                <w:sz w:val="12"/>
                <w:szCs w:val="12"/>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3"/>
                <w:szCs w:val="13"/>
                <w:color w:val="auto"/>
              </w:rPr>
              <w:t>(0.96)</w:t>
            </w: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(0.90)</w:t>
            </w: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Offering costs</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(0.15)</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(0.14)</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(0.20)</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(0.09)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r>
      <w:tr>
        <w:trPr>
          <w:trHeight w:val="156"/>
        </w:trPr>
        <w:tc>
          <w:tcPr>
            <w:tcW w:w="5020" w:type="dxa"/>
            <w:vAlign w:val="bottom"/>
          </w:tcPr>
          <w:p>
            <w:pPr>
              <w:spacing w:after="0" w:line="149" w:lineRule="exact"/>
              <w:rPr>
                <w:sz w:val="20"/>
                <w:szCs w:val="20"/>
                <w:color w:val="auto"/>
              </w:rPr>
            </w:pPr>
            <w:r>
              <w:rPr>
                <w:rFonts w:ascii="Arial" w:cs="Arial" w:eastAsia="Arial" w:hAnsi="Arial"/>
                <w:sz w:val="11"/>
                <w:szCs w:val="11"/>
                <w:color w:val="auto"/>
              </w:rPr>
              <w:t>Accretive (Dilutive) effect of common stock issuance</w:t>
            </w:r>
            <w:r>
              <w:rPr>
                <w:rFonts w:ascii="Arial" w:cs="Arial" w:eastAsia="Arial" w:hAnsi="Arial"/>
                <w:sz w:val="17"/>
                <w:szCs w:val="17"/>
                <w:color w:val="auto"/>
                <w:vertAlign w:val="superscript"/>
              </w:rPr>
              <w:t>(2)</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0.17</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0.44</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3"/>
                <w:szCs w:val="13"/>
                <w:color w:val="auto"/>
              </w:rPr>
              <w:t>(0.43)</w:t>
            </w:r>
          </w:p>
        </w:tc>
        <w:tc>
          <w:tcPr>
            <w:tcW w:w="60" w:type="dxa"/>
            <w:vAlign w:val="bottom"/>
          </w:tcPr>
          <w:p>
            <w:pPr>
              <w:spacing w:after="0"/>
              <w:rPr>
                <w:sz w:val="13"/>
                <w:szCs w:val="13"/>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3"/>
                <w:szCs w:val="13"/>
                <w:color w:val="auto"/>
              </w:rPr>
              <w:t>(0.79)</w:t>
            </w:r>
          </w:p>
        </w:tc>
        <w:tc>
          <w:tcPr>
            <w:tcW w:w="8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r>
      <w:tr>
        <w:trPr>
          <w:trHeight w:val="148"/>
        </w:trPr>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Net asset value, end of year</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10.22</w:t>
            </w:r>
          </w:p>
        </w:tc>
        <w:tc>
          <w:tcPr>
            <w:tcW w:w="5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10.13</w:t>
            </w:r>
          </w:p>
        </w:tc>
        <w:tc>
          <w:tcPr>
            <w:tcW w:w="6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10.69</w:t>
            </w:r>
          </w:p>
        </w:tc>
        <w:tc>
          <w:tcPr>
            <w:tcW w:w="5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11.85</w:t>
            </w:r>
          </w:p>
        </w:tc>
        <w:tc>
          <w:tcPr>
            <w:tcW w:w="5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20" w:type="dxa"/>
            <w:vAlign w:val="bottom"/>
            <w:shd w:val="clear" w:color="auto" w:fill="CCEEFF"/>
          </w:tcPr>
          <w:p>
            <w:pPr>
              <w:spacing w:after="0"/>
              <w:rPr>
                <w:sz w:val="12"/>
                <w:szCs w:val="12"/>
                <w:color w:val="auto"/>
              </w:rPr>
            </w:pPr>
          </w:p>
        </w:tc>
      </w:tr>
      <w:tr>
        <w:trPr>
          <w:trHeight w:val="148"/>
        </w:trPr>
        <w:tc>
          <w:tcPr>
            <w:tcW w:w="5020" w:type="dxa"/>
            <w:vAlign w:val="bottom"/>
          </w:tcPr>
          <w:p>
            <w:pPr>
              <w:spacing w:after="0"/>
              <w:rPr>
                <w:sz w:val="20"/>
                <w:szCs w:val="20"/>
                <w:color w:val="auto"/>
              </w:rPr>
            </w:pPr>
            <w:r>
              <w:rPr>
                <w:rFonts w:ascii="Arial" w:cs="Arial" w:eastAsia="Arial" w:hAnsi="Arial"/>
                <w:sz w:val="13"/>
                <w:szCs w:val="13"/>
                <w:color w:val="auto"/>
              </w:rPr>
              <w:t>Per share market value, end of year</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10.61</w:t>
            </w:r>
          </w:p>
        </w:tc>
        <w:tc>
          <w:tcPr>
            <w:tcW w:w="5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8.92</w:t>
            </w:r>
          </w:p>
        </w:tc>
        <w:tc>
          <w:tcPr>
            <w:tcW w:w="6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10.61</w:t>
            </w:r>
          </w:p>
        </w:tc>
        <w:tc>
          <w:tcPr>
            <w:tcW w:w="5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540"/>
              <w:spacing w:after="0"/>
              <w:rPr>
                <w:sz w:val="20"/>
                <w:szCs w:val="20"/>
                <w:color w:val="auto"/>
              </w:rPr>
            </w:pPr>
            <w:r>
              <w:rPr>
                <w:rFonts w:ascii="Arial" w:cs="Arial" w:eastAsia="Arial" w:hAnsi="Arial"/>
                <w:sz w:val="13"/>
                <w:szCs w:val="13"/>
                <w:color w:val="auto"/>
              </w:rPr>
              <w:t>8.11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7.41</w:t>
            </w:r>
          </w:p>
        </w:tc>
        <w:tc>
          <w:tcPr>
            <w:tcW w:w="220" w:type="dxa"/>
            <w:vAlign w:val="bottom"/>
          </w:tcPr>
          <w:p>
            <w:pPr>
              <w:spacing w:after="0"/>
              <w:rPr>
                <w:sz w:val="12"/>
                <w:szCs w:val="12"/>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Total return</w:t>
            </w:r>
            <w:r>
              <w:rPr>
                <w:rFonts w:ascii="Arial" w:cs="Arial" w:eastAsia="Arial" w:hAnsi="Arial"/>
                <w:sz w:val="17"/>
                <w:szCs w:val="17"/>
                <w:color w:val="auto"/>
                <w:vertAlign w:val="superscript"/>
              </w:rPr>
              <w:t>(4)</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28.71%</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(7.37)%</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44.79%</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30.39%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(38.58)%</w:t>
            </w:r>
          </w:p>
        </w:tc>
      </w:tr>
      <w:tr>
        <w:trPr>
          <w:trHeight w:val="149"/>
        </w:trPr>
        <w:tc>
          <w:tcPr>
            <w:tcW w:w="5020" w:type="dxa"/>
            <w:vAlign w:val="bottom"/>
          </w:tcPr>
          <w:p>
            <w:pPr>
              <w:spacing w:after="0"/>
              <w:rPr>
                <w:sz w:val="20"/>
                <w:szCs w:val="20"/>
                <w:color w:val="auto"/>
              </w:rPr>
            </w:pPr>
            <w:r>
              <w:rPr>
                <w:rFonts w:ascii="Arial" w:cs="Arial" w:eastAsia="Arial" w:hAnsi="Arial"/>
                <w:sz w:val="13"/>
                <w:szCs w:val="13"/>
                <w:color w:val="auto"/>
              </w:rPr>
              <w:t>Shares outstanding at end of year</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65,514,503</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45,689,781</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36,158,772</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25,368,772</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21,068,772</w:t>
            </w:r>
          </w:p>
        </w:tc>
        <w:tc>
          <w:tcPr>
            <w:tcW w:w="220" w:type="dxa"/>
            <w:vAlign w:val="bottom"/>
          </w:tcPr>
          <w:p>
            <w:pPr>
              <w:spacing w:after="0"/>
              <w:rPr>
                <w:sz w:val="12"/>
                <w:szCs w:val="12"/>
                <w:color w:val="auto"/>
              </w:rPr>
            </w:pPr>
          </w:p>
        </w:tc>
      </w:tr>
      <w:tr>
        <w:trPr>
          <w:trHeight w:val="148"/>
        </w:trPr>
        <w:tc>
          <w:tcPr>
            <w:tcW w:w="50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Ratio / Supplemental Data:</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5020" w:type="dxa"/>
            <w:vAlign w:val="bottom"/>
          </w:tcPr>
          <w:p>
            <w:pPr>
              <w:spacing w:after="0" w:line="149" w:lineRule="exact"/>
              <w:rPr>
                <w:sz w:val="20"/>
                <w:szCs w:val="20"/>
                <w:color w:val="auto"/>
              </w:rPr>
            </w:pPr>
            <w:r>
              <w:rPr>
                <w:rFonts w:ascii="Arial" w:cs="Arial" w:eastAsia="Arial" w:hAnsi="Arial"/>
                <w:sz w:val="11"/>
                <w:szCs w:val="11"/>
                <w:color w:val="auto"/>
              </w:rPr>
              <w:t>Ratio of operating expenses to average net assets</w:t>
            </w:r>
            <w:r>
              <w:rPr>
                <w:rFonts w:ascii="Arial" w:cs="Arial" w:eastAsia="Arial" w:hAnsi="Arial"/>
                <w:sz w:val="17"/>
                <w:szCs w:val="17"/>
                <w:color w:val="auto"/>
                <w:vertAlign w:val="superscript"/>
              </w:rPr>
              <w:t>(5)</w:t>
            </w:r>
          </w:p>
        </w:tc>
        <w:tc>
          <w:tcPr>
            <w:tcW w:w="80" w:type="dxa"/>
            <w:vAlign w:val="bottom"/>
          </w:tcPr>
          <w:p>
            <w:pPr>
              <w:spacing w:after="0"/>
              <w:rPr>
                <w:sz w:val="12"/>
                <w:szCs w:val="12"/>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3"/>
                <w:szCs w:val="13"/>
                <w:color w:val="auto"/>
              </w:rPr>
              <w:t>7.11%</w:t>
            </w:r>
          </w:p>
        </w:tc>
        <w:tc>
          <w:tcPr>
            <w:tcW w:w="80" w:type="dxa"/>
            <w:vAlign w:val="bottom"/>
          </w:tcPr>
          <w:p>
            <w:pPr>
              <w:spacing w:after="0"/>
              <w:rPr>
                <w:sz w:val="12"/>
                <w:szCs w:val="12"/>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3"/>
                <w:szCs w:val="13"/>
                <w:color w:val="auto"/>
              </w:rPr>
              <w:t>7.28%</w:t>
            </w:r>
          </w:p>
        </w:tc>
        <w:tc>
          <w:tcPr>
            <w:tcW w:w="60" w:type="dxa"/>
            <w:vAlign w:val="bottom"/>
          </w:tcPr>
          <w:p>
            <w:pPr>
              <w:spacing w:after="0"/>
              <w:rPr>
                <w:sz w:val="12"/>
                <w:szCs w:val="12"/>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3"/>
                <w:szCs w:val="13"/>
                <w:color w:val="auto"/>
              </w:rPr>
              <w:t>7.16%</w:t>
            </w:r>
          </w:p>
        </w:tc>
        <w:tc>
          <w:tcPr>
            <w:tcW w:w="60" w:type="dxa"/>
            <w:vAlign w:val="bottom"/>
          </w:tcPr>
          <w:p>
            <w:pPr>
              <w:spacing w:after="0"/>
              <w:rPr>
                <w:sz w:val="12"/>
                <w:szCs w:val="12"/>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3"/>
                <w:szCs w:val="13"/>
                <w:color w:val="auto"/>
              </w:rPr>
              <w:t>7.42%</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6.30%</w:t>
            </w: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Ratio of Credit Facility related expenses to average net assets</w:t>
            </w:r>
            <w:r>
              <w:rPr>
                <w:rFonts w:ascii="Arial" w:cs="Arial" w:eastAsia="Arial" w:hAnsi="Arial"/>
                <w:sz w:val="17"/>
                <w:szCs w:val="17"/>
                <w:color w:val="auto"/>
                <w:vertAlign w:val="superscript"/>
              </w:rPr>
              <w:t>(7)</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3.08%</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1.15%</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1.08%</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1.93%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2.66%</w:t>
            </w:r>
          </w:p>
        </w:tc>
      </w:tr>
      <w:tr>
        <w:trPr>
          <w:trHeight w:val="148"/>
        </w:trPr>
        <w:tc>
          <w:tcPr>
            <w:tcW w:w="5020" w:type="dxa"/>
            <w:vAlign w:val="bottom"/>
          </w:tcPr>
          <w:p>
            <w:pPr>
              <w:spacing w:after="0" w:line="149" w:lineRule="exact"/>
              <w:rPr>
                <w:sz w:val="20"/>
                <w:szCs w:val="20"/>
                <w:color w:val="auto"/>
              </w:rPr>
            </w:pPr>
            <w:r>
              <w:rPr>
                <w:rFonts w:ascii="Arial" w:cs="Arial" w:eastAsia="Arial" w:hAnsi="Arial"/>
                <w:sz w:val="11"/>
                <w:szCs w:val="11"/>
                <w:color w:val="auto"/>
              </w:rPr>
              <w:t>Ratio of total expenses to average net assets</w:t>
            </w:r>
            <w:r>
              <w:rPr>
                <w:rFonts w:ascii="Arial" w:cs="Arial" w:eastAsia="Arial" w:hAnsi="Arial"/>
                <w:sz w:val="17"/>
                <w:szCs w:val="17"/>
                <w:color w:val="auto"/>
                <w:vertAlign w:val="superscript"/>
              </w:rPr>
              <w:t>(6),(7)</w:t>
            </w:r>
          </w:p>
        </w:tc>
        <w:tc>
          <w:tcPr>
            <w:tcW w:w="80" w:type="dxa"/>
            <w:vAlign w:val="bottom"/>
          </w:tcPr>
          <w:p>
            <w:pPr>
              <w:spacing w:after="0"/>
              <w:rPr>
                <w:sz w:val="12"/>
                <w:szCs w:val="12"/>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3"/>
                <w:szCs w:val="13"/>
                <w:color w:val="auto"/>
              </w:rPr>
              <w:t>10.19%</w:t>
            </w:r>
          </w:p>
        </w:tc>
        <w:tc>
          <w:tcPr>
            <w:tcW w:w="80" w:type="dxa"/>
            <w:vAlign w:val="bottom"/>
          </w:tcPr>
          <w:p>
            <w:pPr>
              <w:spacing w:after="0"/>
              <w:rPr>
                <w:sz w:val="12"/>
                <w:szCs w:val="12"/>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3"/>
                <w:szCs w:val="13"/>
                <w:color w:val="auto"/>
              </w:rPr>
              <w:t>8.43%</w:t>
            </w:r>
          </w:p>
        </w:tc>
        <w:tc>
          <w:tcPr>
            <w:tcW w:w="60" w:type="dxa"/>
            <w:vAlign w:val="bottom"/>
          </w:tcPr>
          <w:p>
            <w:pPr>
              <w:spacing w:after="0"/>
              <w:rPr>
                <w:sz w:val="12"/>
                <w:szCs w:val="12"/>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3"/>
                <w:szCs w:val="13"/>
                <w:color w:val="auto"/>
              </w:rPr>
              <w:t>8.24%</w:t>
            </w:r>
          </w:p>
        </w:tc>
        <w:tc>
          <w:tcPr>
            <w:tcW w:w="60" w:type="dxa"/>
            <w:vAlign w:val="bottom"/>
          </w:tcPr>
          <w:p>
            <w:pPr>
              <w:spacing w:after="0"/>
              <w:rPr>
                <w:sz w:val="12"/>
                <w:szCs w:val="12"/>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3"/>
                <w:szCs w:val="13"/>
                <w:color w:val="auto"/>
              </w:rPr>
              <w:t>9.35%</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8.96%</w:t>
            </w:r>
          </w:p>
        </w:tc>
      </w:tr>
      <w:tr>
        <w:trPr>
          <w:trHeight w:val="149"/>
        </w:trPr>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Ratio of net investment income to average net assets</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10.32%</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11.35%</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9.45%</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9.49%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7.82%</w:t>
            </w:r>
          </w:p>
        </w:tc>
      </w:tr>
      <w:tr>
        <w:trPr>
          <w:trHeight w:val="148"/>
        </w:trPr>
        <w:tc>
          <w:tcPr>
            <w:tcW w:w="5020" w:type="dxa"/>
            <w:vAlign w:val="bottom"/>
          </w:tcPr>
          <w:p>
            <w:pPr>
              <w:spacing w:after="0" w:line="149" w:lineRule="exact"/>
              <w:rPr>
                <w:sz w:val="20"/>
                <w:szCs w:val="20"/>
                <w:color w:val="auto"/>
              </w:rPr>
            </w:pPr>
            <w:r>
              <w:rPr>
                <w:rFonts w:ascii="Arial" w:cs="Arial" w:eastAsia="Arial" w:hAnsi="Arial"/>
                <w:sz w:val="11"/>
                <w:szCs w:val="11"/>
                <w:color w:val="auto"/>
              </w:rPr>
              <w:t>Net assets at end of year</w:t>
            </w:r>
            <w:r>
              <w:rPr>
                <w:rFonts w:ascii="Arial" w:cs="Arial" w:eastAsia="Arial" w:hAnsi="Arial"/>
                <w:sz w:val="17"/>
                <w:szCs w:val="17"/>
                <w:color w:val="auto"/>
                <w:vertAlign w:val="superscript"/>
              </w:rPr>
              <w:t>(7)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1"/>
              </w:rPr>
              <w:t>669,717,047</w:t>
            </w:r>
          </w:p>
        </w:tc>
        <w:tc>
          <w:tcPr>
            <w:tcW w:w="5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88"/>
              </w:rPr>
              <w:t>462,657,196</w:t>
            </w:r>
          </w:p>
        </w:tc>
        <w:tc>
          <w:tcPr>
            <w:tcW w:w="6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1"/>
              </w:rPr>
              <w:t>386,575,223</w:t>
            </w:r>
          </w:p>
        </w:tc>
        <w:tc>
          <w:tcPr>
            <w:tcW w:w="5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1"/>
              </w:rPr>
              <w:t>300,580,268</w:t>
            </w:r>
          </w:p>
        </w:tc>
        <w:tc>
          <w:tcPr>
            <w:tcW w:w="5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1"/>
              </w:rPr>
              <w:t>210,728,260</w:t>
            </w:r>
          </w:p>
        </w:tc>
        <w:tc>
          <w:tcPr>
            <w:tcW w:w="220" w:type="dxa"/>
            <w:vAlign w:val="bottom"/>
          </w:tcPr>
          <w:p>
            <w:pPr>
              <w:spacing w:after="0"/>
              <w:rPr>
                <w:sz w:val="12"/>
                <w:szCs w:val="12"/>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Weighted average debt outstanding</w:t>
            </w:r>
            <w:r>
              <w:rPr>
                <w:rFonts w:ascii="Arial" w:cs="Arial" w:eastAsia="Arial" w:hAnsi="Arial"/>
                <w:sz w:val="17"/>
                <w:szCs w:val="17"/>
                <w:color w:val="auto"/>
                <w:vertAlign w:val="superscript"/>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340,868,033</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278,294,433</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246,216,548</w:t>
            </w: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182,490,685</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1"/>
              </w:rPr>
              <w:t>119,472,732</w:t>
            </w:r>
          </w:p>
        </w:tc>
      </w:tr>
      <w:tr>
        <w:trPr>
          <w:trHeight w:val="148"/>
        </w:trPr>
        <w:tc>
          <w:tcPr>
            <w:tcW w:w="5020" w:type="dxa"/>
            <w:vAlign w:val="bottom"/>
          </w:tcPr>
          <w:p>
            <w:pPr>
              <w:spacing w:after="0" w:line="149" w:lineRule="exact"/>
              <w:rPr>
                <w:sz w:val="20"/>
                <w:szCs w:val="20"/>
                <w:color w:val="auto"/>
              </w:rPr>
            </w:pPr>
            <w:r>
              <w:rPr>
                <w:rFonts w:ascii="Arial" w:cs="Arial" w:eastAsia="Arial" w:hAnsi="Arial"/>
                <w:sz w:val="11"/>
                <w:szCs w:val="11"/>
                <w:color w:val="auto"/>
              </w:rPr>
              <w:t>Weighted average debt per share</w:t>
            </w:r>
            <w:r>
              <w:rPr>
                <w:rFonts w:ascii="Arial" w:cs="Arial" w:eastAsia="Arial" w:hAnsi="Arial"/>
                <w:sz w:val="17"/>
                <w:szCs w:val="17"/>
                <w:color w:val="auto"/>
                <w:vertAlign w:val="superscript"/>
              </w:rPr>
              <w:t>(7)</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6.44</w:t>
            </w:r>
          </w:p>
        </w:tc>
        <w:tc>
          <w:tcPr>
            <w:tcW w:w="5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6.60</w:t>
            </w:r>
          </w:p>
        </w:tc>
        <w:tc>
          <w:tcPr>
            <w:tcW w:w="6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8.33</w:t>
            </w:r>
          </w:p>
        </w:tc>
        <w:tc>
          <w:tcPr>
            <w:tcW w:w="5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8.65</w:t>
            </w:r>
          </w:p>
        </w:tc>
        <w:tc>
          <w:tcPr>
            <w:tcW w:w="5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5.67</w:t>
            </w:r>
          </w:p>
        </w:tc>
        <w:tc>
          <w:tcPr>
            <w:tcW w:w="220" w:type="dxa"/>
            <w:vAlign w:val="bottom"/>
          </w:tcPr>
          <w:p>
            <w:pPr>
              <w:spacing w:after="0"/>
              <w:rPr>
                <w:sz w:val="12"/>
                <w:szCs w:val="12"/>
                <w:color w:val="auto"/>
              </w:rPr>
            </w:pPr>
          </w:p>
        </w:tc>
      </w:tr>
      <w:tr>
        <w:trPr>
          <w:trHeight w:val="149"/>
        </w:trPr>
        <w:tc>
          <w:tcPr>
            <w:tcW w:w="5020" w:type="dxa"/>
            <w:vAlign w:val="bottom"/>
            <w:shd w:val="clear" w:color="auto" w:fill="CCEEFF"/>
          </w:tcPr>
          <w:p>
            <w:pPr>
              <w:spacing w:after="0"/>
              <w:rPr>
                <w:sz w:val="20"/>
                <w:szCs w:val="20"/>
                <w:color w:val="auto"/>
              </w:rPr>
            </w:pPr>
            <w:r>
              <w:rPr>
                <w:rFonts w:ascii="Arial" w:cs="Arial" w:eastAsia="Arial" w:hAnsi="Arial"/>
                <w:sz w:val="13"/>
                <w:szCs w:val="13"/>
                <w:color w:val="auto"/>
              </w:rPr>
              <w:t>Portfolio turnover ratio</w:t>
            </w: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22.81%</w:t>
            </w: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40.89%</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25.97%</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7.47%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7830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8" w:lineRule="exact"/>
        <w:rPr>
          <w:sz w:val="20"/>
          <w:szCs w:val="20"/>
          <w:color w:val="auto"/>
        </w:rPr>
      </w:pPr>
    </w:p>
    <w:p>
      <w:pPr>
        <w:ind w:left="460" w:right="200" w:hanging="452"/>
        <w:spacing w:after="0" w:line="248" w:lineRule="auto"/>
        <w:tabs>
          <w:tab w:leader="none" w:pos="4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ind w:left="460" w:hanging="452"/>
        <w:spacing w:after="0"/>
        <w:tabs>
          <w:tab w:leader="none" w:pos="4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Calculated based on the weighted average shares outstanding for the respective periods.</w:t>
      </w:r>
    </w:p>
    <w:p>
      <w:pPr>
        <w:spacing w:after="0" w:line="54" w:lineRule="exact"/>
        <w:rPr>
          <w:rFonts w:ascii="Arial" w:cs="Arial" w:eastAsia="Arial" w:hAnsi="Arial"/>
          <w:sz w:val="13"/>
          <w:szCs w:val="13"/>
          <w:color w:val="auto"/>
        </w:rPr>
      </w:pPr>
    </w:p>
    <w:p>
      <w:pPr>
        <w:ind w:left="460" w:hanging="452"/>
        <w:spacing w:after="0"/>
        <w:tabs>
          <w:tab w:leader="none" w:pos="4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Determined based on taxable income calculated in accordance with income tax regulations and may differ from amounts determined under GAAP.</w:t>
      </w:r>
    </w:p>
    <w:p>
      <w:pPr>
        <w:spacing w:after="0" w:line="66" w:lineRule="exact"/>
        <w:rPr>
          <w:rFonts w:ascii="Arial" w:cs="Arial" w:eastAsia="Arial" w:hAnsi="Arial"/>
          <w:sz w:val="13"/>
          <w:szCs w:val="13"/>
          <w:color w:val="auto"/>
        </w:rPr>
      </w:pPr>
    </w:p>
    <w:p>
      <w:pPr>
        <w:ind w:left="460" w:hanging="452"/>
        <w:spacing w:after="0"/>
        <w:tabs>
          <w:tab w:leader="none" w:pos="4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Based on the change in market price per share during the periods and takes into account dividends and distributions, if any, reinvested in accordance with our dividend reinvestment plan.</w:t>
      </w:r>
    </w:p>
    <w:p>
      <w:pPr>
        <w:spacing w:after="0" w:line="66" w:lineRule="exact"/>
        <w:rPr>
          <w:rFonts w:ascii="Arial" w:cs="Arial" w:eastAsia="Arial" w:hAnsi="Arial"/>
          <w:sz w:val="13"/>
          <w:szCs w:val="13"/>
          <w:color w:val="auto"/>
        </w:rPr>
      </w:pPr>
    </w:p>
    <w:p>
      <w:pPr>
        <w:ind w:left="460" w:hanging="452"/>
        <w:spacing w:after="0"/>
        <w:tabs>
          <w:tab w:leader="none" w:pos="4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Before adoption of ASC 825 for the fiscal years ended September 30, 2012, 2011, 2010, 2009 and 2008, the ratios were 7.11%, 7.38%, 7.95%, 9.32% and 6.47%, respectively.</w:t>
      </w:r>
    </w:p>
    <w:p>
      <w:pPr>
        <w:spacing w:after="0" w:line="66" w:lineRule="exact"/>
        <w:rPr>
          <w:rFonts w:ascii="Arial" w:cs="Arial" w:eastAsia="Arial" w:hAnsi="Arial"/>
          <w:sz w:val="13"/>
          <w:szCs w:val="13"/>
          <w:color w:val="auto"/>
        </w:rPr>
      </w:pPr>
    </w:p>
    <w:p>
      <w:pPr>
        <w:ind w:left="460" w:hanging="452"/>
        <w:spacing w:after="0"/>
        <w:tabs>
          <w:tab w:leader="none" w:pos="4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Before adoption of ASC 825 for the fiscal years ended September 30, 2012, 2011, 2010, 2009 and 2008, the ratios were 10.20%, 8.55%, 9.15%, (1.75%) and 9.13%, respectively.</w:t>
      </w:r>
    </w:p>
    <w:p>
      <w:pPr>
        <w:spacing w:after="0" w:line="66" w:lineRule="exact"/>
        <w:rPr>
          <w:rFonts w:ascii="Arial" w:cs="Arial" w:eastAsia="Arial" w:hAnsi="Arial"/>
          <w:sz w:val="13"/>
          <w:szCs w:val="13"/>
          <w:color w:val="auto"/>
        </w:rPr>
      </w:pPr>
    </w:p>
    <w:p>
      <w:pPr>
        <w:ind w:left="460" w:hanging="452"/>
        <w:spacing w:after="0"/>
        <w:tabs>
          <w:tab w:leader="none" w:pos="4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the SBA debentures outstanding.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ectPr>
          <w:pgSz w:w="11900" w:h="16838" w:orient="portrait"/>
          <w:cols w:equalWidth="0" w:num="1">
            <w:col w:w="11240"/>
          </w:cols>
          <w:pgMar w:left="32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19"/>
        <w:spacing w:after="0"/>
        <w:rPr>
          <w:sz w:val="20"/>
          <w:szCs w:val="20"/>
          <w:color w:val="auto"/>
        </w:rPr>
      </w:pPr>
      <w:r>
        <w:rPr>
          <w:rFonts w:ascii="Arial" w:cs="Arial" w:eastAsia="Arial" w:hAnsi="Arial"/>
          <w:sz w:val="13"/>
          <w:szCs w:val="13"/>
          <w:b w:val="1"/>
          <w:bCs w:val="1"/>
          <w:color w:val="auto"/>
        </w:rPr>
        <w:t>SEPTEMBER 30, 2012</w:t>
      </w:r>
    </w:p>
    <w:p>
      <w:pPr>
        <w:spacing w:after="0" w:line="134" w:lineRule="exact"/>
        <w:rPr>
          <w:sz w:val="20"/>
          <w:szCs w:val="20"/>
          <w:color w:val="auto"/>
        </w:rPr>
      </w:pPr>
    </w:p>
    <w:p>
      <w:pPr>
        <w:ind w:left="240" w:right="8260" w:hanging="232"/>
        <w:spacing w:after="0" w:line="370" w:lineRule="auto"/>
        <w:tabs>
          <w:tab w:leader="none" w:pos="211"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CREDIT FACILITY AND SBA DEBENTURES </w:t>
      </w:r>
      <w:r>
        <w:rPr>
          <w:rFonts w:ascii="Arial" w:cs="Arial" w:eastAsia="Arial" w:hAnsi="Arial"/>
          <w:sz w:val="13"/>
          <w:szCs w:val="13"/>
          <w:b w:val="1"/>
          <w:bCs w:val="1"/>
          <w:i w:val="1"/>
          <w:iCs w:val="1"/>
          <w:color w:val="auto"/>
        </w:rPr>
        <w:t>Credit Facility</w:t>
      </w:r>
    </w:p>
    <w:p>
      <w:pPr>
        <w:ind w:right="40" w:firstLine="562"/>
        <w:spacing w:after="0" w:line="273" w:lineRule="auto"/>
        <w:rPr>
          <w:sz w:val="20"/>
          <w:szCs w:val="20"/>
          <w:color w:val="auto"/>
        </w:rPr>
      </w:pPr>
      <w:r>
        <w:rPr>
          <w:rFonts w:ascii="Arial" w:cs="Arial" w:eastAsia="Arial" w:hAnsi="Arial"/>
          <w:sz w:val="12"/>
          <w:szCs w:val="12"/>
          <w:color w:val="auto"/>
        </w:rPr>
        <w:t>On February 21, 2012, we amended and restated our multi-currency Credit Facility, which increased the size of the Credit Facility to $380 million, with certain lenders and SunTrust Bank, acting as administrative agent and JPMorgan Chase Bank, N.A., as syndication agent for the lenders. As of September 30, 2012 and September 30, 2011, there was $145.0 million (including a temporary draw of $35.5 million) and $240.9 million, respectively, in outstanding borrowings under the Credit Facility, with a weighted average interest rate at the time of 3.49% and 1.27%, exclusive of the fee on undrawn commitments of 0.50% and 0.20%, respectively. The Credit Facility is a four-year revolving facility, with a stated maturity date of February 21, 2016, with a one-year term-out period following its third year and pricing is set at 275 basis points over LIBOR. The Credit Facility is secured by substantially all of the assets of the Company excluding assets held by our SBIC.</w:t>
      </w:r>
    </w:p>
    <w:p>
      <w:pPr>
        <w:spacing w:after="0" w:line="93" w:lineRule="exact"/>
        <w:rPr>
          <w:sz w:val="20"/>
          <w:szCs w:val="20"/>
          <w:color w:val="auto"/>
        </w:rPr>
      </w:pPr>
    </w:p>
    <w:p>
      <w:pPr>
        <w:ind w:right="100" w:firstLine="562"/>
        <w:spacing w:after="0" w:line="250" w:lineRule="auto"/>
        <w:rPr>
          <w:sz w:val="20"/>
          <w:szCs w:val="20"/>
          <w:color w:val="auto"/>
        </w:rPr>
      </w:pPr>
      <w:r>
        <w:rPr>
          <w:rFonts w:ascii="Arial" w:cs="Arial" w:eastAsia="Arial" w:hAnsi="Arial"/>
          <w:sz w:val="13"/>
          <w:szCs w:val="13"/>
          <w:color w:val="auto"/>
        </w:rPr>
        <w:t>In accordance with the 1940 Act, with certain limited exceptions, PennantPark Investment is only allowed to borrow amounts such that our asset coverage ratio is met after such borrowing. As of September 30, 2012, we excluded the principal amounts of our SBA debentures, from our asset coverage ratio pursuant to an SEC exemptive relief, received in June 2011, resulting in an asset coverage ratio of 564%. As a result of this exemptive relief, our asset coverage ratio of total assets on a consolidated basis, including the principal amount of our SBA debentures, to outstanding indebtedness may be less than 200%, which while providing increased investment flexibility, also increases our exposure to risks associated with leverage.</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3"/>
          <w:szCs w:val="13"/>
          <w:b w:val="1"/>
          <w:bCs w:val="1"/>
          <w:i w:val="1"/>
          <w:iCs w:val="1"/>
          <w:color w:val="auto"/>
        </w:rPr>
        <w:t>SBA Debentures</w:t>
      </w:r>
    </w:p>
    <w:p>
      <w:pPr>
        <w:spacing w:after="0" w:line="80" w:lineRule="exact"/>
        <w:rPr>
          <w:sz w:val="20"/>
          <w:szCs w:val="20"/>
          <w:color w:val="auto"/>
        </w:rPr>
      </w:pPr>
    </w:p>
    <w:p>
      <w:pPr>
        <w:ind w:right="40" w:firstLine="562"/>
        <w:spacing w:after="0" w:line="265" w:lineRule="auto"/>
        <w:rPr>
          <w:sz w:val="20"/>
          <w:szCs w:val="20"/>
          <w:color w:val="auto"/>
        </w:rPr>
      </w:pPr>
      <w:r>
        <w:rPr>
          <w:rFonts w:ascii="Arial" w:cs="Arial" w:eastAsia="Arial" w:hAnsi="Arial"/>
          <w:sz w:val="12"/>
          <w:szCs w:val="12"/>
          <w:color w:val="auto"/>
        </w:rPr>
        <w:t>SBIC LP is able to borrow funds from the SBA against regulatory capital (which approximates equity capital) that is paid-in and is subject to customary regulatory requirements including an examination by the SBA. We have funded SBIC LP with $75.0 million of equity capital and had SBA debentures outstanding of $150.0 million as of September 30, 2012. SBA debentures are non-recourse to us, have a 10-year maturity, and may be prepaid at any time without penalty. The interest rate of SBA debentures is fixed at the time of issuance, often referred to as pooling, at a market-driven spread over</w:t>
      </w:r>
    </w:p>
    <w:p>
      <w:pPr>
        <w:ind w:right="60"/>
        <w:spacing w:after="0" w:line="255" w:lineRule="auto"/>
        <w:rPr>
          <w:sz w:val="20"/>
          <w:szCs w:val="20"/>
          <w:color w:val="auto"/>
        </w:rPr>
      </w:pPr>
      <w:r>
        <w:rPr>
          <w:rFonts w:ascii="Arial" w:cs="Arial" w:eastAsia="Arial" w:hAnsi="Arial"/>
          <w:sz w:val="13"/>
          <w:szCs w:val="13"/>
          <w:color w:val="auto"/>
        </w:rPr>
        <w:t>10-year U.S. Treasury Notes. SBA current regulations limit the amount that SBIC LP may borrow to a maximum of $150.0 million, which is up to twice its potential regulatory capital. SBIC LP has accessed the maximum borrowing with its $75.0 million in regulatory capital.</w:t>
      </w:r>
    </w:p>
    <w:p>
      <w:pPr>
        <w:spacing w:after="0" w:line="102" w:lineRule="exact"/>
        <w:rPr>
          <w:sz w:val="20"/>
          <w:szCs w:val="20"/>
          <w:color w:val="auto"/>
        </w:rPr>
      </w:pPr>
    </w:p>
    <w:p>
      <w:pPr>
        <w:ind w:right="20" w:firstLine="562"/>
        <w:spacing w:after="0" w:line="274" w:lineRule="auto"/>
        <w:rPr>
          <w:sz w:val="20"/>
          <w:szCs w:val="20"/>
          <w:color w:val="auto"/>
        </w:rPr>
      </w:pPr>
      <w:r>
        <w:rPr>
          <w:rFonts w:ascii="Arial" w:cs="Arial" w:eastAsia="Arial" w:hAnsi="Arial"/>
          <w:sz w:val="13"/>
          <w:szCs w:val="13"/>
          <w:color w:val="auto"/>
        </w:rPr>
        <w:t>As of September 30, 2012, $150.0 million in debt commitments were fully drawn with a weighted average interest rate of 3.70% exclusive of the 3.43% in upfront fees which are amortized over the life of the loan (4.04% after upfront fees). Our fixed rate SBA debentures as of September 30, 2012 are as follows:</w:t>
      </w:r>
    </w:p>
    <w:p>
      <w:pPr>
        <w:spacing w:after="0" w:line="87" w:lineRule="exact"/>
        <w:rPr>
          <w:sz w:val="20"/>
          <w:szCs w:val="20"/>
          <w:color w:val="auto"/>
        </w:rPr>
      </w:pPr>
    </w:p>
    <w:tbl>
      <w:tblPr>
        <w:tblLayout w:type="fixed"/>
        <w:tblInd w:w="2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6"/>
              </w:rPr>
              <w:t>Fixed All-in</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ind w:right="113"/>
              <w:spacing w:after="0"/>
              <w:rPr>
                <w:sz w:val="20"/>
                <w:szCs w:val="20"/>
                <w:color w:val="auto"/>
              </w:rPr>
            </w:pPr>
            <w:r>
              <w:rPr>
                <w:rFonts w:ascii="Arial" w:cs="Arial" w:eastAsia="Arial" w:hAnsi="Arial"/>
                <w:sz w:val="13"/>
                <w:szCs w:val="13"/>
                <w:b w:val="1"/>
                <w:bCs w:val="1"/>
                <w:color w:val="auto"/>
                <w:w w:val="98"/>
              </w:rPr>
              <w:t>Principal</w:t>
            </w:r>
          </w:p>
        </w:tc>
        <w:tc>
          <w:tcPr>
            <w:tcW w:w="0" w:type="dxa"/>
            <w:vAlign w:val="bottom"/>
          </w:tcPr>
          <w:p>
            <w:pPr>
              <w:spacing w:after="0"/>
              <w:rPr>
                <w:sz w:val="1"/>
                <w:szCs w:val="1"/>
                <w:color w:val="auto"/>
              </w:rPr>
            </w:pPr>
          </w:p>
        </w:tc>
      </w:tr>
      <w:tr>
        <w:trPr>
          <w:trHeight w:val="175"/>
        </w:trPr>
        <w:tc>
          <w:tcPr>
            <w:tcW w:w="2600" w:type="dxa"/>
            <w:vAlign w:val="bottom"/>
            <w:gridSpan w:val="2"/>
          </w:tcPr>
          <w:p>
            <w:pPr>
              <w:spacing w:after="0"/>
              <w:rPr>
                <w:sz w:val="20"/>
                <w:szCs w:val="20"/>
                <w:color w:val="auto"/>
              </w:rPr>
            </w:pPr>
            <w:r>
              <w:rPr>
                <w:rFonts w:ascii="Arial" w:cs="Arial" w:eastAsia="Arial" w:hAnsi="Arial"/>
                <w:sz w:val="13"/>
                <w:szCs w:val="13"/>
                <w:b w:val="1"/>
                <w:bCs w:val="1"/>
                <w:color w:val="auto"/>
              </w:rPr>
              <w:t>Issuance Dates</w:t>
            </w:r>
          </w:p>
        </w:tc>
        <w:tc>
          <w:tcPr>
            <w:tcW w:w="500" w:type="dxa"/>
            <w:vAlign w:val="bottom"/>
          </w:tcPr>
          <w:p>
            <w:pPr>
              <w:spacing w:after="0"/>
              <w:rPr>
                <w:sz w:val="15"/>
                <w:szCs w:val="15"/>
                <w:color w:val="auto"/>
              </w:rPr>
            </w:pPr>
          </w:p>
        </w:tc>
        <w:tc>
          <w:tcPr>
            <w:tcW w:w="1020" w:type="dxa"/>
            <w:vAlign w:val="bottom"/>
          </w:tcPr>
          <w:p>
            <w:pPr>
              <w:ind w:left="240"/>
              <w:spacing w:after="0"/>
              <w:rPr>
                <w:sz w:val="20"/>
                <w:szCs w:val="20"/>
                <w:color w:val="auto"/>
              </w:rPr>
            </w:pPr>
            <w:r>
              <w:rPr>
                <w:rFonts w:ascii="Arial" w:cs="Arial" w:eastAsia="Arial" w:hAnsi="Arial"/>
                <w:sz w:val="13"/>
                <w:szCs w:val="13"/>
                <w:b w:val="1"/>
                <w:bCs w:val="1"/>
                <w:color w:val="auto"/>
              </w:rPr>
              <w:t>Maturity</w:t>
            </w:r>
          </w:p>
        </w:tc>
        <w:tc>
          <w:tcPr>
            <w:tcW w:w="1780" w:type="dxa"/>
            <w:vAlign w:val="bottom"/>
            <w:gridSpan w:val="3"/>
          </w:tcPr>
          <w:p>
            <w:pPr>
              <w:jc w:val="center"/>
              <w:ind w:left="74"/>
              <w:spacing w:after="0" w:line="176" w:lineRule="exact"/>
              <w:rPr>
                <w:sz w:val="20"/>
                <w:szCs w:val="20"/>
                <w:color w:val="auto"/>
              </w:rPr>
            </w:pPr>
            <w:r>
              <w:rPr>
                <w:rFonts w:ascii="Arial" w:cs="Arial" w:eastAsia="Arial" w:hAnsi="Arial"/>
                <w:sz w:val="12"/>
                <w:szCs w:val="12"/>
                <w:b w:val="1"/>
                <w:bCs w:val="1"/>
                <w:color w:val="auto"/>
                <w:w w:val="96"/>
              </w:rPr>
              <w:t>Coupon Rate</w:t>
            </w:r>
            <w:r>
              <w:rPr>
                <w:rFonts w:ascii="Arial" w:cs="Arial" w:eastAsia="Arial" w:hAnsi="Arial"/>
                <w:sz w:val="20"/>
                <w:szCs w:val="20"/>
                <w:b w:val="1"/>
                <w:bCs w:val="1"/>
                <w:color w:val="auto"/>
                <w:w w:val="96"/>
                <w:vertAlign w:val="superscript"/>
              </w:rPr>
              <w:t>(1)</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ind w:right="133"/>
              <w:spacing w:after="0"/>
              <w:rPr>
                <w:sz w:val="20"/>
                <w:szCs w:val="20"/>
                <w:color w:val="auto"/>
              </w:rPr>
            </w:pPr>
            <w:r>
              <w:rPr>
                <w:rFonts w:ascii="Arial" w:cs="Arial" w:eastAsia="Arial" w:hAnsi="Arial"/>
                <w:sz w:val="13"/>
                <w:szCs w:val="13"/>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September 22, 2010</w:t>
            </w:r>
          </w:p>
        </w:tc>
        <w:tc>
          <w:tcPr>
            <w:tcW w:w="500" w:type="dxa"/>
            <w:vAlign w:val="bottom"/>
            <w:vMerge w:val="continue"/>
            <w:shd w:val="clear" w:color="auto" w:fill="CCEEFF"/>
          </w:tcPr>
          <w:p>
            <w:pPr>
              <w:spacing w:after="0"/>
              <w:rPr>
                <w:sz w:val="12"/>
                <w:szCs w:val="12"/>
                <w:color w:val="auto"/>
              </w:rPr>
            </w:pPr>
          </w:p>
        </w:tc>
        <w:tc>
          <w:tcPr>
            <w:tcW w:w="10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w w:val="90"/>
              </w:rPr>
              <w:t>September 1, 2020</w:t>
            </w:r>
          </w:p>
        </w:tc>
        <w:tc>
          <w:tcPr>
            <w:tcW w:w="520" w:type="dxa"/>
            <w:vAlign w:val="bottom"/>
            <w:vMerge w:val="continue"/>
            <w:shd w:val="clear" w:color="auto" w:fill="CCEEFF"/>
          </w:tcPr>
          <w:p>
            <w:pPr>
              <w:spacing w:after="0"/>
              <w:rPr>
                <w:sz w:val="12"/>
                <w:szCs w:val="12"/>
                <w:color w:val="auto"/>
              </w:rPr>
            </w:pPr>
          </w:p>
        </w:tc>
        <w:tc>
          <w:tcPr>
            <w:tcW w:w="1260" w:type="dxa"/>
            <w:vAlign w:val="bottom"/>
            <w:gridSpan w:val="2"/>
            <w:shd w:val="clear" w:color="auto" w:fill="CCEEFF"/>
          </w:tcPr>
          <w:p>
            <w:pPr>
              <w:ind w:left="660"/>
              <w:spacing w:after="0" w:line="142" w:lineRule="exact"/>
              <w:rPr>
                <w:sz w:val="20"/>
                <w:szCs w:val="20"/>
                <w:color w:val="auto"/>
              </w:rPr>
            </w:pPr>
            <w:r>
              <w:rPr>
                <w:rFonts w:ascii="Arial" w:cs="Arial" w:eastAsia="Arial" w:hAnsi="Arial"/>
                <w:sz w:val="13"/>
                <w:szCs w:val="13"/>
                <w:color w:val="auto"/>
              </w:rPr>
              <w:t>3.50%</w:t>
            </w:r>
          </w:p>
        </w:tc>
        <w:tc>
          <w:tcPr>
            <w:tcW w:w="2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80" w:type="dxa"/>
            <w:vAlign w:val="bottom"/>
          </w:tcPr>
          <w:p>
            <w:pPr>
              <w:spacing w:after="0"/>
              <w:rPr>
                <w:sz w:val="20"/>
                <w:szCs w:val="20"/>
                <w:color w:val="auto"/>
              </w:rPr>
            </w:pPr>
            <w:r>
              <w:rPr>
                <w:rFonts w:ascii="Arial" w:cs="Arial" w:eastAsia="Arial" w:hAnsi="Arial"/>
                <w:sz w:val="13"/>
                <w:szCs w:val="13"/>
                <w:color w:val="auto"/>
              </w:rPr>
              <w:t>March 29, 2011</w:t>
            </w:r>
          </w:p>
        </w:tc>
        <w:tc>
          <w:tcPr>
            <w:tcW w:w="1520" w:type="dxa"/>
            <w:vAlign w:val="bottom"/>
            <w:gridSpan w:val="2"/>
          </w:tcPr>
          <w:p>
            <w:pPr>
              <w:ind w:left="480"/>
              <w:spacing w:after="0"/>
              <w:rPr>
                <w:sz w:val="20"/>
                <w:szCs w:val="20"/>
                <w:color w:val="auto"/>
              </w:rPr>
            </w:pPr>
            <w:r>
              <w:rPr>
                <w:rFonts w:ascii="Arial" w:cs="Arial" w:eastAsia="Arial" w:hAnsi="Arial"/>
                <w:sz w:val="13"/>
                <w:szCs w:val="13"/>
                <w:color w:val="auto"/>
              </w:rPr>
              <w:t>March 1, 2021</w:t>
            </w:r>
          </w:p>
        </w:tc>
        <w:tc>
          <w:tcPr>
            <w:tcW w:w="1420" w:type="dxa"/>
            <w:vAlign w:val="bottom"/>
            <w:gridSpan w:val="2"/>
          </w:tcPr>
          <w:p>
            <w:pPr>
              <w:ind w:left="1180"/>
              <w:spacing w:after="0"/>
              <w:rPr>
                <w:sz w:val="20"/>
                <w:szCs w:val="20"/>
                <w:color w:val="auto"/>
              </w:rPr>
            </w:pPr>
            <w:r>
              <w:rPr>
                <w:rFonts w:ascii="Arial" w:cs="Arial" w:eastAsia="Arial" w:hAnsi="Arial"/>
                <w:sz w:val="13"/>
                <w:szCs w:val="13"/>
                <w:color w:val="auto"/>
                <w:w w:val="86"/>
              </w:rPr>
              <w:t>4.46</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44,500,000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3"/>
                <w:szCs w:val="13"/>
                <w:color w:val="auto"/>
              </w:rPr>
              <w:t>September 21, 2011</w:t>
            </w:r>
          </w:p>
        </w:tc>
        <w:tc>
          <w:tcPr>
            <w:tcW w:w="152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w w:val="92"/>
              </w:rPr>
              <w:t>September 1, 2021</w:t>
            </w:r>
          </w:p>
        </w:tc>
        <w:tc>
          <w:tcPr>
            <w:tcW w:w="5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3"/>
                <w:szCs w:val="13"/>
                <w:color w:val="auto"/>
                <w:w w:val="86"/>
              </w:rPr>
              <w:t>3.38</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105,000,000</w:t>
            </w:r>
          </w:p>
        </w:tc>
        <w:tc>
          <w:tcPr>
            <w:tcW w:w="0" w:type="dxa"/>
            <w:vAlign w:val="bottom"/>
          </w:tcPr>
          <w:p>
            <w:pPr>
              <w:spacing w:after="0"/>
              <w:rPr>
                <w:sz w:val="1"/>
                <w:szCs w:val="1"/>
                <w:color w:val="auto"/>
              </w:rPr>
            </w:pPr>
          </w:p>
        </w:tc>
      </w:tr>
      <w:tr>
        <w:trPr>
          <w:trHeight w:val="156"/>
        </w:trPr>
        <w:tc>
          <w:tcPr>
            <w:tcW w:w="2600" w:type="dxa"/>
            <w:vAlign w:val="bottom"/>
            <w:gridSpan w:val="2"/>
          </w:tcPr>
          <w:p>
            <w:pPr>
              <w:spacing w:after="0"/>
              <w:rPr>
                <w:sz w:val="20"/>
                <w:szCs w:val="20"/>
                <w:color w:val="auto"/>
              </w:rPr>
            </w:pPr>
            <w:r>
              <w:rPr>
                <w:rFonts w:ascii="Arial" w:cs="Arial" w:eastAsia="Arial" w:hAnsi="Arial"/>
                <w:sz w:val="13"/>
                <w:szCs w:val="13"/>
                <w:color w:val="auto"/>
              </w:rPr>
              <w:t>Weighted average rate/total</w:t>
            </w: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780" w:type="dxa"/>
            <w:vAlign w:val="bottom"/>
            <w:gridSpan w:val="3"/>
          </w:tcPr>
          <w:p>
            <w:pPr>
              <w:ind w:left="1180"/>
              <w:spacing w:after="0"/>
              <w:rPr>
                <w:sz w:val="20"/>
                <w:szCs w:val="20"/>
                <w:color w:val="auto"/>
              </w:rPr>
            </w:pPr>
            <w:r>
              <w:rPr>
                <w:rFonts w:ascii="Arial" w:cs="Arial" w:eastAsia="Arial" w:hAnsi="Arial"/>
                <w:sz w:val="13"/>
                <w:szCs w:val="13"/>
                <w:color w:val="auto"/>
              </w:rPr>
              <w:t>3.70%</w:t>
            </w:r>
          </w:p>
        </w:tc>
        <w:tc>
          <w:tcPr>
            <w:tcW w:w="32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w w:val="91"/>
              </w:rPr>
              <w:t>150,000,000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77470</wp:posOffset>
            </wp:positionV>
            <wp:extent cx="17830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1" w:lineRule="exact"/>
        <w:rPr>
          <w:sz w:val="20"/>
          <w:szCs w:val="20"/>
          <w:color w:val="auto"/>
        </w:rPr>
      </w:pPr>
    </w:p>
    <w:p>
      <w:pPr>
        <w:ind w:left="2580" w:hanging="439"/>
        <w:spacing w:after="0"/>
        <w:tabs>
          <w:tab w:leader="none" w:pos="2580" w:val="left"/>
        </w:tabs>
        <w:numPr>
          <w:ilvl w:val="0"/>
          <w:numId w:val="54"/>
        </w:numPr>
        <w:rPr>
          <w:rFonts w:ascii="Arial" w:cs="Arial" w:eastAsia="Arial" w:hAnsi="Arial"/>
          <w:sz w:val="22"/>
          <w:szCs w:val="22"/>
          <w:color w:val="auto"/>
          <w:vertAlign w:val="superscript"/>
        </w:rPr>
      </w:pPr>
      <w:r>
        <w:rPr>
          <w:rFonts w:ascii="Arial" w:cs="Arial" w:eastAsia="Arial" w:hAnsi="Arial"/>
          <w:sz w:val="13"/>
          <w:szCs w:val="13"/>
          <w:color w:val="auto"/>
        </w:rPr>
        <w:t>Excluding 3.43% of upfront fees.</w:t>
      </w:r>
    </w:p>
    <w:p>
      <w:pPr>
        <w:spacing w:after="0" w:line="111" w:lineRule="exact"/>
        <w:rPr>
          <w:sz w:val="20"/>
          <w:szCs w:val="20"/>
          <w:color w:val="auto"/>
        </w:rPr>
      </w:pPr>
    </w:p>
    <w:p>
      <w:pPr>
        <w:ind w:firstLine="562"/>
        <w:spacing w:after="0" w:line="245" w:lineRule="auto"/>
        <w:rPr>
          <w:sz w:val="20"/>
          <w:szCs w:val="20"/>
          <w:color w:val="auto"/>
        </w:rPr>
      </w:pPr>
      <w:r>
        <w:rPr>
          <w:rFonts w:ascii="Arial" w:cs="Arial" w:eastAsia="Arial" w:hAnsi="Arial"/>
          <w:sz w:val="13"/>
          <w:szCs w:val="13"/>
          <w:color w:val="auto"/>
        </w:rPr>
        <w:t>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of its financial statements that are prepared on a basis of accounting other than GAAP (for example, fair value, as defined under ASC 820, is not required to be used for assets or liabilities for such compliance reporting). If our SBIC subsidiary fails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 because SBIC LP is wholly owned by us.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81</w:t>
      </w:r>
    </w:p>
    <w:p>
      <w:pPr>
        <w:sectPr>
          <w:pgSz w:w="11900" w:h="16838" w:orient="portrait"/>
          <w:cols w:equalWidth="0" w:num="1">
            <w:col w:w="11240"/>
          </w:cols>
          <w:pgMar w:left="320" w:top="459"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PENNANTPARK INVESTMENT CORPORATION AND SUBSIDIARIES</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59"/>
        <w:spacing w:after="0"/>
        <w:rPr>
          <w:sz w:val="20"/>
          <w:szCs w:val="20"/>
          <w:color w:val="auto"/>
        </w:rPr>
      </w:pPr>
      <w:r>
        <w:rPr>
          <w:rFonts w:ascii="Arial" w:cs="Arial" w:eastAsia="Arial" w:hAnsi="Arial"/>
          <w:sz w:val="13"/>
          <w:szCs w:val="13"/>
          <w:b w:val="1"/>
          <w:bCs w:val="1"/>
          <w:color w:val="auto"/>
        </w:rPr>
        <w:t>SEPTEMBER 30, 2012</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COMMITMENTS AND CONTINGENCIES</w:t>
      </w:r>
    </w:p>
    <w:p>
      <w:pPr>
        <w:spacing w:after="0" w:line="82" w:lineRule="exact"/>
        <w:rPr>
          <w:sz w:val="20"/>
          <w:szCs w:val="20"/>
          <w:color w:val="auto"/>
        </w:rPr>
      </w:pPr>
    </w:p>
    <w:p>
      <w:pPr>
        <w:jc w:val="both"/>
        <w:ind w:right="20" w:firstLine="562"/>
        <w:spacing w:after="0" w:line="288" w:lineRule="auto"/>
        <w:rPr>
          <w:sz w:val="20"/>
          <w:szCs w:val="20"/>
          <w:color w:val="auto"/>
        </w:rPr>
      </w:pPr>
      <w:r>
        <w:rPr>
          <w:rFonts w:ascii="Arial" w:cs="Arial" w:eastAsia="Arial" w:hAnsi="Arial"/>
          <w:sz w:val="12"/>
          <w:szCs w:val="12"/>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13. SUBSEQUENT EVENTS</w:t>
      </w:r>
    </w:p>
    <w:p>
      <w:pPr>
        <w:spacing w:after="0" w:line="82"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On October 25, 2012, we sold an additional 700,000 shares of common stock at a public offering price of $10.82 per share, generating gross proceeds of $7.6 million and net proceeds of $7.3 million after underwriting discounts and offering expenses payable by us, from the underwriters’ partial exercise of the option to purchase additional shares we granted to them in connection with the offering that closed on September 28, 2012.</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82</w:t>
      </w:r>
    </w:p>
    <w:p>
      <w:pPr>
        <w:sectPr>
          <w:pgSz w:w="11900" w:h="16838" w:orient="portrait"/>
          <w:cols w:equalWidth="0" w:num="1">
            <w:col w:w="11180"/>
          </w:cols>
          <w:pgMar w:left="320" w:top="459" w:right="3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SUPPLEMENTARY DATA</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Selected Quarterly Data (Unaudited)</w:t>
      </w:r>
    </w:p>
    <w:p>
      <w:pPr>
        <w:jc w:val="center"/>
        <w:spacing w:after="0"/>
        <w:rPr>
          <w:sz w:val="20"/>
          <w:szCs w:val="20"/>
          <w:color w:val="auto"/>
        </w:rPr>
      </w:pPr>
      <w:r>
        <w:rPr>
          <w:rFonts w:ascii="Arial" w:cs="Arial" w:eastAsia="Arial" w:hAnsi="Arial"/>
          <w:sz w:val="13"/>
          <w:szCs w:val="13"/>
          <w:b w:val="1"/>
          <w:bCs w:val="1"/>
          <w:color w:val="auto"/>
        </w:rPr>
        <w:t>(dollar 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3"/>
                <w:szCs w:val="13"/>
                <w:b w:val="1"/>
                <w:bCs w:val="1"/>
                <w:color w:val="auto"/>
              </w:rPr>
              <w:t>2012</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ind w:right="133"/>
              <w:spacing w:after="0" w:line="142" w:lineRule="exact"/>
              <w:rPr>
                <w:sz w:val="20"/>
                <w:szCs w:val="20"/>
                <w:color w:val="auto"/>
              </w:rPr>
            </w:pPr>
            <w:r>
              <w:rPr>
                <w:rFonts w:ascii="Arial" w:cs="Arial" w:eastAsia="Arial" w:hAnsi="Arial"/>
                <w:sz w:val="13"/>
                <w:szCs w:val="13"/>
                <w:b w:val="1"/>
                <w:bCs w:val="1"/>
                <w:color w:val="auto"/>
              </w:rPr>
              <w:t>Q4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380"/>
              <w:spacing w:after="0" w:line="142" w:lineRule="exact"/>
              <w:rPr>
                <w:sz w:val="20"/>
                <w:szCs w:val="20"/>
                <w:color w:val="auto"/>
              </w:rPr>
            </w:pPr>
            <w:r>
              <w:rPr>
                <w:rFonts w:ascii="Arial" w:cs="Arial" w:eastAsia="Arial" w:hAnsi="Arial"/>
                <w:sz w:val="13"/>
                <w:szCs w:val="13"/>
                <w:b w:val="1"/>
                <w:bCs w:val="1"/>
                <w:color w:val="auto"/>
              </w:rPr>
              <w:t>Q3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520"/>
              <w:spacing w:after="0" w:line="142" w:lineRule="exact"/>
              <w:rPr>
                <w:sz w:val="20"/>
                <w:szCs w:val="20"/>
                <w:color w:val="auto"/>
              </w:rPr>
            </w:pPr>
            <w:r>
              <w:rPr>
                <w:rFonts w:ascii="Arial" w:cs="Arial" w:eastAsia="Arial" w:hAnsi="Arial"/>
                <w:sz w:val="13"/>
                <w:szCs w:val="13"/>
                <w:b w:val="1"/>
                <w:bCs w:val="1"/>
                <w:color w:val="auto"/>
              </w:rPr>
              <w:t>Q2</w:t>
            </w:r>
          </w:p>
        </w:tc>
        <w:tc>
          <w:tcPr>
            <w:tcW w:w="140" w:type="dxa"/>
            <w:vAlign w:val="bottom"/>
          </w:tcPr>
          <w:p>
            <w:pPr>
              <w:spacing w:after="0"/>
              <w:rPr>
                <w:sz w:val="12"/>
                <w:szCs w:val="12"/>
                <w:color w:val="auto"/>
              </w:rPr>
            </w:pPr>
          </w:p>
        </w:tc>
        <w:tc>
          <w:tcPr>
            <w:tcW w:w="480" w:type="dxa"/>
            <w:vAlign w:val="bottom"/>
          </w:tcPr>
          <w:p>
            <w:pPr>
              <w:jc w:val="right"/>
              <w:ind w:right="153"/>
              <w:spacing w:after="0" w:line="142" w:lineRule="exact"/>
              <w:rPr>
                <w:sz w:val="20"/>
                <w:szCs w:val="20"/>
                <w:color w:val="auto"/>
              </w:rPr>
            </w:pPr>
            <w:r>
              <w:rPr>
                <w:rFonts w:ascii="Arial" w:cs="Arial" w:eastAsia="Arial" w:hAnsi="Arial"/>
                <w:sz w:val="13"/>
                <w:szCs w:val="13"/>
                <w:b w:val="1"/>
                <w:bCs w:val="1"/>
                <w:color w:val="auto"/>
              </w:rPr>
              <w:t>Q1</w:t>
            </w:r>
          </w:p>
        </w:tc>
        <w:tc>
          <w:tcPr>
            <w:tcW w:w="80" w:type="dxa"/>
            <w:vAlign w:val="bottom"/>
          </w:tcPr>
          <w:p>
            <w:pPr>
              <w:spacing w:after="0"/>
              <w:rPr>
                <w:sz w:val="12"/>
                <w:szCs w:val="12"/>
                <w:color w:val="auto"/>
              </w:rPr>
            </w:pPr>
          </w:p>
        </w:tc>
      </w:tr>
      <w:tr>
        <w:trPr>
          <w:trHeight w:val="142"/>
        </w:trPr>
        <w:tc>
          <w:tcPr>
            <w:tcW w:w="5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investment income</w:t>
            </w:r>
          </w:p>
        </w:tc>
        <w:tc>
          <w:tcPr>
            <w:tcW w:w="20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30,806</w:t>
            </w: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29,385</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26,362</w:t>
            </w:r>
          </w:p>
        </w:tc>
        <w:tc>
          <w:tcPr>
            <w:tcW w:w="3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26,839</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5820" w:type="dxa"/>
            <w:vAlign w:val="bottom"/>
          </w:tcPr>
          <w:p>
            <w:pPr>
              <w:spacing w:after="0"/>
              <w:rPr>
                <w:sz w:val="20"/>
                <w:szCs w:val="20"/>
                <w:color w:val="auto"/>
              </w:rPr>
            </w:pPr>
            <w:r>
              <w:rPr>
                <w:rFonts w:ascii="Arial" w:cs="Arial" w:eastAsia="Arial" w:hAnsi="Arial"/>
                <w:sz w:val="13"/>
                <w:szCs w:val="13"/>
                <w:color w:val="auto"/>
              </w:rPr>
              <w:t>Net investment income</w:t>
            </w:r>
          </w:p>
        </w:tc>
        <w:tc>
          <w:tcPr>
            <w:tcW w:w="218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16,742</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15,571</w:t>
            </w:r>
          </w:p>
        </w:tc>
        <w:tc>
          <w:tcPr>
            <w:tcW w:w="160" w:type="dxa"/>
            <w:vAlign w:val="bottom"/>
          </w:tcPr>
          <w:p>
            <w:pPr>
              <w:spacing w:after="0"/>
              <w:rPr>
                <w:sz w:val="12"/>
                <w:szCs w:val="12"/>
                <w:color w:val="auto"/>
              </w:rPr>
            </w:pPr>
          </w:p>
        </w:tc>
        <w:tc>
          <w:tcPr>
            <w:tcW w:w="28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9,759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14,997</w:t>
            </w:r>
          </w:p>
        </w:tc>
      </w:tr>
      <w:tr>
        <w:trPr>
          <w:trHeight w:val="148"/>
        </w:trPr>
        <w:tc>
          <w:tcPr>
            <w:tcW w:w="5820" w:type="dxa"/>
            <w:vAlign w:val="bottom"/>
            <w:shd w:val="clear" w:color="auto" w:fill="CCEEFF"/>
          </w:tcPr>
          <w:p>
            <w:pPr>
              <w:spacing w:after="0"/>
              <w:rPr>
                <w:sz w:val="20"/>
                <w:szCs w:val="20"/>
                <w:color w:val="auto"/>
              </w:rPr>
            </w:pPr>
            <w:r>
              <w:rPr>
                <w:rFonts w:ascii="Arial" w:cs="Arial" w:eastAsia="Arial" w:hAnsi="Arial"/>
                <w:sz w:val="13"/>
                <w:szCs w:val="13"/>
                <w:color w:val="auto"/>
              </w:rPr>
              <w:t>Net realized and unrealized gain (loss)</w:t>
            </w:r>
          </w:p>
        </w:tc>
        <w:tc>
          <w:tcPr>
            <w:tcW w:w="218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(12,151)</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16,638</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849</w:t>
            </w:r>
          </w:p>
        </w:tc>
      </w:tr>
      <w:tr>
        <w:trPr>
          <w:trHeight w:val="148"/>
        </w:trPr>
        <w:tc>
          <w:tcPr>
            <w:tcW w:w="5820" w:type="dxa"/>
            <w:vAlign w:val="bottom"/>
          </w:tcPr>
          <w:p>
            <w:pPr>
              <w:spacing w:after="0"/>
              <w:rPr>
                <w:sz w:val="20"/>
                <w:szCs w:val="20"/>
                <w:color w:val="auto"/>
              </w:rPr>
            </w:pPr>
            <w:r>
              <w:rPr>
                <w:rFonts w:ascii="Arial" w:cs="Arial" w:eastAsia="Arial" w:hAnsi="Arial"/>
                <w:sz w:val="13"/>
                <w:szCs w:val="13"/>
                <w:color w:val="auto"/>
              </w:rPr>
              <w:t>Net increase in net assets resulting from operations</w:t>
            </w:r>
          </w:p>
        </w:tc>
        <w:tc>
          <w:tcPr>
            <w:tcW w:w="218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17,690</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3,420</w:t>
            </w:r>
          </w:p>
        </w:tc>
        <w:tc>
          <w:tcPr>
            <w:tcW w:w="160" w:type="dxa"/>
            <w:vAlign w:val="bottom"/>
          </w:tcPr>
          <w:p>
            <w:pPr>
              <w:spacing w:after="0"/>
              <w:rPr>
                <w:sz w:val="12"/>
                <w:szCs w:val="12"/>
                <w:color w:val="auto"/>
              </w:rPr>
            </w:pPr>
          </w:p>
        </w:tc>
        <w:tc>
          <w:tcPr>
            <w:tcW w:w="28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26,397</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15,846</w:t>
            </w:r>
          </w:p>
        </w:tc>
      </w:tr>
      <w:tr>
        <w:trPr>
          <w:trHeight w:val="148"/>
        </w:trPr>
        <w:tc>
          <w:tcPr>
            <w:tcW w:w="5820" w:type="dxa"/>
            <w:vAlign w:val="bottom"/>
            <w:shd w:val="clear" w:color="auto" w:fill="CCEEFF"/>
          </w:tcPr>
          <w:p>
            <w:pPr>
              <w:spacing w:after="0"/>
              <w:rPr>
                <w:sz w:val="20"/>
                <w:szCs w:val="20"/>
                <w:color w:val="auto"/>
              </w:rPr>
            </w:pPr>
            <w:r>
              <w:rPr>
                <w:rFonts w:ascii="Arial" w:cs="Arial" w:eastAsia="Arial" w:hAnsi="Arial"/>
                <w:sz w:val="13"/>
                <w:szCs w:val="13"/>
                <w:color w:val="auto"/>
              </w:rPr>
              <w:t>Net increase in net assets resulting from operations per common share</w:t>
            </w:r>
          </w:p>
        </w:tc>
        <w:tc>
          <w:tcPr>
            <w:tcW w:w="218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0.50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0.34</w:t>
            </w:r>
          </w:p>
        </w:tc>
      </w:tr>
      <w:tr>
        <w:trPr>
          <w:trHeight w:val="149"/>
        </w:trPr>
        <w:tc>
          <w:tcPr>
            <w:tcW w:w="5820" w:type="dxa"/>
            <w:vAlign w:val="bottom"/>
          </w:tcPr>
          <w:p>
            <w:pPr>
              <w:spacing w:after="0"/>
              <w:rPr>
                <w:sz w:val="20"/>
                <w:szCs w:val="20"/>
                <w:color w:val="auto"/>
              </w:rPr>
            </w:pPr>
            <w:r>
              <w:rPr>
                <w:rFonts w:ascii="Arial" w:cs="Arial" w:eastAsia="Arial" w:hAnsi="Arial"/>
                <w:sz w:val="13"/>
                <w:szCs w:val="13"/>
                <w:color w:val="auto"/>
              </w:rPr>
              <w:t>Net asset value per share at the end of the quarter</w:t>
            </w:r>
          </w:p>
        </w:tc>
        <w:tc>
          <w:tcPr>
            <w:tcW w:w="218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10.22</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10.16</w:t>
            </w:r>
          </w:p>
        </w:tc>
        <w:tc>
          <w:tcPr>
            <w:tcW w:w="160" w:type="dxa"/>
            <w:vAlign w:val="bottom"/>
          </w:tcPr>
          <w:p>
            <w:pPr>
              <w:spacing w:after="0"/>
              <w:rPr>
                <w:sz w:val="12"/>
                <w:szCs w:val="12"/>
                <w:color w:val="auto"/>
              </w:rPr>
            </w:pPr>
          </w:p>
        </w:tc>
        <w:tc>
          <w:tcPr>
            <w:tcW w:w="28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10.38</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10.19</w:t>
            </w:r>
          </w:p>
        </w:tc>
      </w:tr>
      <w:tr>
        <w:trPr>
          <w:trHeight w:val="148"/>
        </w:trPr>
        <w:tc>
          <w:tcPr>
            <w:tcW w:w="5820" w:type="dxa"/>
            <w:vAlign w:val="bottom"/>
            <w:shd w:val="clear" w:color="auto" w:fill="CCEEFF"/>
          </w:tcPr>
          <w:p>
            <w:pPr>
              <w:spacing w:after="0"/>
              <w:rPr>
                <w:sz w:val="20"/>
                <w:szCs w:val="20"/>
                <w:color w:val="auto"/>
              </w:rPr>
            </w:pPr>
            <w:r>
              <w:rPr>
                <w:rFonts w:ascii="Arial" w:cs="Arial" w:eastAsia="Arial" w:hAnsi="Arial"/>
                <w:sz w:val="13"/>
                <w:szCs w:val="13"/>
                <w:color w:val="auto"/>
              </w:rPr>
              <w:t>Market value per share at the end of the quarter</w:t>
            </w:r>
          </w:p>
        </w:tc>
        <w:tc>
          <w:tcPr>
            <w:tcW w:w="218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10.35</w:t>
            </w: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10.40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10.09</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3"/>
                <w:szCs w:val="13"/>
                <w:b w:val="1"/>
                <w:bCs w:val="1"/>
                <w:color w:val="auto"/>
              </w:rPr>
              <w:t>2011</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8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380"/>
              <w:spacing w:after="0" w:line="142" w:lineRule="exact"/>
              <w:rPr>
                <w:sz w:val="20"/>
                <w:szCs w:val="20"/>
                <w:color w:val="auto"/>
              </w:rPr>
            </w:pPr>
            <w:r>
              <w:rPr>
                <w:rFonts w:ascii="Arial" w:cs="Arial" w:eastAsia="Arial" w:hAnsi="Arial"/>
                <w:sz w:val="13"/>
                <w:szCs w:val="13"/>
                <w:b w:val="1"/>
                <w:bCs w:val="1"/>
                <w:color w:val="auto"/>
              </w:rPr>
              <w:t>Q4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380"/>
              <w:spacing w:after="0" w:line="142" w:lineRule="exact"/>
              <w:rPr>
                <w:sz w:val="20"/>
                <w:szCs w:val="20"/>
                <w:color w:val="auto"/>
              </w:rPr>
            </w:pPr>
            <w:r>
              <w:rPr>
                <w:rFonts w:ascii="Arial" w:cs="Arial" w:eastAsia="Arial" w:hAnsi="Arial"/>
                <w:sz w:val="13"/>
                <w:szCs w:val="13"/>
                <w:b w:val="1"/>
                <w:bCs w:val="1"/>
                <w:color w:val="auto"/>
              </w:rPr>
              <w:t>Q3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520"/>
              <w:spacing w:after="0" w:line="142" w:lineRule="exact"/>
              <w:rPr>
                <w:sz w:val="20"/>
                <w:szCs w:val="20"/>
                <w:color w:val="auto"/>
              </w:rPr>
            </w:pPr>
            <w:r>
              <w:rPr>
                <w:rFonts w:ascii="Arial" w:cs="Arial" w:eastAsia="Arial" w:hAnsi="Arial"/>
                <w:sz w:val="13"/>
                <w:szCs w:val="13"/>
                <w:b w:val="1"/>
                <w:bCs w:val="1"/>
                <w:color w:val="auto"/>
              </w:rPr>
              <w:t>Q2</w:t>
            </w:r>
          </w:p>
        </w:tc>
        <w:tc>
          <w:tcPr>
            <w:tcW w:w="140" w:type="dxa"/>
            <w:vAlign w:val="bottom"/>
          </w:tcPr>
          <w:p>
            <w:pPr>
              <w:spacing w:after="0"/>
              <w:rPr>
                <w:sz w:val="12"/>
                <w:szCs w:val="12"/>
                <w:color w:val="auto"/>
              </w:rPr>
            </w:pPr>
          </w:p>
        </w:tc>
        <w:tc>
          <w:tcPr>
            <w:tcW w:w="480" w:type="dxa"/>
            <w:vAlign w:val="bottom"/>
          </w:tcPr>
          <w:p>
            <w:pPr>
              <w:jc w:val="right"/>
              <w:ind w:right="153"/>
              <w:spacing w:after="0" w:line="142" w:lineRule="exact"/>
              <w:rPr>
                <w:sz w:val="20"/>
                <w:szCs w:val="20"/>
                <w:color w:val="auto"/>
              </w:rPr>
            </w:pPr>
            <w:r>
              <w:rPr>
                <w:rFonts w:ascii="Arial" w:cs="Arial" w:eastAsia="Arial" w:hAnsi="Arial"/>
                <w:sz w:val="13"/>
                <w:szCs w:val="13"/>
                <w:b w:val="1"/>
                <w:bCs w:val="1"/>
                <w:color w:val="auto"/>
              </w:rPr>
              <w:t>Q1</w:t>
            </w:r>
          </w:p>
        </w:tc>
        <w:tc>
          <w:tcPr>
            <w:tcW w:w="80" w:type="dxa"/>
            <w:vAlign w:val="bottom"/>
          </w:tcPr>
          <w:p>
            <w:pPr>
              <w:spacing w:after="0"/>
              <w:rPr>
                <w:sz w:val="12"/>
                <w:szCs w:val="12"/>
                <w:color w:val="auto"/>
              </w:rPr>
            </w:pPr>
          </w:p>
        </w:tc>
      </w:tr>
      <w:tr>
        <w:trPr>
          <w:trHeight w:val="142"/>
        </w:trPr>
        <w:tc>
          <w:tcPr>
            <w:tcW w:w="58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investment income</w:t>
            </w:r>
          </w:p>
        </w:tc>
        <w:tc>
          <w:tcPr>
            <w:tcW w:w="20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26,139</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22,908</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22,712</w:t>
            </w:r>
          </w:p>
        </w:tc>
        <w:tc>
          <w:tcPr>
            <w:tcW w:w="3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19,979</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5820" w:type="dxa"/>
            <w:vAlign w:val="bottom"/>
          </w:tcPr>
          <w:p>
            <w:pPr>
              <w:spacing w:after="0"/>
              <w:rPr>
                <w:sz w:val="20"/>
                <w:szCs w:val="20"/>
                <w:color w:val="auto"/>
              </w:rPr>
            </w:pPr>
            <w:r>
              <w:rPr>
                <w:rFonts w:ascii="Arial" w:cs="Arial" w:eastAsia="Arial" w:hAnsi="Arial"/>
                <w:sz w:val="13"/>
                <w:szCs w:val="13"/>
                <w:color w:val="auto"/>
              </w:rPr>
              <w:t>Net investment income</w:t>
            </w:r>
          </w:p>
        </w:tc>
        <w:tc>
          <w:tcPr>
            <w:tcW w:w="2160" w:type="dxa"/>
            <w:vAlign w:val="bottom"/>
            <w:gridSpan w:val="2"/>
          </w:tcPr>
          <w:p>
            <w:pPr>
              <w:jc w:val="right"/>
              <w:ind w:right="9"/>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15,095</w:t>
            </w:r>
          </w:p>
        </w:tc>
        <w:tc>
          <w:tcPr>
            <w:tcW w:w="18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13,220</w:t>
            </w:r>
          </w:p>
        </w:tc>
        <w:tc>
          <w:tcPr>
            <w:tcW w:w="160" w:type="dxa"/>
            <w:vAlign w:val="bottom"/>
          </w:tcPr>
          <w:p>
            <w:pPr>
              <w:spacing w:after="0"/>
              <w:rPr>
                <w:sz w:val="12"/>
                <w:szCs w:val="12"/>
                <w:color w:val="auto"/>
              </w:rPr>
            </w:pPr>
          </w:p>
        </w:tc>
        <w:tc>
          <w:tcPr>
            <w:tcW w:w="28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13,159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11,171</w:t>
            </w:r>
          </w:p>
        </w:tc>
      </w:tr>
      <w:tr>
        <w:trPr>
          <w:trHeight w:val="148"/>
        </w:trPr>
        <w:tc>
          <w:tcPr>
            <w:tcW w:w="5820" w:type="dxa"/>
            <w:vAlign w:val="bottom"/>
            <w:shd w:val="clear" w:color="auto" w:fill="CCEEFF"/>
          </w:tcPr>
          <w:p>
            <w:pPr>
              <w:spacing w:after="0"/>
              <w:rPr>
                <w:sz w:val="20"/>
                <w:szCs w:val="20"/>
                <w:color w:val="auto"/>
              </w:rPr>
            </w:pPr>
            <w:r>
              <w:rPr>
                <w:rFonts w:ascii="Arial" w:cs="Arial" w:eastAsia="Arial" w:hAnsi="Arial"/>
                <w:sz w:val="13"/>
                <w:szCs w:val="13"/>
                <w:color w:val="auto"/>
              </w:rPr>
              <w:t>Net realized and unrealized (loss) gain</w:t>
            </w:r>
          </w:p>
        </w:tc>
        <w:tc>
          <w:tcPr>
            <w:tcW w:w="216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(46,260)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(10,901)</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428</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14,351</w:t>
            </w:r>
          </w:p>
        </w:tc>
      </w:tr>
      <w:tr>
        <w:trPr>
          <w:trHeight w:val="149"/>
        </w:trPr>
        <w:tc>
          <w:tcPr>
            <w:tcW w:w="5820" w:type="dxa"/>
            <w:vAlign w:val="bottom"/>
          </w:tcPr>
          <w:p>
            <w:pPr>
              <w:spacing w:after="0"/>
              <w:rPr>
                <w:sz w:val="20"/>
                <w:szCs w:val="20"/>
                <w:color w:val="auto"/>
              </w:rPr>
            </w:pPr>
            <w:r>
              <w:rPr>
                <w:rFonts w:ascii="Arial" w:cs="Arial" w:eastAsia="Arial" w:hAnsi="Arial"/>
                <w:sz w:val="13"/>
                <w:szCs w:val="13"/>
                <w:color w:val="auto"/>
              </w:rPr>
              <w:t>Net (decrease) increase in net assets resulting from operations</w:t>
            </w:r>
          </w:p>
        </w:tc>
        <w:tc>
          <w:tcPr>
            <w:tcW w:w="2160" w:type="dxa"/>
            <w:vAlign w:val="bottom"/>
            <w:gridSpan w:val="2"/>
          </w:tcPr>
          <w:p>
            <w:pPr>
              <w:jc w:val="right"/>
              <w:ind w:right="9"/>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(31,165)</w:t>
            </w: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2,319</w:t>
            </w:r>
          </w:p>
        </w:tc>
        <w:tc>
          <w:tcPr>
            <w:tcW w:w="160" w:type="dxa"/>
            <w:vAlign w:val="bottom"/>
          </w:tcPr>
          <w:p>
            <w:pPr>
              <w:spacing w:after="0"/>
              <w:rPr>
                <w:sz w:val="12"/>
                <w:szCs w:val="12"/>
                <w:color w:val="auto"/>
              </w:rPr>
            </w:pPr>
          </w:p>
        </w:tc>
        <w:tc>
          <w:tcPr>
            <w:tcW w:w="28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13,587</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25,522</w:t>
            </w:r>
          </w:p>
        </w:tc>
      </w:tr>
      <w:tr>
        <w:trPr>
          <w:trHeight w:val="148"/>
        </w:trPr>
        <w:tc>
          <w:tcPr>
            <w:tcW w:w="5820" w:type="dxa"/>
            <w:vAlign w:val="bottom"/>
            <w:shd w:val="clear" w:color="auto" w:fill="CCEEFF"/>
          </w:tcPr>
          <w:p>
            <w:pPr>
              <w:spacing w:after="0"/>
              <w:rPr>
                <w:sz w:val="20"/>
                <w:szCs w:val="20"/>
                <w:color w:val="auto"/>
              </w:rPr>
            </w:pPr>
            <w:r>
              <w:rPr>
                <w:rFonts w:ascii="Arial" w:cs="Arial" w:eastAsia="Arial" w:hAnsi="Arial"/>
                <w:sz w:val="13"/>
                <w:szCs w:val="13"/>
                <w:color w:val="auto"/>
              </w:rPr>
              <w:t>Net increase in net assets resulting from operations per common share</w:t>
            </w:r>
          </w:p>
        </w:tc>
        <w:tc>
          <w:tcPr>
            <w:tcW w:w="216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0.05</w:t>
            </w: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0.33</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0.71</w:t>
            </w:r>
          </w:p>
        </w:tc>
      </w:tr>
      <w:tr>
        <w:trPr>
          <w:trHeight w:val="148"/>
        </w:trPr>
        <w:tc>
          <w:tcPr>
            <w:tcW w:w="5820" w:type="dxa"/>
            <w:vAlign w:val="bottom"/>
          </w:tcPr>
          <w:p>
            <w:pPr>
              <w:spacing w:after="0"/>
              <w:rPr>
                <w:sz w:val="20"/>
                <w:szCs w:val="20"/>
                <w:color w:val="auto"/>
              </w:rPr>
            </w:pPr>
            <w:r>
              <w:rPr>
                <w:rFonts w:ascii="Arial" w:cs="Arial" w:eastAsia="Arial" w:hAnsi="Arial"/>
                <w:sz w:val="13"/>
                <w:szCs w:val="13"/>
                <w:color w:val="auto"/>
              </w:rPr>
              <w:t>Net asset value per share at the end of the quarter</w:t>
            </w:r>
          </w:p>
        </w:tc>
        <w:tc>
          <w:tcPr>
            <w:tcW w:w="2160" w:type="dxa"/>
            <w:vAlign w:val="bottom"/>
            <w:gridSpan w:val="2"/>
          </w:tcPr>
          <w:p>
            <w:pPr>
              <w:jc w:val="right"/>
              <w:ind w:right="9"/>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10.13</w:t>
            </w:r>
          </w:p>
        </w:tc>
        <w:tc>
          <w:tcPr>
            <w:tcW w:w="18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11.08</w:t>
            </w:r>
          </w:p>
        </w:tc>
        <w:tc>
          <w:tcPr>
            <w:tcW w:w="28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11.30</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11.14</w:t>
            </w:r>
          </w:p>
        </w:tc>
      </w:tr>
      <w:tr>
        <w:trPr>
          <w:trHeight w:val="148"/>
        </w:trPr>
        <w:tc>
          <w:tcPr>
            <w:tcW w:w="5820" w:type="dxa"/>
            <w:vAlign w:val="bottom"/>
            <w:shd w:val="clear" w:color="auto" w:fill="CCEEFF"/>
          </w:tcPr>
          <w:p>
            <w:pPr>
              <w:spacing w:after="0"/>
              <w:rPr>
                <w:sz w:val="20"/>
                <w:szCs w:val="20"/>
                <w:color w:val="auto"/>
              </w:rPr>
            </w:pPr>
            <w:r>
              <w:rPr>
                <w:rFonts w:ascii="Arial" w:cs="Arial" w:eastAsia="Arial" w:hAnsi="Arial"/>
                <w:sz w:val="13"/>
                <w:szCs w:val="13"/>
                <w:color w:val="auto"/>
              </w:rPr>
              <w:t>Market value per share at the end of the quarter</w:t>
            </w:r>
          </w:p>
        </w:tc>
        <w:tc>
          <w:tcPr>
            <w:tcW w:w="216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w:t>
            </w:r>
          </w:p>
        </w:tc>
        <w:tc>
          <w:tcPr>
            <w:tcW w:w="1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11.21</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11.92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12.25</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ind w:right="69"/>
              <w:spacing w:after="0"/>
              <w:rPr>
                <w:sz w:val="20"/>
                <w:szCs w:val="20"/>
                <w:color w:val="auto"/>
              </w:rPr>
            </w:pPr>
            <w:r>
              <w:rPr>
                <w:rFonts w:ascii="Arial" w:cs="Arial" w:eastAsia="Arial" w:hAnsi="Arial"/>
                <w:sz w:val="13"/>
                <w:szCs w:val="13"/>
                <w:b w:val="1"/>
                <w:bCs w:val="1"/>
                <w:color w:val="auto"/>
              </w:rPr>
              <w:t>2010</w:t>
            </w: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6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380"/>
              <w:spacing w:after="0" w:line="142" w:lineRule="exact"/>
              <w:rPr>
                <w:sz w:val="20"/>
                <w:szCs w:val="20"/>
                <w:color w:val="auto"/>
              </w:rPr>
            </w:pPr>
            <w:r>
              <w:rPr>
                <w:rFonts w:ascii="Arial" w:cs="Arial" w:eastAsia="Arial" w:hAnsi="Arial"/>
                <w:sz w:val="13"/>
                <w:szCs w:val="13"/>
                <w:b w:val="1"/>
                <w:bCs w:val="1"/>
                <w:color w:val="auto"/>
              </w:rPr>
              <w:t>Q4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380"/>
              <w:spacing w:after="0" w:line="142" w:lineRule="exact"/>
              <w:rPr>
                <w:sz w:val="20"/>
                <w:szCs w:val="20"/>
                <w:color w:val="auto"/>
              </w:rPr>
            </w:pPr>
            <w:r>
              <w:rPr>
                <w:rFonts w:ascii="Arial" w:cs="Arial" w:eastAsia="Arial" w:hAnsi="Arial"/>
                <w:sz w:val="13"/>
                <w:szCs w:val="13"/>
                <w:b w:val="1"/>
                <w:bCs w:val="1"/>
                <w:color w:val="auto"/>
              </w:rPr>
              <w:t>Q3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520"/>
              <w:spacing w:after="0" w:line="142" w:lineRule="exact"/>
              <w:rPr>
                <w:sz w:val="20"/>
                <w:szCs w:val="20"/>
                <w:color w:val="auto"/>
              </w:rPr>
            </w:pPr>
            <w:r>
              <w:rPr>
                <w:rFonts w:ascii="Arial" w:cs="Arial" w:eastAsia="Arial" w:hAnsi="Arial"/>
                <w:sz w:val="13"/>
                <w:szCs w:val="13"/>
                <w:b w:val="1"/>
                <w:bCs w:val="1"/>
                <w:color w:val="auto"/>
              </w:rPr>
              <w:t>Q2</w:t>
            </w:r>
          </w:p>
        </w:tc>
        <w:tc>
          <w:tcPr>
            <w:tcW w:w="140" w:type="dxa"/>
            <w:vAlign w:val="bottom"/>
          </w:tcPr>
          <w:p>
            <w:pPr>
              <w:spacing w:after="0"/>
              <w:rPr>
                <w:sz w:val="12"/>
                <w:szCs w:val="12"/>
                <w:color w:val="auto"/>
              </w:rPr>
            </w:pPr>
          </w:p>
        </w:tc>
        <w:tc>
          <w:tcPr>
            <w:tcW w:w="480" w:type="dxa"/>
            <w:vAlign w:val="bottom"/>
          </w:tcPr>
          <w:p>
            <w:pPr>
              <w:jc w:val="right"/>
              <w:ind w:right="153"/>
              <w:spacing w:after="0" w:line="142" w:lineRule="exact"/>
              <w:rPr>
                <w:sz w:val="20"/>
                <w:szCs w:val="20"/>
                <w:color w:val="auto"/>
              </w:rPr>
            </w:pPr>
            <w:r>
              <w:rPr>
                <w:rFonts w:ascii="Arial" w:cs="Arial" w:eastAsia="Arial" w:hAnsi="Arial"/>
                <w:sz w:val="13"/>
                <w:szCs w:val="13"/>
                <w:b w:val="1"/>
                <w:bCs w:val="1"/>
                <w:color w:val="auto"/>
              </w:rPr>
              <w:t>Q1</w:t>
            </w:r>
          </w:p>
        </w:tc>
        <w:tc>
          <w:tcPr>
            <w:tcW w:w="80" w:type="dxa"/>
            <w:vAlign w:val="bottom"/>
          </w:tcPr>
          <w:p>
            <w:pPr>
              <w:spacing w:after="0"/>
              <w:rPr>
                <w:sz w:val="12"/>
                <w:szCs w:val="12"/>
                <w:color w:val="auto"/>
              </w:rPr>
            </w:pPr>
          </w:p>
        </w:tc>
      </w:tr>
      <w:tr>
        <w:trPr>
          <w:trHeight w:val="142"/>
        </w:trPr>
        <w:tc>
          <w:tcPr>
            <w:tcW w:w="4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Total investment income</w:t>
            </w:r>
          </w:p>
        </w:tc>
        <w:tc>
          <w:tcPr>
            <w:tcW w:w="3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16,681</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16,335</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13,525</w:t>
            </w:r>
          </w:p>
        </w:tc>
        <w:tc>
          <w:tcPr>
            <w:tcW w:w="3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13,599</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4680" w:type="dxa"/>
            <w:vAlign w:val="bottom"/>
          </w:tcPr>
          <w:p>
            <w:pPr>
              <w:spacing w:after="0"/>
              <w:rPr>
                <w:sz w:val="20"/>
                <w:szCs w:val="20"/>
                <w:color w:val="auto"/>
              </w:rPr>
            </w:pPr>
            <w:r>
              <w:rPr>
                <w:rFonts w:ascii="Arial" w:cs="Arial" w:eastAsia="Arial" w:hAnsi="Arial"/>
                <w:sz w:val="13"/>
                <w:szCs w:val="13"/>
                <w:color w:val="auto"/>
              </w:rPr>
              <w:t>Net investment income</w:t>
            </w:r>
          </w:p>
        </w:tc>
        <w:tc>
          <w:tcPr>
            <w:tcW w:w="332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8,957</w:t>
            </w:r>
          </w:p>
        </w:tc>
        <w:tc>
          <w:tcPr>
            <w:tcW w:w="180" w:type="dxa"/>
            <w:vAlign w:val="bottom"/>
          </w:tcPr>
          <w:p>
            <w:pPr>
              <w:spacing w:after="0"/>
              <w:rPr>
                <w:sz w:val="12"/>
                <w:szCs w:val="12"/>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8,821</w:t>
            </w:r>
          </w:p>
        </w:tc>
        <w:tc>
          <w:tcPr>
            <w:tcW w:w="160" w:type="dxa"/>
            <w:vAlign w:val="bottom"/>
          </w:tcPr>
          <w:p>
            <w:pPr>
              <w:spacing w:after="0"/>
              <w:rPr>
                <w:sz w:val="12"/>
                <w:szCs w:val="12"/>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7,059</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7,238</w:t>
            </w:r>
          </w:p>
        </w:tc>
      </w:tr>
      <w:tr>
        <w:trPr>
          <w:trHeight w:val="149"/>
        </w:trPr>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Net realized and unrealized (loss) gain</w:t>
            </w:r>
          </w:p>
        </w:tc>
        <w:tc>
          <w:tcPr>
            <w:tcW w:w="332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(4,561)</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(10,090)</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1,438</w:t>
            </w:r>
          </w:p>
        </w:tc>
      </w:tr>
      <w:tr>
        <w:trPr>
          <w:trHeight w:val="148"/>
        </w:trPr>
        <w:tc>
          <w:tcPr>
            <w:tcW w:w="4680" w:type="dxa"/>
            <w:vAlign w:val="bottom"/>
          </w:tcPr>
          <w:p>
            <w:pPr>
              <w:spacing w:after="0"/>
              <w:rPr>
                <w:sz w:val="20"/>
                <w:szCs w:val="20"/>
                <w:color w:val="auto"/>
              </w:rPr>
            </w:pPr>
            <w:r>
              <w:rPr>
                <w:rFonts w:ascii="Arial" w:cs="Arial" w:eastAsia="Arial" w:hAnsi="Arial"/>
                <w:sz w:val="13"/>
                <w:szCs w:val="13"/>
                <w:color w:val="auto"/>
              </w:rPr>
              <w:t>Net increase (decrease) in net assets resulting from operations</w:t>
            </w:r>
          </w:p>
        </w:tc>
        <w:tc>
          <w:tcPr>
            <w:tcW w:w="332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6,630</w:t>
            </w:r>
          </w:p>
        </w:tc>
        <w:tc>
          <w:tcPr>
            <w:tcW w:w="180" w:type="dxa"/>
            <w:vAlign w:val="bottom"/>
          </w:tcPr>
          <w:p>
            <w:pPr>
              <w:spacing w:after="0"/>
              <w:rPr>
                <w:sz w:val="12"/>
                <w:szCs w:val="12"/>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4,260</w:t>
            </w:r>
          </w:p>
        </w:tc>
        <w:tc>
          <w:tcPr>
            <w:tcW w:w="160" w:type="dxa"/>
            <w:vAlign w:val="bottom"/>
          </w:tcPr>
          <w:p>
            <w:pPr>
              <w:spacing w:after="0"/>
              <w:rPr>
                <w:sz w:val="12"/>
                <w:szCs w:val="12"/>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(3,031)</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8,676</w:t>
            </w:r>
          </w:p>
        </w:tc>
      </w:tr>
      <w:tr>
        <w:trPr>
          <w:trHeight w:val="148"/>
        </w:trPr>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Net increase in net assets resulting from operations per common share</w:t>
            </w:r>
          </w:p>
        </w:tc>
        <w:tc>
          <w:tcPr>
            <w:tcW w:w="332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0.27</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0.13</w:t>
            </w: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(0.11)</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0.34</w:t>
            </w:r>
          </w:p>
        </w:tc>
      </w:tr>
      <w:tr>
        <w:trPr>
          <w:trHeight w:val="148"/>
        </w:trPr>
        <w:tc>
          <w:tcPr>
            <w:tcW w:w="4680" w:type="dxa"/>
            <w:vAlign w:val="bottom"/>
          </w:tcPr>
          <w:p>
            <w:pPr>
              <w:spacing w:after="0"/>
              <w:rPr>
                <w:sz w:val="20"/>
                <w:szCs w:val="20"/>
                <w:color w:val="auto"/>
              </w:rPr>
            </w:pPr>
            <w:r>
              <w:rPr>
                <w:rFonts w:ascii="Arial" w:cs="Arial" w:eastAsia="Arial" w:hAnsi="Arial"/>
                <w:sz w:val="13"/>
                <w:szCs w:val="13"/>
                <w:color w:val="auto"/>
              </w:rPr>
              <w:t>Net asset value per share at the end of the quarter</w:t>
            </w:r>
          </w:p>
        </w:tc>
        <w:tc>
          <w:tcPr>
            <w:tcW w:w="3320" w:type="dxa"/>
            <w:vAlign w:val="bottom"/>
            <w:gridSpan w:val="2"/>
          </w:tcPr>
          <w:p>
            <w:pPr>
              <w:jc w:val="right"/>
              <w:ind w:right="29"/>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10.69</w:t>
            </w:r>
          </w:p>
        </w:tc>
        <w:tc>
          <w:tcPr>
            <w:tcW w:w="180" w:type="dxa"/>
            <w:vAlign w:val="bottom"/>
          </w:tcPr>
          <w:p>
            <w:pPr>
              <w:spacing w:after="0"/>
              <w:rPr>
                <w:sz w:val="12"/>
                <w:szCs w:val="12"/>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10.94</w:t>
            </w:r>
          </w:p>
        </w:tc>
        <w:tc>
          <w:tcPr>
            <w:tcW w:w="160" w:type="dxa"/>
            <w:vAlign w:val="bottom"/>
          </w:tcPr>
          <w:p>
            <w:pPr>
              <w:spacing w:after="0"/>
              <w:rPr>
                <w:sz w:val="12"/>
                <w:szCs w:val="12"/>
                <w:color w:val="auto"/>
              </w:rPr>
            </w:pPr>
          </w:p>
        </w:tc>
        <w:tc>
          <w:tcPr>
            <w:tcW w:w="260" w:type="dxa"/>
            <w:vAlign w:val="bottom"/>
            <w:gridSpan w:val="2"/>
          </w:tcPr>
          <w:p>
            <w:pPr>
              <w:jc w:val="right"/>
              <w:ind w:right="9"/>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color w:val="auto"/>
              </w:rPr>
              <w:t>11.07</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11.86</w:t>
            </w:r>
          </w:p>
        </w:tc>
      </w:tr>
      <w:tr>
        <w:trPr>
          <w:trHeight w:val="148"/>
        </w:trPr>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Market value per share at the end of the quarter</w:t>
            </w:r>
          </w:p>
        </w:tc>
        <w:tc>
          <w:tcPr>
            <w:tcW w:w="3320" w:type="dxa"/>
            <w:vAlign w:val="bottom"/>
            <w:gridSpan w:val="2"/>
            <w:shd w:val="clear" w:color="auto" w:fill="CCEEFF"/>
          </w:tcPr>
          <w:p>
            <w:pPr>
              <w:jc w:val="right"/>
              <w:ind w:right="29"/>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10.61</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w:t>
            </w: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10.37</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8.92</w:t>
            </w:r>
          </w:p>
        </w:tc>
      </w:tr>
      <w:tr>
        <w:trPr>
          <w:trHeight w:val="310"/>
        </w:trPr>
        <w:tc>
          <w:tcPr>
            <w:tcW w:w="4680" w:type="dxa"/>
            <w:vAlign w:val="bottom"/>
          </w:tcPr>
          <w:p>
            <w:pPr>
              <w:spacing w:after="0"/>
              <w:rPr>
                <w:sz w:val="24"/>
                <w:szCs w:val="24"/>
                <w:color w:val="auto"/>
              </w:rPr>
            </w:pPr>
          </w:p>
        </w:tc>
        <w:tc>
          <w:tcPr>
            <w:tcW w:w="3180" w:type="dxa"/>
            <w:vAlign w:val="bottom"/>
          </w:tcPr>
          <w:p>
            <w:pPr>
              <w:jc w:val="right"/>
              <w:ind w:right="2093"/>
              <w:spacing w:after="0"/>
              <w:rPr>
                <w:sz w:val="20"/>
                <w:szCs w:val="20"/>
                <w:color w:val="auto"/>
              </w:rPr>
            </w:pPr>
            <w:r>
              <w:rPr>
                <w:rFonts w:ascii="Arial" w:cs="Arial" w:eastAsia="Arial" w:hAnsi="Arial"/>
                <w:sz w:val="13"/>
                <w:szCs w:val="13"/>
                <w:color w:val="auto"/>
              </w:rPr>
              <w:t>83</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color w:val="auto"/>
        </w:rPr>
        <w:t>Changes in and Disagreements with Accountants on Accounting and Financial Disclosure</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None</w:t>
      </w:r>
    </w:p>
    <w:p>
      <w:pPr>
        <w:spacing w:after="0" w:line="213"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 Evaluation of Disclosure Controls and Procedures</w:t>
      </w:r>
    </w:p>
    <w:p>
      <w:pPr>
        <w:spacing w:after="0" w:line="80"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As of September 30, 2012,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 Management’s Report on Internal Control Over Financial Reporting</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Management’s Report on Internal Control Over Financial Reporting, which appears on page 55 of this Form 10-K, is incorporated by reference herein.</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 Changes in Internal Controls Over Financial Reporting.</w:t>
      </w:r>
    </w:p>
    <w:p>
      <w:pPr>
        <w:spacing w:after="0" w:line="80"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None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84</w:t>
      </w:r>
    </w:p>
    <w:p>
      <w:pPr>
        <w:sectPr>
          <w:pgSz w:w="11900" w:h="16838" w:orient="portrait"/>
          <w:cols w:equalWidth="0" w:num="1">
            <w:col w:w="11200"/>
          </w:cols>
          <w:pgMar w:left="320" w:top="459" w:right="3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PART III</w:t>
      </w:r>
    </w:p>
    <w:p>
      <w:pPr>
        <w:spacing w:after="0" w:line="136" w:lineRule="exact"/>
        <w:rPr>
          <w:sz w:val="20"/>
          <w:szCs w:val="20"/>
          <w:color w:val="auto"/>
        </w:rPr>
      </w:pPr>
    </w:p>
    <w:p>
      <w:pPr>
        <w:ind w:firstLine="562"/>
        <w:spacing w:after="0" w:line="256" w:lineRule="auto"/>
        <w:rPr>
          <w:sz w:val="20"/>
          <w:szCs w:val="20"/>
          <w:color w:val="auto"/>
        </w:rPr>
      </w:pPr>
      <w:r>
        <w:rPr>
          <w:rFonts w:ascii="Arial" w:cs="Arial" w:eastAsia="Arial" w:hAnsi="Arial"/>
          <w:sz w:val="13"/>
          <w:szCs w:val="13"/>
          <w:color w:val="auto"/>
        </w:rPr>
        <w:t>We will file a definitive Proxy Statement for our 2013 Annual Meeting of Stockholders with the SEC, pursuant to Regulation 14A, not later than 120 days after the end of our fiscal year. Accordingly, certain information required by Part III has been omitted under General Instruction G (3) to Form 10-K. Only those sections of our definitive Proxy Statement that specifically address the items set forth herein are incorporated by reference.</w:t>
      </w:r>
    </w:p>
    <w:p>
      <w:pPr>
        <w:spacing w:after="0" w:line="181"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color w:val="auto"/>
        </w:rPr>
        <w:t>Directors, Executive Officers and Corporate Governance</w:t>
      </w:r>
    </w:p>
    <w:p>
      <w:pPr>
        <w:spacing w:after="0" w:line="82" w:lineRule="exact"/>
        <w:rPr>
          <w:sz w:val="20"/>
          <w:szCs w:val="20"/>
          <w:color w:val="auto"/>
        </w:rPr>
      </w:pPr>
    </w:p>
    <w:p>
      <w:pPr>
        <w:ind w:right="100" w:firstLine="562"/>
        <w:spacing w:after="0" w:line="274" w:lineRule="auto"/>
        <w:rPr>
          <w:sz w:val="20"/>
          <w:szCs w:val="20"/>
          <w:color w:val="auto"/>
        </w:rPr>
      </w:pPr>
      <w:r>
        <w:rPr>
          <w:rFonts w:ascii="Arial" w:cs="Arial" w:eastAsia="Arial" w:hAnsi="Arial"/>
          <w:sz w:val="13"/>
          <w:szCs w:val="13"/>
          <w:color w:val="auto"/>
        </w:rPr>
        <w:t>The information required by Item 10 is hereby incorporated by reference from our definitive Proxy Statement relating to our 2013 Annual Meeting of Stockholders, to be filed with the Securities and Exchange Commission within 120 days following the end of our fiscal year.</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82" w:lineRule="exact"/>
        <w:rPr>
          <w:sz w:val="20"/>
          <w:szCs w:val="20"/>
          <w:color w:val="auto"/>
        </w:rPr>
      </w:pPr>
    </w:p>
    <w:p>
      <w:pPr>
        <w:ind w:right="100" w:firstLine="562"/>
        <w:spacing w:after="0" w:line="274" w:lineRule="auto"/>
        <w:rPr>
          <w:sz w:val="20"/>
          <w:szCs w:val="20"/>
          <w:color w:val="auto"/>
        </w:rPr>
      </w:pPr>
      <w:r>
        <w:rPr>
          <w:rFonts w:ascii="Arial" w:cs="Arial" w:eastAsia="Arial" w:hAnsi="Arial"/>
          <w:sz w:val="13"/>
          <w:szCs w:val="13"/>
          <w:color w:val="auto"/>
        </w:rPr>
        <w:t>The information required by Item 11 is hereby incorporated by reference from our definitive Proxy Statement relating to our 2013 Annual Meeting of Stockholders, to be filed with the Securities and Exchange Commission within 120 days following the end of our fiscal year.</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color w:val="auto"/>
        </w:rPr>
        <w:t>Security Ownership of Certain Beneficial Owners and Management and Related Stockholder Matters</w:t>
      </w:r>
    </w:p>
    <w:p>
      <w:pPr>
        <w:spacing w:after="0" w:line="82" w:lineRule="exact"/>
        <w:rPr>
          <w:sz w:val="20"/>
          <w:szCs w:val="20"/>
          <w:color w:val="auto"/>
        </w:rPr>
      </w:pPr>
    </w:p>
    <w:p>
      <w:pPr>
        <w:ind w:right="100" w:firstLine="562"/>
        <w:spacing w:after="0" w:line="274" w:lineRule="auto"/>
        <w:rPr>
          <w:sz w:val="20"/>
          <w:szCs w:val="20"/>
          <w:color w:val="auto"/>
        </w:rPr>
      </w:pPr>
      <w:r>
        <w:rPr>
          <w:rFonts w:ascii="Arial" w:cs="Arial" w:eastAsia="Arial" w:hAnsi="Arial"/>
          <w:sz w:val="13"/>
          <w:szCs w:val="13"/>
          <w:color w:val="auto"/>
        </w:rPr>
        <w:t>The information required by Item 12 is hereby incorporated by reference from our definitive Proxy Statement relating to our 2013 Annual Meeting of Stockholders, to be filed with the Securities and Exchange Commission within 120 days following the end of our fiscal year.</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82" w:lineRule="exact"/>
        <w:rPr>
          <w:sz w:val="20"/>
          <w:szCs w:val="20"/>
          <w:color w:val="auto"/>
        </w:rPr>
      </w:pPr>
    </w:p>
    <w:p>
      <w:pPr>
        <w:ind w:right="100" w:firstLine="562"/>
        <w:spacing w:after="0" w:line="274" w:lineRule="auto"/>
        <w:rPr>
          <w:sz w:val="20"/>
          <w:szCs w:val="20"/>
          <w:color w:val="auto"/>
        </w:rPr>
      </w:pPr>
      <w:r>
        <w:rPr>
          <w:rFonts w:ascii="Arial" w:cs="Arial" w:eastAsia="Arial" w:hAnsi="Arial"/>
          <w:sz w:val="13"/>
          <w:szCs w:val="13"/>
          <w:color w:val="auto"/>
        </w:rPr>
        <w:t>The information required by Item 13 is hereby incorporated by reference from our definitive Proxy Statement relating to our 2013 Annual Meeting of Stockholders, to be filed with the Securities and Exchange Commission within 120 days following the end of our fiscal year.</w:t>
      </w: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color w:val="auto"/>
        </w:rPr>
        <w:t>Principal Accountant Fees and Services</w:t>
      </w:r>
    </w:p>
    <w:p>
      <w:pPr>
        <w:spacing w:after="0" w:line="82" w:lineRule="exact"/>
        <w:rPr>
          <w:sz w:val="20"/>
          <w:szCs w:val="20"/>
          <w:color w:val="auto"/>
        </w:rPr>
      </w:pPr>
    </w:p>
    <w:p>
      <w:pPr>
        <w:ind w:right="100" w:firstLine="562"/>
        <w:spacing w:after="0" w:line="274" w:lineRule="auto"/>
        <w:rPr>
          <w:sz w:val="20"/>
          <w:szCs w:val="20"/>
          <w:color w:val="auto"/>
        </w:rPr>
      </w:pPr>
      <w:r>
        <w:rPr>
          <w:rFonts w:ascii="Arial" w:cs="Arial" w:eastAsia="Arial" w:hAnsi="Arial"/>
          <w:sz w:val="13"/>
          <w:szCs w:val="13"/>
          <w:color w:val="auto"/>
        </w:rPr>
        <w:t>The information required by Item 14 is hereby incorporated by reference from our definitive Proxy Statement relating to our 2013 Annual Meeting of Stockholders, to be filed with the Securities and Exchange Commission within 120 days following the end of our fiscal year.</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85</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PART IV</w:t>
      </w:r>
    </w:p>
    <w:p>
      <w:pPr>
        <w:spacing w:after="0" w:line="148" w:lineRule="exact"/>
        <w:rPr>
          <w:sz w:val="20"/>
          <w:szCs w:val="20"/>
          <w:color w:val="auto"/>
        </w:rPr>
      </w:pPr>
    </w:p>
    <w:p>
      <w:pPr>
        <w:spacing w:after="0"/>
        <w:tabs>
          <w:tab w:leader="none" w:pos="110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color w:val="auto"/>
        </w:rPr>
        <w:t>Exhibits and Financial Statement Schedules</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following documents are filed as part of this Annual Report:</w:t>
      </w:r>
    </w:p>
    <w:p>
      <w:pPr>
        <w:spacing w:after="0" w:line="148" w:lineRule="exact"/>
        <w:rPr>
          <w:sz w:val="20"/>
          <w:szCs w:val="20"/>
          <w:color w:val="auto"/>
        </w:rPr>
      </w:pPr>
    </w:p>
    <w:p>
      <w:pPr>
        <w:ind w:left="780" w:hanging="448"/>
        <w:spacing w:after="0"/>
        <w:tabs>
          <w:tab w:leader="none" w:pos="7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Financial Statements—Refer to Item 8 starting on page 54.</w:t>
      </w:r>
    </w:p>
    <w:p>
      <w:pPr>
        <w:spacing w:after="0" w:line="147" w:lineRule="exact"/>
        <w:rPr>
          <w:rFonts w:ascii="Arial" w:cs="Arial" w:eastAsia="Arial" w:hAnsi="Arial"/>
          <w:sz w:val="13"/>
          <w:szCs w:val="13"/>
          <w:color w:val="auto"/>
        </w:rPr>
      </w:pPr>
    </w:p>
    <w:p>
      <w:pPr>
        <w:ind w:left="780" w:hanging="448"/>
        <w:spacing w:after="0"/>
        <w:tabs>
          <w:tab w:leader="none" w:pos="7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Financial Statement Schedules—None.</w:t>
      </w:r>
    </w:p>
    <w:p>
      <w:pPr>
        <w:spacing w:after="0" w:line="147" w:lineRule="exact"/>
        <w:rPr>
          <w:rFonts w:ascii="Arial" w:cs="Arial" w:eastAsia="Arial" w:hAnsi="Arial"/>
          <w:sz w:val="13"/>
          <w:szCs w:val="13"/>
          <w:color w:val="auto"/>
        </w:rPr>
      </w:pPr>
    </w:p>
    <w:p>
      <w:pPr>
        <w:ind w:left="780" w:hanging="448"/>
        <w:spacing w:after="0"/>
        <w:tabs>
          <w:tab w:leader="none" w:pos="7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Exhibits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 w:type="dxa"/>
            <w:vAlign w:val="bottom"/>
          </w:tcPr>
          <w:p>
            <w:pPr>
              <w:jc w:val="right"/>
              <w:ind w:right="533"/>
              <w:spacing w:after="0"/>
              <w:rPr>
                <w:sz w:val="20"/>
                <w:szCs w:val="20"/>
                <w:color w:val="auto"/>
              </w:rPr>
            </w:pPr>
            <w:r>
              <w:rPr>
                <w:rFonts w:ascii="Arial" w:cs="Arial" w:eastAsia="Arial" w:hAnsi="Arial"/>
                <w:sz w:val="13"/>
                <w:szCs w:val="13"/>
                <w:color w:val="auto"/>
              </w:rPr>
              <w:t>3.1</w:t>
            </w:r>
          </w:p>
        </w:tc>
        <w:tc>
          <w:tcPr>
            <w:tcW w:w="10340" w:type="dxa"/>
            <w:vAlign w:val="bottom"/>
          </w:tcPr>
          <w:p>
            <w:pPr>
              <w:ind w:left="520"/>
              <w:spacing w:after="0"/>
              <w:rPr>
                <w:sz w:val="20"/>
                <w:szCs w:val="20"/>
                <w:color w:val="auto"/>
              </w:rPr>
            </w:pPr>
            <w:r>
              <w:rPr>
                <w:rFonts w:ascii="Arial" w:cs="Arial" w:eastAsia="Arial" w:hAnsi="Arial"/>
                <w:sz w:val="13"/>
                <w:szCs w:val="13"/>
                <w:color w:val="auto"/>
                <w:w w:val="95"/>
              </w:rPr>
              <w:t>Articles of Incorporation (Incorporated by reference to the Registrant’s Pre-Effective Amendment No.1 to the Registration Statement on Form N-2/A (File No. 333-140092), filed on</w:t>
            </w:r>
          </w:p>
        </w:tc>
      </w:tr>
      <w:tr>
        <w:trPr>
          <w:trHeight w:val="172"/>
        </w:trPr>
        <w:tc>
          <w:tcPr>
            <w:tcW w:w="840" w:type="dxa"/>
            <w:vAlign w:val="bottom"/>
          </w:tcPr>
          <w:p>
            <w:pPr>
              <w:spacing w:after="0"/>
              <w:rPr>
                <w:sz w:val="14"/>
                <w:szCs w:val="14"/>
                <w:color w:val="auto"/>
              </w:rPr>
            </w:pPr>
          </w:p>
        </w:tc>
        <w:tc>
          <w:tcPr>
            <w:tcW w:w="10340" w:type="dxa"/>
            <w:vAlign w:val="bottom"/>
          </w:tcPr>
          <w:p>
            <w:pPr>
              <w:ind w:left="520"/>
              <w:spacing w:after="0"/>
              <w:rPr>
                <w:sz w:val="20"/>
                <w:szCs w:val="20"/>
                <w:color w:val="auto"/>
              </w:rPr>
            </w:pPr>
            <w:r>
              <w:rPr>
                <w:rFonts w:ascii="Arial" w:cs="Arial" w:eastAsia="Arial" w:hAnsi="Arial"/>
                <w:sz w:val="13"/>
                <w:szCs w:val="13"/>
                <w:color w:val="auto"/>
              </w:rPr>
              <w:t>March 5, 2007).</w:t>
            </w:r>
          </w:p>
        </w:tc>
      </w:tr>
      <w:tr>
        <w:trPr>
          <w:trHeight w:val="233"/>
        </w:trPr>
        <w:tc>
          <w:tcPr>
            <w:tcW w:w="840" w:type="dxa"/>
            <w:vAlign w:val="bottom"/>
          </w:tcPr>
          <w:p>
            <w:pPr>
              <w:jc w:val="right"/>
              <w:ind w:right="533"/>
              <w:spacing w:after="0"/>
              <w:rPr>
                <w:sz w:val="20"/>
                <w:szCs w:val="20"/>
                <w:color w:val="auto"/>
              </w:rPr>
            </w:pPr>
            <w:r>
              <w:rPr>
                <w:rFonts w:ascii="Arial" w:cs="Arial" w:eastAsia="Arial" w:hAnsi="Arial"/>
                <w:sz w:val="13"/>
                <w:szCs w:val="13"/>
                <w:color w:val="auto"/>
              </w:rPr>
              <w:t>3.2</w:t>
            </w:r>
          </w:p>
        </w:tc>
        <w:tc>
          <w:tcPr>
            <w:tcW w:w="10340" w:type="dxa"/>
            <w:vAlign w:val="bottom"/>
          </w:tcPr>
          <w:p>
            <w:pPr>
              <w:ind w:left="520"/>
              <w:spacing w:after="0"/>
              <w:rPr>
                <w:sz w:val="20"/>
                <w:szCs w:val="20"/>
                <w:color w:val="auto"/>
              </w:rPr>
            </w:pPr>
            <w:r>
              <w:rPr>
                <w:rFonts w:ascii="Arial" w:cs="Arial" w:eastAsia="Arial" w:hAnsi="Arial"/>
                <w:sz w:val="13"/>
                <w:szCs w:val="13"/>
                <w:color w:val="auto"/>
                <w:w w:val="95"/>
              </w:rPr>
              <w:t>Amended and Restated Bylaws of the Registrant (Incorporated by reference to Exhibit 3.2 to the Registrant’s Annual Report on Form 10-K (File No. 814-00736), filed on November</w:t>
            </w:r>
          </w:p>
        </w:tc>
      </w:tr>
      <w:tr>
        <w:trPr>
          <w:trHeight w:val="172"/>
        </w:trPr>
        <w:tc>
          <w:tcPr>
            <w:tcW w:w="840" w:type="dxa"/>
            <w:vAlign w:val="bottom"/>
          </w:tcPr>
          <w:p>
            <w:pPr>
              <w:spacing w:after="0"/>
              <w:rPr>
                <w:sz w:val="14"/>
                <w:szCs w:val="14"/>
                <w:color w:val="auto"/>
              </w:rPr>
            </w:pPr>
          </w:p>
        </w:tc>
        <w:tc>
          <w:tcPr>
            <w:tcW w:w="10340" w:type="dxa"/>
            <w:vAlign w:val="bottom"/>
          </w:tcPr>
          <w:p>
            <w:pPr>
              <w:ind w:left="520"/>
              <w:spacing w:after="0"/>
              <w:rPr>
                <w:sz w:val="20"/>
                <w:szCs w:val="20"/>
                <w:color w:val="auto"/>
              </w:rPr>
            </w:pPr>
            <w:r>
              <w:rPr>
                <w:rFonts w:ascii="Arial" w:cs="Arial" w:eastAsia="Arial" w:hAnsi="Arial"/>
                <w:sz w:val="13"/>
                <w:szCs w:val="13"/>
                <w:color w:val="auto"/>
              </w:rPr>
              <w:t>16, 2011).</w:t>
            </w:r>
          </w:p>
        </w:tc>
      </w:tr>
      <w:tr>
        <w:trPr>
          <w:trHeight w:val="257"/>
        </w:trPr>
        <w:tc>
          <w:tcPr>
            <w:tcW w:w="840" w:type="dxa"/>
            <w:vAlign w:val="bottom"/>
          </w:tcPr>
          <w:p>
            <w:pPr>
              <w:jc w:val="right"/>
              <w:ind w:right="533"/>
              <w:spacing w:after="0"/>
              <w:rPr>
                <w:sz w:val="20"/>
                <w:szCs w:val="20"/>
                <w:color w:val="auto"/>
              </w:rPr>
            </w:pPr>
            <w:r>
              <w:rPr>
                <w:rFonts w:ascii="Arial" w:cs="Arial" w:eastAsia="Arial" w:hAnsi="Arial"/>
                <w:sz w:val="13"/>
                <w:szCs w:val="13"/>
                <w:color w:val="auto"/>
              </w:rPr>
              <w:t>4.1</w:t>
            </w:r>
          </w:p>
        </w:tc>
        <w:tc>
          <w:tcPr>
            <w:tcW w:w="10340" w:type="dxa"/>
            <w:vAlign w:val="bottom"/>
          </w:tcPr>
          <w:p>
            <w:pPr>
              <w:ind w:left="520"/>
              <w:spacing w:after="0"/>
              <w:rPr>
                <w:sz w:val="20"/>
                <w:szCs w:val="20"/>
                <w:color w:val="auto"/>
              </w:rPr>
            </w:pPr>
            <w:r>
              <w:rPr>
                <w:rFonts w:ascii="Arial" w:cs="Arial" w:eastAsia="Arial" w:hAnsi="Arial"/>
                <w:sz w:val="13"/>
                <w:szCs w:val="13"/>
                <w:color w:val="auto"/>
                <w:w w:val="98"/>
              </w:rPr>
              <w:t>Form of Share Certificate (Incorporated by reference to Exhibit 99(d)(1) to the Registrant’s Registration Statement on Form N-2 (File No. 333-150033), filed on April 2, 2008).</w:t>
            </w:r>
          </w:p>
        </w:tc>
      </w:tr>
      <w:tr>
        <w:trPr>
          <w:trHeight w:val="233"/>
        </w:trPr>
        <w:tc>
          <w:tcPr>
            <w:tcW w:w="840" w:type="dxa"/>
            <w:vAlign w:val="bottom"/>
          </w:tcPr>
          <w:p>
            <w:pPr>
              <w:jc w:val="right"/>
              <w:ind w:right="533"/>
              <w:spacing w:after="0"/>
              <w:rPr>
                <w:sz w:val="20"/>
                <w:szCs w:val="20"/>
                <w:color w:val="auto"/>
              </w:rPr>
            </w:pPr>
            <w:r>
              <w:rPr>
                <w:rFonts w:ascii="Arial" w:cs="Arial" w:eastAsia="Arial" w:hAnsi="Arial"/>
                <w:sz w:val="13"/>
                <w:szCs w:val="13"/>
                <w:color w:val="auto"/>
                <w:w w:val="86"/>
              </w:rPr>
              <w:t>10.1</w:t>
            </w:r>
          </w:p>
        </w:tc>
        <w:tc>
          <w:tcPr>
            <w:tcW w:w="10340" w:type="dxa"/>
            <w:vAlign w:val="bottom"/>
          </w:tcPr>
          <w:p>
            <w:pPr>
              <w:ind w:left="520"/>
              <w:spacing w:after="0"/>
              <w:rPr>
                <w:sz w:val="20"/>
                <w:szCs w:val="20"/>
                <w:color w:val="auto"/>
              </w:rPr>
            </w:pPr>
            <w:r>
              <w:rPr>
                <w:rFonts w:ascii="Arial" w:cs="Arial" w:eastAsia="Arial" w:hAnsi="Arial"/>
                <w:sz w:val="13"/>
                <w:szCs w:val="13"/>
                <w:color w:val="auto"/>
                <w:w w:val="97"/>
              </w:rPr>
              <w:t>Form of Investment Management Agreement between the Registrant and PennantPark Investment Advisers, LLC (Incorporated by reference to Exhibit 99(g) to the Registrant’s</w:t>
            </w:r>
          </w:p>
        </w:tc>
      </w:tr>
      <w:tr>
        <w:trPr>
          <w:trHeight w:val="172"/>
        </w:trPr>
        <w:tc>
          <w:tcPr>
            <w:tcW w:w="840" w:type="dxa"/>
            <w:vAlign w:val="bottom"/>
          </w:tcPr>
          <w:p>
            <w:pPr>
              <w:spacing w:after="0"/>
              <w:rPr>
                <w:sz w:val="14"/>
                <w:szCs w:val="14"/>
                <w:color w:val="auto"/>
              </w:rPr>
            </w:pPr>
          </w:p>
        </w:tc>
        <w:tc>
          <w:tcPr>
            <w:tcW w:w="10340" w:type="dxa"/>
            <w:vAlign w:val="bottom"/>
          </w:tcPr>
          <w:p>
            <w:pPr>
              <w:ind w:left="520"/>
              <w:spacing w:after="0"/>
              <w:rPr>
                <w:sz w:val="20"/>
                <w:szCs w:val="20"/>
                <w:color w:val="auto"/>
              </w:rPr>
            </w:pPr>
            <w:r>
              <w:rPr>
                <w:rFonts w:ascii="Arial" w:cs="Arial" w:eastAsia="Arial" w:hAnsi="Arial"/>
                <w:sz w:val="13"/>
                <w:szCs w:val="13"/>
                <w:color w:val="auto"/>
              </w:rPr>
              <w:t>Registration Statement on Form N-2 (File No. 333-150033), filed on April 2, 2008).</w:t>
            </w:r>
          </w:p>
        </w:tc>
      </w:tr>
      <w:tr>
        <w:trPr>
          <w:trHeight w:val="233"/>
        </w:trPr>
        <w:tc>
          <w:tcPr>
            <w:tcW w:w="840" w:type="dxa"/>
            <w:vAlign w:val="bottom"/>
          </w:tcPr>
          <w:p>
            <w:pPr>
              <w:jc w:val="right"/>
              <w:ind w:right="533"/>
              <w:spacing w:after="0"/>
              <w:rPr>
                <w:sz w:val="20"/>
                <w:szCs w:val="20"/>
                <w:color w:val="auto"/>
              </w:rPr>
            </w:pPr>
            <w:r>
              <w:rPr>
                <w:rFonts w:ascii="Arial" w:cs="Arial" w:eastAsia="Arial" w:hAnsi="Arial"/>
                <w:sz w:val="13"/>
                <w:szCs w:val="13"/>
                <w:color w:val="auto"/>
                <w:w w:val="86"/>
              </w:rPr>
              <w:t>10.2</w:t>
            </w:r>
          </w:p>
        </w:tc>
        <w:tc>
          <w:tcPr>
            <w:tcW w:w="10340" w:type="dxa"/>
            <w:vAlign w:val="bottom"/>
          </w:tcPr>
          <w:p>
            <w:pPr>
              <w:ind w:left="520"/>
              <w:spacing w:after="0"/>
              <w:rPr>
                <w:sz w:val="20"/>
                <w:szCs w:val="20"/>
                <w:color w:val="auto"/>
              </w:rPr>
            </w:pPr>
            <w:r>
              <w:rPr>
                <w:rFonts w:ascii="Arial" w:cs="Arial" w:eastAsia="Arial" w:hAnsi="Arial"/>
                <w:sz w:val="13"/>
                <w:szCs w:val="13"/>
                <w:color w:val="auto"/>
                <w:w w:val="94"/>
              </w:rPr>
              <w:t>Form of Custodian Agreement between the Registrant and PFPC Trust Company (Incorporated by reference to Exhibit 99(j)(1) to the Registrant’s Registration Statement on Form N-</w:t>
            </w:r>
          </w:p>
        </w:tc>
      </w:tr>
      <w:tr>
        <w:trPr>
          <w:trHeight w:val="172"/>
        </w:trPr>
        <w:tc>
          <w:tcPr>
            <w:tcW w:w="840" w:type="dxa"/>
            <w:vAlign w:val="bottom"/>
          </w:tcPr>
          <w:p>
            <w:pPr>
              <w:spacing w:after="0"/>
              <w:rPr>
                <w:sz w:val="14"/>
                <w:szCs w:val="14"/>
                <w:color w:val="auto"/>
              </w:rPr>
            </w:pPr>
          </w:p>
        </w:tc>
        <w:tc>
          <w:tcPr>
            <w:tcW w:w="10340" w:type="dxa"/>
            <w:vAlign w:val="bottom"/>
          </w:tcPr>
          <w:p>
            <w:pPr>
              <w:ind w:left="520"/>
              <w:spacing w:after="0"/>
              <w:rPr>
                <w:sz w:val="20"/>
                <w:szCs w:val="20"/>
                <w:color w:val="auto"/>
              </w:rPr>
            </w:pPr>
            <w:r>
              <w:rPr>
                <w:rFonts w:ascii="Arial" w:cs="Arial" w:eastAsia="Arial" w:hAnsi="Arial"/>
                <w:sz w:val="13"/>
                <w:szCs w:val="13"/>
                <w:color w:val="auto"/>
              </w:rPr>
              <w:t>2 (File No. 333-150033), filed on April 2, 2008).</w:t>
            </w:r>
          </w:p>
        </w:tc>
      </w:tr>
      <w:tr>
        <w:trPr>
          <w:trHeight w:val="233"/>
        </w:trPr>
        <w:tc>
          <w:tcPr>
            <w:tcW w:w="840" w:type="dxa"/>
            <w:vAlign w:val="bottom"/>
          </w:tcPr>
          <w:p>
            <w:pPr>
              <w:jc w:val="right"/>
              <w:ind w:right="533"/>
              <w:spacing w:after="0"/>
              <w:rPr>
                <w:sz w:val="20"/>
                <w:szCs w:val="20"/>
                <w:color w:val="auto"/>
              </w:rPr>
            </w:pPr>
            <w:r>
              <w:rPr>
                <w:rFonts w:ascii="Arial" w:cs="Arial" w:eastAsia="Arial" w:hAnsi="Arial"/>
                <w:sz w:val="13"/>
                <w:szCs w:val="13"/>
                <w:color w:val="auto"/>
                <w:w w:val="86"/>
              </w:rPr>
              <w:t>10.3</w:t>
            </w:r>
          </w:p>
        </w:tc>
        <w:tc>
          <w:tcPr>
            <w:tcW w:w="10340" w:type="dxa"/>
            <w:vAlign w:val="bottom"/>
          </w:tcPr>
          <w:p>
            <w:pPr>
              <w:ind w:left="520"/>
              <w:spacing w:after="0"/>
              <w:rPr>
                <w:sz w:val="20"/>
                <w:szCs w:val="20"/>
                <w:color w:val="auto"/>
              </w:rPr>
            </w:pPr>
            <w:r>
              <w:rPr>
                <w:rFonts w:ascii="Arial" w:cs="Arial" w:eastAsia="Arial" w:hAnsi="Arial"/>
                <w:sz w:val="13"/>
                <w:szCs w:val="13"/>
                <w:color w:val="auto"/>
                <w:w w:val="98"/>
              </w:rPr>
              <w:t>Form of Administration Agreement between the Registrant and PennantPark Investment Administration LLC (Incorporated by reference to Exhibit 99(k)(1) to the Registrant’s</w:t>
            </w:r>
          </w:p>
        </w:tc>
      </w:tr>
      <w:tr>
        <w:trPr>
          <w:trHeight w:val="172"/>
        </w:trPr>
        <w:tc>
          <w:tcPr>
            <w:tcW w:w="840" w:type="dxa"/>
            <w:vAlign w:val="bottom"/>
          </w:tcPr>
          <w:p>
            <w:pPr>
              <w:spacing w:after="0"/>
              <w:rPr>
                <w:sz w:val="14"/>
                <w:szCs w:val="14"/>
                <w:color w:val="auto"/>
              </w:rPr>
            </w:pPr>
          </w:p>
        </w:tc>
        <w:tc>
          <w:tcPr>
            <w:tcW w:w="10340" w:type="dxa"/>
            <w:vAlign w:val="bottom"/>
          </w:tcPr>
          <w:p>
            <w:pPr>
              <w:ind w:left="520"/>
              <w:spacing w:after="0"/>
              <w:rPr>
                <w:sz w:val="20"/>
                <w:szCs w:val="20"/>
                <w:color w:val="auto"/>
              </w:rPr>
            </w:pPr>
            <w:r>
              <w:rPr>
                <w:rFonts w:ascii="Arial" w:cs="Arial" w:eastAsia="Arial" w:hAnsi="Arial"/>
                <w:sz w:val="13"/>
                <w:szCs w:val="13"/>
                <w:color w:val="auto"/>
              </w:rPr>
              <w:t>Registration Statement on Form N-2 (File No. 333-150033), filed on April 2, 2008).</w:t>
            </w:r>
          </w:p>
        </w:tc>
      </w:tr>
      <w:tr>
        <w:trPr>
          <w:trHeight w:val="257"/>
        </w:trPr>
        <w:tc>
          <w:tcPr>
            <w:tcW w:w="840" w:type="dxa"/>
            <w:vAlign w:val="bottom"/>
          </w:tcPr>
          <w:p>
            <w:pPr>
              <w:jc w:val="right"/>
              <w:ind w:right="533"/>
              <w:spacing w:after="0"/>
              <w:rPr>
                <w:sz w:val="20"/>
                <w:szCs w:val="20"/>
                <w:color w:val="auto"/>
              </w:rPr>
            </w:pPr>
            <w:r>
              <w:rPr>
                <w:rFonts w:ascii="Arial" w:cs="Arial" w:eastAsia="Arial" w:hAnsi="Arial"/>
                <w:sz w:val="13"/>
                <w:szCs w:val="13"/>
                <w:color w:val="auto"/>
                <w:w w:val="86"/>
              </w:rPr>
              <w:t>10.4</w:t>
            </w:r>
          </w:p>
        </w:tc>
        <w:tc>
          <w:tcPr>
            <w:tcW w:w="10340" w:type="dxa"/>
            <w:vAlign w:val="bottom"/>
          </w:tcPr>
          <w:p>
            <w:pPr>
              <w:ind w:left="520"/>
              <w:spacing w:after="0"/>
              <w:rPr>
                <w:sz w:val="20"/>
                <w:szCs w:val="20"/>
                <w:color w:val="auto"/>
              </w:rPr>
            </w:pPr>
            <w:r>
              <w:rPr>
                <w:rFonts w:ascii="Arial" w:cs="Arial" w:eastAsia="Arial" w:hAnsi="Arial"/>
                <w:sz w:val="13"/>
                <w:szCs w:val="13"/>
                <w:color w:val="auto"/>
                <w:w w:val="98"/>
              </w:rPr>
              <w:t>Dividend Reinvestment Plan (Incorporated by reference to Exhibit 99(e) to the Registrant’s Registration Statement on Form N-2 (File No. 333-150033), filed on April 2, 2008).</w:t>
            </w:r>
          </w:p>
        </w:tc>
      </w:tr>
      <w:tr>
        <w:trPr>
          <w:trHeight w:val="233"/>
        </w:trPr>
        <w:tc>
          <w:tcPr>
            <w:tcW w:w="840" w:type="dxa"/>
            <w:vAlign w:val="bottom"/>
          </w:tcPr>
          <w:p>
            <w:pPr>
              <w:jc w:val="right"/>
              <w:ind w:right="533"/>
              <w:spacing w:after="0"/>
              <w:rPr>
                <w:sz w:val="20"/>
                <w:szCs w:val="20"/>
                <w:color w:val="auto"/>
              </w:rPr>
            </w:pPr>
            <w:r>
              <w:rPr>
                <w:rFonts w:ascii="Arial" w:cs="Arial" w:eastAsia="Arial" w:hAnsi="Arial"/>
                <w:sz w:val="13"/>
                <w:szCs w:val="13"/>
                <w:color w:val="auto"/>
                <w:w w:val="86"/>
              </w:rPr>
              <w:t>10.5</w:t>
            </w:r>
          </w:p>
        </w:tc>
        <w:tc>
          <w:tcPr>
            <w:tcW w:w="10340" w:type="dxa"/>
            <w:vAlign w:val="bottom"/>
          </w:tcPr>
          <w:p>
            <w:pPr>
              <w:ind w:left="520"/>
              <w:spacing w:after="0"/>
              <w:rPr>
                <w:sz w:val="20"/>
                <w:szCs w:val="20"/>
                <w:color w:val="auto"/>
              </w:rPr>
            </w:pPr>
            <w:r>
              <w:rPr>
                <w:rFonts w:ascii="Arial" w:cs="Arial" w:eastAsia="Arial" w:hAnsi="Arial"/>
                <w:sz w:val="13"/>
                <w:szCs w:val="13"/>
                <w:color w:val="auto"/>
                <w:w w:val="93"/>
              </w:rPr>
              <w:t>Amended and Restated Senior Secured Revolving Credit Agreement, dated as of February 21, 2012, among PennantPark Investment Corporation, as the borrower, the Lenders party</w:t>
            </w:r>
          </w:p>
        </w:tc>
      </w:tr>
      <w:tr>
        <w:trPr>
          <w:trHeight w:val="148"/>
        </w:trPr>
        <w:tc>
          <w:tcPr>
            <w:tcW w:w="840" w:type="dxa"/>
            <w:vAlign w:val="bottom"/>
          </w:tcPr>
          <w:p>
            <w:pPr>
              <w:spacing w:after="0"/>
              <w:rPr>
                <w:sz w:val="12"/>
                <w:szCs w:val="12"/>
                <w:color w:val="auto"/>
              </w:rPr>
            </w:pPr>
          </w:p>
        </w:tc>
        <w:tc>
          <w:tcPr>
            <w:tcW w:w="10340" w:type="dxa"/>
            <w:vAlign w:val="bottom"/>
          </w:tcPr>
          <w:p>
            <w:pPr>
              <w:ind w:left="520"/>
              <w:spacing w:after="0"/>
              <w:rPr>
                <w:sz w:val="20"/>
                <w:szCs w:val="20"/>
                <w:color w:val="auto"/>
              </w:rPr>
            </w:pPr>
            <w:r>
              <w:rPr>
                <w:rFonts w:ascii="Arial" w:cs="Arial" w:eastAsia="Arial" w:hAnsi="Arial"/>
                <w:sz w:val="13"/>
                <w:szCs w:val="13"/>
                <w:color w:val="auto"/>
                <w:w w:val="93"/>
              </w:rPr>
              <w:t>hereto, SunTrust Bank, as administrative agent and JPMorgan Chase Bank, N.A., as syndication agent (Incorporated by reference to Exhibit 10.1 to the Registrant’s Quarterly Report</w:t>
            </w:r>
          </w:p>
        </w:tc>
      </w:tr>
      <w:tr>
        <w:trPr>
          <w:trHeight w:val="172"/>
        </w:trPr>
        <w:tc>
          <w:tcPr>
            <w:tcW w:w="840" w:type="dxa"/>
            <w:vAlign w:val="bottom"/>
          </w:tcPr>
          <w:p>
            <w:pPr>
              <w:spacing w:after="0"/>
              <w:rPr>
                <w:sz w:val="14"/>
                <w:szCs w:val="14"/>
                <w:color w:val="auto"/>
              </w:rPr>
            </w:pPr>
          </w:p>
        </w:tc>
        <w:tc>
          <w:tcPr>
            <w:tcW w:w="10340" w:type="dxa"/>
            <w:vAlign w:val="bottom"/>
          </w:tcPr>
          <w:p>
            <w:pPr>
              <w:ind w:left="520"/>
              <w:spacing w:after="0"/>
              <w:rPr>
                <w:sz w:val="20"/>
                <w:szCs w:val="20"/>
                <w:color w:val="auto"/>
              </w:rPr>
            </w:pPr>
            <w:r>
              <w:rPr>
                <w:rFonts w:ascii="Arial" w:cs="Arial" w:eastAsia="Arial" w:hAnsi="Arial"/>
                <w:sz w:val="13"/>
                <w:szCs w:val="13"/>
                <w:color w:val="auto"/>
              </w:rPr>
              <w:t>on Form 10-Q (File No. 814-00736), filed on May 2, 2012).</w:t>
            </w:r>
          </w:p>
        </w:tc>
      </w:tr>
      <w:tr>
        <w:trPr>
          <w:trHeight w:val="256"/>
        </w:trPr>
        <w:tc>
          <w:tcPr>
            <w:tcW w:w="840" w:type="dxa"/>
            <w:vAlign w:val="bottom"/>
          </w:tcPr>
          <w:p>
            <w:pPr>
              <w:jc w:val="right"/>
              <w:ind w:right="633"/>
              <w:spacing w:after="0"/>
              <w:rPr>
                <w:sz w:val="20"/>
                <w:szCs w:val="20"/>
                <w:color w:val="auto"/>
              </w:rPr>
            </w:pPr>
            <w:r>
              <w:rPr>
                <w:rFonts w:ascii="Arial" w:cs="Arial" w:eastAsia="Arial" w:hAnsi="Arial"/>
                <w:sz w:val="13"/>
                <w:szCs w:val="13"/>
                <w:color w:val="auto"/>
                <w:w w:val="82"/>
              </w:rPr>
              <w:t>11</w:t>
            </w:r>
          </w:p>
        </w:tc>
        <w:tc>
          <w:tcPr>
            <w:tcW w:w="10340" w:type="dxa"/>
            <w:vAlign w:val="bottom"/>
          </w:tcPr>
          <w:p>
            <w:pPr>
              <w:ind w:left="520"/>
              <w:spacing w:after="0"/>
              <w:rPr>
                <w:sz w:val="20"/>
                <w:szCs w:val="20"/>
                <w:color w:val="auto"/>
              </w:rPr>
            </w:pPr>
            <w:r>
              <w:rPr>
                <w:rFonts w:ascii="Arial" w:cs="Arial" w:eastAsia="Arial" w:hAnsi="Arial"/>
                <w:sz w:val="13"/>
                <w:szCs w:val="13"/>
                <w:color w:val="auto"/>
              </w:rPr>
              <w:t>Computation of Per Share Earnings (included in the notes to the audited financial statements contained in this Report).</w:t>
            </w:r>
          </w:p>
        </w:tc>
      </w:tr>
      <w:tr>
        <w:trPr>
          <w:trHeight w:val="257"/>
        </w:trPr>
        <w:tc>
          <w:tcPr>
            <w:tcW w:w="840" w:type="dxa"/>
            <w:vAlign w:val="bottom"/>
          </w:tcPr>
          <w:p>
            <w:pPr>
              <w:jc w:val="right"/>
              <w:ind w:right="453"/>
              <w:spacing w:after="0"/>
              <w:rPr>
                <w:sz w:val="20"/>
                <w:szCs w:val="20"/>
                <w:color w:val="auto"/>
              </w:rPr>
            </w:pPr>
            <w:r>
              <w:rPr>
                <w:rFonts w:ascii="Arial" w:cs="Arial" w:eastAsia="Arial" w:hAnsi="Arial"/>
                <w:sz w:val="13"/>
                <w:szCs w:val="13"/>
                <w:color w:val="auto"/>
                <w:w w:val="98"/>
              </w:rPr>
              <w:t>14.1*</w:t>
            </w:r>
          </w:p>
        </w:tc>
        <w:tc>
          <w:tcPr>
            <w:tcW w:w="10340" w:type="dxa"/>
            <w:vAlign w:val="bottom"/>
          </w:tcPr>
          <w:p>
            <w:pPr>
              <w:ind w:left="520"/>
              <w:spacing w:after="0"/>
              <w:rPr>
                <w:sz w:val="20"/>
                <w:szCs w:val="20"/>
                <w:color w:val="auto"/>
              </w:rPr>
            </w:pPr>
            <w:r>
              <w:rPr>
                <w:rFonts w:ascii="Arial" w:cs="Arial" w:eastAsia="Arial" w:hAnsi="Arial"/>
                <w:sz w:val="13"/>
                <w:szCs w:val="13"/>
                <w:color w:val="auto"/>
              </w:rPr>
              <w:t>Joint Code of Ethics of the Registrant.</w:t>
            </w:r>
          </w:p>
        </w:tc>
      </w:tr>
      <w:tr>
        <w:trPr>
          <w:trHeight w:val="257"/>
        </w:trPr>
        <w:tc>
          <w:tcPr>
            <w:tcW w:w="840" w:type="dxa"/>
            <w:vAlign w:val="bottom"/>
          </w:tcPr>
          <w:p>
            <w:pPr>
              <w:jc w:val="right"/>
              <w:ind w:right="453"/>
              <w:spacing w:after="0"/>
              <w:rPr>
                <w:sz w:val="20"/>
                <w:szCs w:val="20"/>
                <w:color w:val="auto"/>
              </w:rPr>
            </w:pPr>
            <w:r>
              <w:rPr>
                <w:rFonts w:ascii="Arial" w:cs="Arial" w:eastAsia="Arial" w:hAnsi="Arial"/>
                <w:sz w:val="13"/>
                <w:szCs w:val="13"/>
                <w:color w:val="auto"/>
                <w:w w:val="98"/>
              </w:rPr>
              <w:t>21.1*</w:t>
            </w:r>
          </w:p>
        </w:tc>
        <w:tc>
          <w:tcPr>
            <w:tcW w:w="10340" w:type="dxa"/>
            <w:vAlign w:val="bottom"/>
          </w:tcPr>
          <w:p>
            <w:pPr>
              <w:ind w:left="520"/>
              <w:spacing w:after="0"/>
              <w:rPr>
                <w:sz w:val="20"/>
                <w:szCs w:val="20"/>
                <w:color w:val="auto"/>
              </w:rPr>
            </w:pPr>
            <w:r>
              <w:rPr>
                <w:rFonts w:ascii="Arial" w:cs="Arial" w:eastAsia="Arial" w:hAnsi="Arial"/>
                <w:sz w:val="13"/>
                <w:szCs w:val="13"/>
                <w:color w:val="auto"/>
              </w:rPr>
              <w:t>List of Subsidiaries.</w:t>
            </w:r>
          </w:p>
        </w:tc>
      </w:tr>
      <w:tr>
        <w:trPr>
          <w:trHeight w:val="257"/>
        </w:trPr>
        <w:tc>
          <w:tcPr>
            <w:tcW w:w="840" w:type="dxa"/>
            <w:vAlign w:val="bottom"/>
          </w:tcPr>
          <w:p>
            <w:pPr>
              <w:jc w:val="right"/>
              <w:ind w:right="453"/>
              <w:spacing w:after="0"/>
              <w:rPr>
                <w:sz w:val="20"/>
                <w:szCs w:val="20"/>
                <w:color w:val="auto"/>
              </w:rPr>
            </w:pPr>
            <w:r>
              <w:rPr>
                <w:rFonts w:ascii="Arial" w:cs="Arial" w:eastAsia="Arial" w:hAnsi="Arial"/>
                <w:sz w:val="13"/>
                <w:szCs w:val="13"/>
                <w:color w:val="auto"/>
                <w:w w:val="98"/>
              </w:rPr>
              <w:t>31.1*</w:t>
            </w:r>
          </w:p>
        </w:tc>
        <w:tc>
          <w:tcPr>
            <w:tcW w:w="10340" w:type="dxa"/>
            <w:vAlign w:val="bottom"/>
          </w:tcPr>
          <w:p>
            <w:pPr>
              <w:ind w:left="520"/>
              <w:spacing w:after="0"/>
              <w:rPr>
                <w:sz w:val="20"/>
                <w:szCs w:val="20"/>
                <w:color w:val="auto"/>
              </w:rPr>
            </w:pPr>
            <w:r>
              <w:rPr>
                <w:rFonts w:ascii="Arial" w:cs="Arial" w:eastAsia="Arial" w:hAnsi="Arial"/>
                <w:sz w:val="13"/>
                <w:szCs w:val="13"/>
                <w:color w:val="auto"/>
              </w:rPr>
              <w:t>Certification of Chief Executive Officer pursuant to Rule 13a-14 of the Securities Exchange Act of 1934, as amended.</w:t>
            </w:r>
          </w:p>
        </w:tc>
      </w:tr>
      <w:tr>
        <w:trPr>
          <w:trHeight w:val="256"/>
        </w:trPr>
        <w:tc>
          <w:tcPr>
            <w:tcW w:w="840" w:type="dxa"/>
            <w:vAlign w:val="bottom"/>
          </w:tcPr>
          <w:p>
            <w:pPr>
              <w:jc w:val="right"/>
              <w:ind w:right="453"/>
              <w:spacing w:after="0"/>
              <w:rPr>
                <w:sz w:val="20"/>
                <w:szCs w:val="20"/>
                <w:color w:val="auto"/>
              </w:rPr>
            </w:pPr>
            <w:r>
              <w:rPr>
                <w:rFonts w:ascii="Arial" w:cs="Arial" w:eastAsia="Arial" w:hAnsi="Arial"/>
                <w:sz w:val="13"/>
                <w:szCs w:val="13"/>
                <w:color w:val="auto"/>
                <w:w w:val="98"/>
              </w:rPr>
              <w:t>31.2*</w:t>
            </w:r>
          </w:p>
        </w:tc>
        <w:tc>
          <w:tcPr>
            <w:tcW w:w="10340" w:type="dxa"/>
            <w:vAlign w:val="bottom"/>
          </w:tcPr>
          <w:p>
            <w:pPr>
              <w:ind w:left="520"/>
              <w:spacing w:after="0"/>
              <w:rPr>
                <w:sz w:val="20"/>
                <w:szCs w:val="20"/>
                <w:color w:val="auto"/>
              </w:rPr>
            </w:pPr>
            <w:r>
              <w:rPr>
                <w:rFonts w:ascii="Arial" w:cs="Arial" w:eastAsia="Arial" w:hAnsi="Arial"/>
                <w:sz w:val="13"/>
                <w:szCs w:val="13"/>
                <w:color w:val="auto"/>
              </w:rPr>
              <w:t>Certification of Chief Financial Officer pursuant to Rule 13a-14 of the Securities Exchange Act of 1934, as amended.</w:t>
            </w:r>
          </w:p>
        </w:tc>
      </w:tr>
      <w:tr>
        <w:trPr>
          <w:trHeight w:val="257"/>
        </w:trPr>
        <w:tc>
          <w:tcPr>
            <w:tcW w:w="840" w:type="dxa"/>
            <w:vAlign w:val="bottom"/>
          </w:tcPr>
          <w:p>
            <w:pPr>
              <w:jc w:val="right"/>
              <w:ind w:right="453"/>
              <w:spacing w:after="0"/>
              <w:rPr>
                <w:sz w:val="20"/>
                <w:szCs w:val="20"/>
                <w:color w:val="auto"/>
              </w:rPr>
            </w:pPr>
            <w:r>
              <w:rPr>
                <w:rFonts w:ascii="Arial" w:cs="Arial" w:eastAsia="Arial" w:hAnsi="Arial"/>
                <w:sz w:val="13"/>
                <w:szCs w:val="13"/>
                <w:color w:val="auto"/>
                <w:w w:val="98"/>
              </w:rPr>
              <w:t>32.1*</w:t>
            </w:r>
          </w:p>
        </w:tc>
        <w:tc>
          <w:tcPr>
            <w:tcW w:w="10340" w:type="dxa"/>
            <w:vAlign w:val="bottom"/>
          </w:tcPr>
          <w:p>
            <w:pPr>
              <w:ind w:left="520"/>
              <w:spacing w:after="0"/>
              <w:rPr>
                <w:sz w:val="20"/>
                <w:szCs w:val="20"/>
                <w:color w:val="auto"/>
              </w:rPr>
            </w:pPr>
            <w:r>
              <w:rPr>
                <w:rFonts w:ascii="Arial" w:cs="Arial" w:eastAsia="Arial" w:hAnsi="Arial"/>
                <w:sz w:val="13"/>
                <w:szCs w:val="13"/>
                <w:color w:val="auto"/>
              </w:rPr>
              <w:t>Certification of Chief Executive Officer pursuant to section 906 of the Sarbanes-Oxley Act of 2002.</w:t>
            </w:r>
          </w:p>
        </w:tc>
      </w:tr>
      <w:tr>
        <w:trPr>
          <w:trHeight w:val="256"/>
        </w:trPr>
        <w:tc>
          <w:tcPr>
            <w:tcW w:w="840" w:type="dxa"/>
            <w:vAlign w:val="bottom"/>
          </w:tcPr>
          <w:p>
            <w:pPr>
              <w:jc w:val="right"/>
              <w:ind w:right="453"/>
              <w:spacing w:after="0"/>
              <w:rPr>
                <w:sz w:val="20"/>
                <w:szCs w:val="20"/>
                <w:color w:val="auto"/>
              </w:rPr>
            </w:pPr>
            <w:r>
              <w:rPr>
                <w:rFonts w:ascii="Arial" w:cs="Arial" w:eastAsia="Arial" w:hAnsi="Arial"/>
                <w:sz w:val="13"/>
                <w:szCs w:val="13"/>
                <w:color w:val="auto"/>
                <w:w w:val="98"/>
              </w:rPr>
              <w:t>32.2*</w:t>
            </w:r>
          </w:p>
        </w:tc>
        <w:tc>
          <w:tcPr>
            <w:tcW w:w="10340" w:type="dxa"/>
            <w:vAlign w:val="bottom"/>
          </w:tcPr>
          <w:p>
            <w:pPr>
              <w:ind w:left="520"/>
              <w:spacing w:after="0"/>
              <w:rPr>
                <w:sz w:val="20"/>
                <w:szCs w:val="20"/>
                <w:color w:val="auto"/>
              </w:rPr>
            </w:pPr>
            <w:r>
              <w:rPr>
                <w:rFonts w:ascii="Arial" w:cs="Arial" w:eastAsia="Arial" w:hAnsi="Arial"/>
                <w:sz w:val="13"/>
                <w:szCs w:val="13"/>
                <w:color w:val="auto"/>
              </w:rPr>
              <w:t>Certification of Chief Financial Officer pursuant to section 906 of the Sarbanes-Oxley Act of 2002.</w:t>
            </w:r>
          </w:p>
        </w:tc>
      </w:tr>
      <w:tr>
        <w:trPr>
          <w:trHeight w:val="257"/>
        </w:trPr>
        <w:tc>
          <w:tcPr>
            <w:tcW w:w="840" w:type="dxa"/>
            <w:vAlign w:val="bottom"/>
          </w:tcPr>
          <w:p>
            <w:pPr>
              <w:jc w:val="right"/>
              <w:ind w:right="533"/>
              <w:spacing w:after="0"/>
              <w:rPr>
                <w:sz w:val="20"/>
                <w:szCs w:val="20"/>
                <w:color w:val="auto"/>
              </w:rPr>
            </w:pPr>
            <w:r>
              <w:rPr>
                <w:rFonts w:ascii="Arial" w:cs="Arial" w:eastAsia="Arial" w:hAnsi="Arial"/>
                <w:sz w:val="13"/>
                <w:szCs w:val="13"/>
                <w:color w:val="auto"/>
                <w:w w:val="86"/>
              </w:rPr>
              <w:t>99.1</w:t>
            </w:r>
          </w:p>
        </w:tc>
        <w:tc>
          <w:tcPr>
            <w:tcW w:w="10340" w:type="dxa"/>
            <w:vAlign w:val="bottom"/>
          </w:tcPr>
          <w:p>
            <w:pPr>
              <w:ind w:left="520"/>
              <w:spacing w:after="0"/>
              <w:rPr>
                <w:sz w:val="20"/>
                <w:szCs w:val="20"/>
                <w:color w:val="auto"/>
              </w:rPr>
            </w:pPr>
            <w:r>
              <w:rPr>
                <w:rFonts w:ascii="Arial" w:cs="Arial" w:eastAsia="Arial" w:hAnsi="Arial"/>
                <w:sz w:val="13"/>
                <w:szCs w:val="13"/>
                <w:color w:val="auto"/>
                <w:w w:val="98"/>
              </w:rPr>
              <w:t>Privacy Policy of the Registrant (Incorporated by reference to Exhibit 99.1 to the Registrant’s Annual Report on Form 10-K (File No. 814-00736), filed on November 16,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998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53" w:lineRule="exact"/>
        <w:rPr>
          <w:sz w:val="20"/>
          <w:szCs w:val="20"/>
          <w:color w:val="auto"/>
        </w:rPr>
      </w:pPr>
    </w:p>
    <w:p>
      <w:pPr>
        <w:spacing w:after="0"/>
        <w:tabs>
          <w:tab w:leader="none" w:pos="200" w:val="left"/>
        </w:tabs>
        <w:rPr>
          <w:sz w:val="20"/>
          <w:szCs w:val="20"/>
          <w:color w:val="auto"/>
        </w:rPr>
      </w:pPr>
      <w:r>
        <w:rPr>
          <w:rFonts w:ascii="Arial" w:cs="Arial" w:eastAsia="Arial" w:hAnsi="Arial"/>
          <w:sz w:val="13"/>
          <w:szCs w:val="13"/>
          <w:color w:val="auto"/>
        </w:rPr>
        <w:t>*</w:t>
        <w:tab/>
        <w:t>Filed herewith</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86</w:t>
      </w:r>
    </w:p>
    <w:p>
      <w:pPr>
        <w:sectPr>
          <w:pgSz w:w="11900" w:h="16838" w:orient="portrait"/>
          <w:cols w:equalWidth="0" w:num="1">
            <w:col w:w="11180"/>
          </w:cols>
          <w:pgMar w:left="320" w:top="459" w:right="3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SIGNATURES</w:t>
      </w:r>
    </w:p>
    <w:p>
      <w:pPr>
        <w:spacing w:after="0" w:line="136" w:lineRule="exact"/>
        <w:rPr>
          <w:sz w:val="20"/>
          <w:szCs w:val="20"/>
          <w:color w:val="auto"/>
        </w:rPr>
      </w:pPr>
    </w:p>
    <w:p>
      <w:pPr>
        <w:ind w:right="200" w:firstLine="562"/>
        <w:spacing w:after="0" w:line="274"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40" w:type="dxa"/>
            <w:vAlign w:val="bottom"/>
          </w:tcPr>
          <w:p>
            <w:pPr>
              <w:spacing w:after="0"/>
              <w:rPr>
                <w:sz w:val="20"/>
                <w:szCs w:val="20"/>
                <w:color w:val="auto"/>
              </w:rPr>
            </w:pPr>
            <w:r>
              <w:rPr>
                <w:rFonts w:ascii="Arial" w:cs="Arial" w:eastAsia="Arial" w:hAnsi="Arial"/>
                <w:sz w:val="13"/>
                <w:szCs w:val="13"/>
                <w:color w:val="auto"/>
              </w:rPr>
              <w:t>By: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A</w:t>
            </w:r>
            <w:r>
              <w:rPr>
                <w:rFonts w:ascii="Arial" w:cs="Arial" w:eastAsia="Arial" w:hAnsi="Arial"/>
                <w:sz w:val="11"/>
                <w:szCs w:val="11"/>
                <w:color w:val="auto"/>
              </w:rPr>
              <w:t>RTHUR</w:t>
            </w:r>
            <w:r>
              <w:rPr>
                <w:rFonts w:ascii="Arial" w:cs="Arial" w:eastAsia="Arial" w:hAnsi="Arial"/>
                <w:sz w:val="13"/>
                <w:szCs w:val="13"/>
                <w:color w:val="auto"/>
              </w:rPr>
              <w:t xml:space="preserve"> H. P</w:t>
            </w:r>
            <w:r>
              <w:rPr>
                <w:rFonts w:ascii="Arial" w:cs="Arial" w:eastAsia="Arial" w:hAnsi="Arial"/>
                <w:sz w:val="11"/>
                <w:szCs w:val="11"/>
                <w:color w:val="auto"/>
              </w:rPr>
              <w:t>ENN</w:t>
            </w:r>
          </w:p>
        </w:tc>
      </w:tr>
      <w:tr>
        <w:trPr>
          <w:trHeight w:val="143"/>
        </w:trPr>
        <w:tc>
          <w:tcPr>
            <w:tcW w:w="540" w:type="dxa"/>
            <w:vAlign w:val="bottom"/>
          </w:tcPr>
          <w:p>
            <w:pPr>
              <w:spacing w:after="0" w:line="143" w:lineRule="exact"/>
              <w:rPr>
                <w:sz w:val="20"/>
                <w:szCs w:val="20"/>
                <w:color w:val="auto"/>
              </w:rPr>
            </w:pPr>
            <w:r>
              <w:rPr>
                <w:rFonts w:ascii="Arial" w:cs="Arial" w:eastAsia="Arial" w:hAnsi="Arial"/>
                <w:sz w:val="13"/>
                <w:szCs w:val="13"/>
                <w:color w:val="auto"/>
              </w:rPr>
              <w:t>Name:</w:t>
            </w:r>
          </w:p>
        </w:tc>
        <w:tc>
          <w:tcPr>
            <w:tcW w:w="39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rPr>
              <w:t>Arthur H. Penn</w:t>
            </w:r>
          </w:p>
        </w:tc>
      </w:tr>
      <w:tr>
        <w:trPr>
          <w:trHeight w:val="174"/>
        </w:trPr>
        <w:tc>
          <w:tcPr>
            <w:tcW w:w="540" w:type="dxa"/>
            <w:vAlign w:val="bottom"/>
          </w:tcPr>
          <w:p>
            <w:pPr>
              <w:spacing w:after="0"/>
              <w:rPr>
                <w:sz w:val="20"/>
                <w:szCs w:val="20"/>
                <w:color w:val="auto"/>
              </w:rPr>
            </w:pPr>
            <w:r>
              <w:rPr>
                <w:rFonts w:ascii="Arial" w:cs="Arial" w:eastAsia="Arial" w:hAnsi="Arial"/>
                <w:sz w:val="13"/>
                <w:szCs w:val="13"/>
                <w:color w:val="auto"/>
              </w:rPr>
              <w:t>Title:</w:t>
            </w:r>
          </w:p>
        </w:tc>
        <w:tc>
          <w:tcPr>
            <w:tcW w:w="3940" w:type="dxa"/>
            <w:vAlign w:val="bottom"/>
          </w:tcPr>
          <w:p>
            <w:pPr>
              <w:jc w:val="center"/>
              <w:spacing w:after="0"/>
              <w:rPr>
                <w:sz w:val="20"/>
                <w:szCs w:val="20"/>
                <w:color w:val="auto"/>
              </w:rPr>
            </w:pPr>
            <w:r>
              <w:rPr>
                <w:rFonts w:ascii="Arial" w:cs="Arial" w:eastAsia="Arial" w:hAnsi="Arial"/>
                <w:sz w:val="13"/>
                <w:szCs w:val="13"/>
                <w:b w:val="1"/>
                <w:bCs w:val="1"/>
                <w:color w:val="auto"/>
                <w:w w:val="95"/>
              </w:rPr>
              <w:t>Chief Executive Officer and Chairman of the Board</w:t>
            </w:r>
          </w:p>
        </w:tc>
      </w:tr>
    </w:tbl>
    <w:p>
      <w:pPr>
        <w:spacing w:after="0" w:line="111" w:lineRule="exact"/>
        <w:rPr>
          <w:sz w:val="20"/>
          <w:szCs w:val="20"/>
          <w:color w:val="auto"/>
        </w:rPr>
      </w:pPr>
    </w:p>
    <w:p>
      <w:pPr>
        <w:ind w:left="56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indicated.</w:t>
      </w:r>
    </w:p>
    <w:p>
      <w:pPr>
        <w:sectPr>
          <w:pgSz w:w="11900" w:h="16838" w:orient="portrait"/>
          <w:cols w:equalWidth="0" w:num="1">
            <w:col w:w="11240"/>
          </w:cols>
          <w:pgMar w:left="320" w:top="459" w:right="339" w:bottom="1440" w:gutter="0" w:footer="0" w:header="0"/>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jc w:val="center"/>
              <w:ind w:right="1873"/>
              <w:spacing w:after="0"/>
              <w:rPr>
                <w:sz w:val="20"/>
                <w:szCs w:val="20"/>
                <w:color w:val="auto"/>
              </w:rPr>
            </w:pPr>
            <w:r>
              <w:rPr>
                <w:rFonts w:ascii="Arial" w:cs="Arial" w:eastAsia="Arial" w:hAnsi="Arial"/>
                <w:sz w:val="13"/>
                <w:szCs w:val="13"/>
                <w:b w:val="1"/>
                <w:bCs w:val="1"/>
                <w:color w:val="auto"/>
                <w:w w:val="93"/>
              </w:rPr>
              <w:t>Signature</w:t>
            </w:r>
          </w:p>
        </w:tc>
      </w:tr>
      <w:tr>
        <w:trPr>
          <w:trHeight w:val="196"/>
        </w:trPr>
        <w:tc>
          <w:tcPr>
            <w:tcW w:w="1800" w:type="dxa"/>
            <w:vAlign w:val="bottom"/>
            <w:tcBorders>
              <w:bottom w:val="single" w:sz="8" w:color="auto"/>
            </w:tcBorders>
          </w:tcPr>
          <w:p>
            <w:pPr>
              <w:ind w:left="1660"/>
              <w:spacing w:after="0"/>
              <w:rPr>
                <w:sz w:val="20"/>
                <w:szCs w:val="20"/>
                <w:color w:val="auto"/>
              </w:rPr>
            </w:pPr>
            <w:r>
              <w:rPr>
                <w:rFonts w:ascii="Arial" w:cs="Arial" w:eastAsia="Arial" w:hAnsi="Arial"/>
                <w:sz w:val="13"/>
                <w:szCs w:val="13"/>
                <w:color w:val="auto"/>
                <w:w w:val="87"/>
              </w:rPr>
              <w:t>/s/</w:t>
            </w:r>
          </w:p>
        </w:tc>
        <w:tc>
          <w:tcPr>
            <w:tcW w:w="2740" w:type="dxa"/>
            <w:vAlign w:val="bottom"/>
            <w:tcBorders>
              <w:bottom w:val="single" w:sz="8" w:color="auto"/>
            </w:tcBorders>
            <w:gridSpan w:val="2"/>
          </w:tcPr>
          <w:p>
            <w:pPr>
              <w:jc w:val="center"/>
              <w:ind w:right="1453"/>
              <w:spacing w:after="0"/>
              <w:rPr>
                <w:sz w:val="20"/>
                <w:szCs w:val="20"/>
                <w:color w:val="auto"/>
              </w:rPr>
            </w:pPr>
            <w:r>
              <w:rPr>
                <w:rFonts w:ascii="Arial" w:cs="Arial" w:eastAsia="Arial" w:hAnsi="Arial"/>
                <w:sz w:val="13"/>
                <w:szCs w:val="13"/>
                <w:color w:val="auto"/>
                <w:w w:val="98"/>
              </w:rPr>
              <w:t>A</w:t>
            </w:r>
            <w:r>
              <w:rPr>
                <w:rFonts w:ascii="Arial" w:cs="Arial" w:eastAsia="Arial" w:hAnsi="Arial"/>
                <w:sz w:val="11"/>
                <w:szCs w:val="11"/>
                <w:color w:val="auto"/>
                <w:w w:val="98"/>
              </w:rPr>
              <w:t>RTHUR</w:t>
            </w:r>
            <w:r>
              <w:rPr>
                <w:rFonts w:ascii="Arial" w:cs="Arial" w:eastAsia="Arial" w:hAnsi="Arial"/>
                <w:sz w:val="13"/>
                <w:szCs w:val="13"/>
                <w:color w:val="auto"/>
                <w:w w:val="98"/>
              </w:rPr>
              <w:t xml:space="preserve"> H. P</w:t>
            </w:r>
            <w:r>
              <w:rPr>
                <w:rFonts w:ascii="Arial" w:cs="Arial" w:eastAsia="Arial" w:hAnsi="Arial"/>
                <w:sz w:val="11"/>
                <w:szCs w:val="11"/>
                <w:color w:val="auto"/>
                <w:w w:val="98"/>
              </w:rPr>
              <w:t>ENN</w:t>
            </w:r>
          </w:p>
        </w:tc>
      </w:tr>
      <w:tr>
        <w:trPr>
          <w:trHeight w:val="168"/>
        </w:trPr>
        <w:tc>
          <w:tcPr>
            <w:tcW w:w="1800" w:type="dxa"/>
            <w:vAlign w:val="bottom"/>
          </w:tcPr>
          <w:p>
            <w:pPr>
              <w:spacing w:after="0"/>
              <w:rPr>
                <w:sz w:val="14"/>
                <w:szCs w:val="14"/>
                <w:color w:val="auto"/>
              </w:rPr>
            </w:pPr>
          </w:p>
        </w:tc>
        <w:tc>
          <w:tcPr>
            <w:tcW w:w="2740" w:type="dxa"/>
            <w:vAlign w:val="bottom"/>
            <w:gridSpan w:val="2"/>
          </w:tcPr>
          <w:p>
            <w:pPr>
              <w:jc w:val="center"/>
              <w:ind w:right="1713"/>
              <w:spacing w:after="0"/>
              <w:rPr>
                <w:sz w:val="20"/>
                <w:szCs w:val="20"/>
                <w:color w:val="auto"/>
              </w:rPr>
            </w:pPr>
            <w:r>
              <w:rPr>
                <w:rFonts w:ascii="Arial" w:cs="Arial" w:eastAsia="Arial" w:hAnsi="Arial"/>
                <w:sz w:val="13"/>
                <w:szCs w:val="13"/>
                <w:b w:val="1"/>
                <w:bCs w:val="1"/>
                <w:color w:val="auto"/>
              </w:rPr>
              <w:t>Arthur H. Penn</w:t>
            </w:r>
          </w:p>
        </w:tc>
      </w:tr>
      <w:tr>
        <w:trPr>
          <w:trHeight w:val="204"/>
        </w:trPr>
        <w:tc>
          <w:tcPr>
            <w:tcW w:w="18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2580" w:type="dxa"/>
            <w:vAlign w:val="bottom"/>
            <w:tcBorders>
              <w:bottom w:val="single" w:sz="8" w:color="auto"/>
            </w:tcBorders>
          </w:tcPr>
          <w:p>
            <w:pPr>
              <w:jc w:val="center"/>
              <w:ind w:right="1633"/>
              <w:spacing w:after="0"/>
              <w:rPr>
                <w:sz w:val="20"/>
                <w:szCs w:val="20"/>
                <w:color w:val="auto"/>
              </w:rPr>
            </w:pPr>
            <w:r>
              <w:rPr>
                <w:rFonts w:ascii="Arial" w:cs="Arial" w:eastAsia="Arial" w:hAnsi="Arial"/>
                <w:sz w:val="13"/>
                <w:szCs w:val="13"/>
                <w:color w:val="auto"/>
              </w:rPr>
              <w:t>A</w:t>
            </w:r>
            <w:r>
              <w:rPr>
                <w:rFonts w:ascii="Arial" w:cs="Arial" w:eastAsia="Arial" w:hAnsi="Arial"/>
                <w:sz w:val="11"/>
                <w:szCs w:val="11"/>
                <w:color w:val="auto"/>
              </w:rPr>
              <w:t>VIV</w:t>
            </w:r>
            <w:r>
              <w:rPr>
                <w:rFonts w:ascii="Arial" w:cs="Arial" w:eastAsia="Arial" w:hAnsi="Arial"/>
                <w:sz w:val="13"/>
                <w:szCs w:val="13"/>
                <w:color w:val="auto"/>
              </w:rPr>
              <w:t xml:space="preserve"> E</w:t>
            </w:r>
            <w:r>
              <w:rPr>
                <w:rFonts w:ascii="Arial" w:cs="Arial" w:eastAsia="Arial" w:hAnsi="Arial"/>
                <w:sz w:val="11"/>
                <w:szCs w:val="11"/>
                <w:color w:val="auto"/>
              </w:rPr>
              <w:t>FRAT</w:t>
            </w:r>
          </w:p>
        </w:tc>
      </w:tr>
      <w:tr>
        <w:trPr>
          <w:trHeight w:val="168"/>
        </w:trPr>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tcPr>
          <w:p>
            <w:pPr>
              <w:jc w:val="center"/>
              <w:ind w:right="1873"/>
              <w:spacing w:after="0"/>
              <w:rPr>
                <w:sz w:val="20"/>
                <w:szCs w:val="20"/>
                <w:color w:val="auto"/>
              </w:rPr>
            </w:pPr>
            <w:r>
              <w:rPr>
                <w:rFonts w:ascii="Arial" w:cs="Arial" w:eastAsia="Arial" w:hAnsi="Arial"/>
                <w:sz w:val="13"/>
                <w:szCs w:val="13"/>
                <w:b w:val="1"/>
                <w:bCs w:val="1"/>
                <w:color w:val="auto"/>
                <w:w w:val="98"/>
              </w:rPr>
              <w:t>Aviv Efrat</w:t>
            </w:r>
          </w:p>
        </w:tc>
      </w:tr>
      <w:tr>
        <w:trPr>
          <w:trHeight w:val="204"/>
        </w:trPr>
        <w:tc>
          <w:tcPr>
            <w:tcW w:w="1800" w:type="dxa"/>
            <w:vAlign w:val="bottom"/>
            <w:tcBorders>
              <w:bottom w:val="single" w:sz="8" w:color="auto"/>
            </w:tcBorders>
          </w:tcPr>
          <w:p>
            <w:pPr>
              <w:ind w:left="1560"/>
              <w:spacing w:after="0"/>
              <w:rPr>
                <w:sz w:val="20"/>
                <w:szCs w:val="20"/>
                <w:color w:val="auto"/>
              </w:rPr>
            </w:pPr>
            <w:r>
              <w:rPr>
                <w:rFonts w:ascii="Arial" w:cs="Arial" w:eastAsia="Arial" w:hAnsi="Arial"/>
                <w:sz w:val="13"/>
                <w:szCs w:val="13"/>
                <w:color w:val="auto"/>
              </w:rPr>
              <w:t>/s/</w:t>
            </w:r>
          </w:p>
        </w:tc>
        <w:tc>
          <w:tcPr>
            <w:tcW w:w="2740" w:type="dxa"/>
            <w:vAlign w:val="bottom"/>
            <w:tcBorders>
              <w:bottom w:val="single" w:sz="8" w:color="auto"/>
            </w:tcBorders>
            <w:gridSpan w:val="2"/>
          </w:tcPr>
          <w:p>
            <w:pPr>
              <w:jc w:val="center"/>
              <w:ind w:right="1473"/>
              <w:spacing w:after="0"/>
              <w:rPr>
                <w:sz w:val="20"/>
                <w:szCs w:val="20"/>
                <w:color w:val="auto"/>
              </w:rPr>
            </w:pPr>
            <w:r>
              <w:rPr>
                <w:rFonts w:ascii="Arial" w:cs="Arial" w:eastAsia="Arial" w:hAnsi="Arial"/>
                <w:sz w:val="13"/>
                <w:szCs w:val="13"/>
                <w:color w:val="auto"/>
              </w:rPr>
              <w:t>A</w:t>
            </w:r>
            <w:r>
              <w:rPr>
                <w:rFonts w:ascii="Arial" w:cs="Arial" w:eastAsia="Arial" w:hAnsi="Arial"/>
                <w:sz w:val="11"/>
                <w:szCs w:val="11"/>
                <w:color w:val="auto"/>
              </w:rPr>
              <w:t>DAM</w:t>
            </w:r>
            <w:r>
              <w:rPr>
                <w:rFonts w:ascii="Arial" w:cs="Arial" w:eastAsia="Arial" w:hAnsi="Arial"/>
                <w:sz w:val="13"/>
                <w:szCs w:val="13"/>
                <w:color w:val="auto"/>
              </w:rPr>
              <w:t xml:space="preserve"> K. B</w:t>
            </w:r>
            <w:r>
              <w:rPr>
                <w:rFonts w:ascii="Arial" w:cs="Arial" w:eastAsia="Arial" w:hAnsi="Arial"/>
                <w:sz w:val="11"/>
                <w:szCs w:val="11"/>
                <w:color w:val="auto"/>
              </w:rPr>
              <w:t>ERNSTEIN</w:t>
            </w:r>
          </w:p>
        </w:tc>
      </w:tr>
      <w:tr>
        <w:trPr>
          <w:trHeight w:val="168"/>
        </w:trPr>
        <w:tc>
          <w:tcPr>
            <w:tcW w:w="45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Adam K. Bernstein</w:t>
            </w:r>
          </w:p>
        </w:tc>
      </w:tr>
      <w:tr>
        <w:trPr>
          <w:trHeight w:val="204"/>
        </w:trPr>
        <w:tc>
          <w:tcPr>
            <w:tcW w:w="1960" w:type="dxa"/>
            <w:vAlign w:val="bottom"/>
            <w:tcBorders>
              <w:bottom w:val="single" w:sz="8" w:color="auto"/>
            </w:tcBorders>
            <w:gridSpan w:val="2"/>
          </w:tcPr>
          <w:p>
            <w:pPr>
              <w:ind w:left="1740"/>
              <w:spacing w:after="0"/>
              <w:rPr>
                <w:sz w:val="20"/>
                <w:szCs w:val="20"/>
                <w:color w:val="auto"/>
              </w:rPr>
            </w:pPr>
            <w:r>
              <w:rPr>
                <w:rFonts w:ascii="Arial" w:cs="Arial" w:eastAsia="Arial" w:hAnsi="Arial"/>
                <w:sz w:val="13"/>
                <w:szCs w:val="13"/>
                <w:color w:val="auto"/>
              </w:rPr>
              <w:t>/s/</w:t>
            </w:r>
          </w:p>
        </w:tc>
        <w:tc>
          <w:tcPr>
            <w:tcW w:w="2580" w:type="dxa"/>
            <w:vAlign w:val="bottom"/>
            <w:tcBorders>
              <w:bottom w:val="single" w:sz="8" w:color="auto"/>
            </w:tcBorders>
          </w:tcPr>
          <w:p>
            <w:pPr>
              <w:jc w:val="center"/>
              <w:ind w:right="1613"/>
              <w:spacing w:after="0"/>
              <w:rPr>
                <w:sz w:val="20"/>
                <w:szCs w:val="20"/>
                <w:color w:val="auto"/>
              </w:rPr>
            </w:pPr>
            <w:r>
              <w:rPr>
                <w:rFonts w:ascii="Arial" w:cs="Arial" w:eastAsia="Arial" w:hAnsi="Arial"/>
                <w:sz w:val="13"/>
                <w:szCs w:val="13"/>
                <w:color w:val="auto"/>
                <w:w w:val="97"/>
              </w:rPr>
              <w:t>J</w:t>
            </w:r>
            <w:r>
              <w:rPr>
                <w:rFonts w:ascii="Arial" w:cs="Arial" w:eastAsia="Arial" w:hAnsi="Arial"/>
                <w:sz w:val="11"/>
                <w:szCs w:val="11"/>
                <w:color w:val="auto"/>
                <w:w w:val="97"/>
              </w:rPr>
              <w:t>EFFREY</w:t>
            </w:r>
            <w:r>
              <w:rPr>
                <w:rFonts w:ascii="Arial" w:cs="Arial" w:eastAsia="Arial" w:hAnsi="Arial"/>
                <w:sz w:val="13"/>
                <w:szCs w:val="13"/>
                <w:color w:val="auto"/>
                <w:w w:val="97"/>
              </w:rPr>
              <w:t xml:space="preserve"> F</w:t>
            </w:r>
            <w:r>
              <w:rPr>
                <w:rFonts w:ascii="Arial" w:cs="Arial" w:eastAsia="Arial" w:hAnsi="Arial"/>
                <w:sz w:val="11"/>
                <w:szCs w:val="11"/>
                <w:color w:val="auto"/>
                <w:w w:val="97"/>
              </w:rPr>
              <w:t>LUG</w:t>
            </w:r>
          </w:p>
        </w:tc>
      </w:tr>
      <w:tr>
        <w:trPr>
          <w:trHeight w:val="168"/>
        </w:trPr>
        <w:tc>
          <w:tcPr>
            <w:tcW w:w="1800" w:type="dxa"/>
            <w:vAlign w:val="bottom"/>
          </w:tcPr>
          <w:p>
            <w:pPr>
              <w:spacing w:after="0"/>
              <w:rPr>
                <w:sz w:val="14"/>
                <w:szCs w:val="14"/>
                <w:color w:val="auto"/>
              </w:rPr>
            </w:pPr>
          </w:p>
        </w:tc>
        <w:tc>
          <w:tcPr>
            <w:tcW w:w="2740" w:type="dxa"/>
            <w:vAlign w:val="bottom"/>
            <w:gridSpan w:val="2"/>
          </w:tcPr>
          <w:p>
            <w:pPr>
              <w:jc w:val="center"/>
              <w:ind w:right="1733"/>
              <w:spacing w:after="0"/>
              <w:rPr>
                <w:sz w:val="20"/>
                <w:szCs w:val="20"/>
                <w:color w:val="auto"/>
              </w:rPr>
            </w:pPr>
            <w:r>
              <w:rPr>
                <w:rFonts w:ascii="Arial" w:cs="Arial" w:eastAsia="Arial" w:hAnsi="Arial"/>
                <w:sz w:val="13"/>
                <w:szCs w:val="13"/>
                <w:b w:val="1"/>
                <w:bCs w:val="1"/>
                <w:color w:val="auto"/>
                <w:w w:val="94"/>
              </w:rPr>
              <w:t>Jeffrey Flug</w:t>
            </w:r>
          </w:p>
        </w:tc>
      </w:tr>
      <w:tr>
        <w:trPr>
          <w:trHeight w:val="204"/>
        </w:trPr>
        <w:tc>
          <w:tcPr>
            <w:tcW w:w="1800" w:type="dxa"/>
            <w:vAlign w:val="bottom"/>
            <w:tcBorders>
              <w:bottom w:val="single" w:sz="8" w:color="auto"/>
            </w:tcBorders>
          </w:tcPr>
          <w:p>
            <w:pPr>
              <w:ind w:left="1540"/>
              <w:spacing w:after="0"/>
              <w:rPr>
                <w:sz w:val="20"/>
                <w:szCs w:val="20"/>
                <w:color w:val="auto"/>
              </w:rPr>
            </w:pPr>
            <w:r>
              <w:rPr>
                <w:rFonts w:ascii="Arial" w:cs="Arial" w:eastAsia="Arial" w:hAnsi="Arial"/>
                <w:sz w:val="13"/>
                <w:szCs w:val="13"/>
                <w:color w:val="auto"/>
              </w:rPr>
              <w:t>/s/</w:t>
            </w:r>
          </w:p>
        </w:tc>
        <w:tc>
          <w:tcPr>
            <w:tcW w:w="2740" w:type="dxa"/>
            <w:vAlign w:val="bottom"/>
            <w:tcBorders>
              <w:bottom w:val="single" w:sz="8" w:color="auto"/>
            </w:tcBorders>
            <w:gridSpan w:val="2"/>
          </w:tcPr>
          <w:p>
            <w:pPr>
              <w:jc w:val="center"/>
              <w:ind w:right="1473"/>
              <w:spacing w:after="0"/>
              <w:rPr>
                <w:sz w:val="20"/>
                <w:szCs w:val="20"/>
                <w:color w:val="auto"/>
              </w:rPr>
            </w:pPr>
            <w:r>
              <w:rPr>
                <w:rFonts w:ascii="Arial" w:cs="Arial" w:eastAsia="Arial" w:hAnsi="Arial"/>
                <w:sz w:val="13"/>
                <w:szCs w:val="13"/>
                <w:color w:val="auto"/>
              </w:rPr>
              <w:t>M</w:t>
            </w:r>
            <w:r>
              <w:rPr>
                <w:rFonts w:ascii="Arial" w:cs="Arial" w:eastAsia="Arial" w:hAnsi="Arial"/>
                <w:sz w:val="11"/>
                <w:szCs w:val="11"/>
                <w:color w:val="auto"/>
              </w:rPr>
              <w:t>ARSHALL</w:t>
            </w:r>
            <w:r>
              <w:rPr>
                <w:rFonts w:ascii="Arial" w:cs="Arial" w:eastAsia="Arial" w:hAnsi="Arial"/>
                <w:sz w:val="13"/>
                <w:szCs w:val="13"/>
                <w:color w:val="auto"/>
              </w:rPr>
              <w:t xml:space="preserve"> B</w:t>
            </w:r>
            <w:r>
              <w:rPr>
                <w:rFonts w:ascii="Arial" w:cs="Arial" w:eastAsia="Arial" w:hAnsi="Arial"/>
                <w:sz w:val="11"/>
                <w:szCs w:val="11"/>
                <w:color w:val="auto"/>
              </w:rPr>
              <w:t>ROZOST</w:t>
            </w:r>
          </w:p>
        </w:tc>
      </w:tr>
      <w:tr>
        <w:trPr>
          <w:trHeight w:val="168"/>
        </w:trPr>
        <w:tc>
          <w:tcPr>
            <w:tcW w:w="45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Marshall Brozost</w:t>
            </w:r>
          </w:p>
        </w:tc>
      </w:tr>
      <w:tr>
        <w:trPr>
          <w:trHeight w:val="204"/>
        </w:trPr>
        <w:tc>
          <w:tcPr>
            <w:tcW w:w="1800" w:type="dxa"/>
            <w:vAlign w:val="bottom"/>
            <w:tcBorders>
              <w:bottom w:val="single" w:sz="8" w:color="auto"/>
            </w:tcBorders>
          </w:tcPr>
          <w:p>
            <w:pPr>
              <w:ind w:left="1660"/>
              <w:spacing w:after="0"/>
              <w:rPr>
                <w:sz w:val="20"/>
                <w:szCs w:val="20"/>
                <w:color w:val="auto"/>
              </w:rPr>
            </w:pPr>
            <w:r>
              <w:rPr>
                <w:rFonts w:ascii="Arial" w:cs="Arial" w:eastAsia="Arial" w:hAnsi="Arial"/>
                <w:sz w:val="13"/>
                <w:szCs w:val="13"/>
                <w:color w:val="auto"/>
                <w:w w:val="87"/>
              </w:rPr>
              <w:t>/s/</w:t>
            </w:r>
          </w:p>
        </w:tc>
        <w:tc>
          <w:tcPr>
            <w:tcW w:w="2740" w:type="dxa"/>
            <w:vAlign w:val="bottom"/>
            <w:tcBorders>
              <w:bottom w:val="single" w:sz="8" w:color="auto"/>
            </w:tcBorders>
            <w:gridSpan w:val="2"/>
          </w:tcPr>
          <w:p>
            <w:pPr>
              <w:jc w:val="center"/>
              <w:ind w:right="1473"/>
              <w:spacing w:after="0"/>
              <w:rPr>
                <w:sz w:val="20"/>
                <w:szCs w:val="20"/>
                <w:color w:val="auto"/>
              </w:rPr>
            </w:pPr>
            <w:r>
              <w:rPr>
                <w:rFonts w:ascii="Arial" w:cs="Arial" w:eastAsia="Arial" w:hAnsi="Arial"/>
                <w:sz w:val="13"/>
                <w:szCs w:val="13"/>
                <w:color w:val="auto"/>
              </w:rPr>
              <w:t>S</w:t>
            </w:r>
            <w:r>
              <w:rPr>
                <w:rFonts w:ascii="Arial" w:cs="Arial" w:eastAsia="Arial" w:hAnsi="Arial"/>
                <w:sz w:val="11"/>
                <w:szCs w:val="11"/>
                <w:color w:val="auto"/>
              </w:rPr>
              <w:t>AMUEL</w:t>
            </w:r>
            <w:r>
              <w:rPr>
                <w:rFonts w:ascii="Arial" w:cs="Arial" w:eastAsia="Arial" w:hAnsi="Arial"/>
                <w:sz w:val="13"/>
                <w:szCs w:val="13"/>
                <w:color w:val="auto"/>
              </w:rPr>
              <w:t xml:space="preserve"> L. K</w:t>
            </w:r>
            <w:r>
              <w:rPr>
                <w:rFonts w:ascii="Arial" w:cs="Arial" w:eastAsia="Arial" w:hAnsi="Arial"/>
                <w:sz w:val="11"/>
                <w:szCs w:val="11"/>
                <w:color w:val="auto"/>
              </w:rPr>
              <w:t>ATZ</w:t>
            </w:r>
          </w:p>
        </w:tc>
      </w:tr>
      <w:tr>
        <w:trPr>
          <w:trHeight w:val="168"/>
        </w:trPr>
        <w:tc>
          <w:tcPr>
            <w:tcW w:w="1800" w:type="dxa"/>
            <w:vAlign w:val="bottom"/>
          </w:tcPr>
          <w:p>
            <w:pPr>
              <w:spacing w:after="0"/>
              <w:rPr>
                <w:sz w:val="14"/>
                <w:szCs w:val="14"/>
                <w:color w:val="auto"/>
              </w:rPr>
            </w:pPr>
          </w:p>
        </w:tc>
        <w:tc>
          <w:tcPr>
            <w:tcW w:w="2740" w:type="dxa"/>
            <w:vAlign w:val="bottom"/>
            <w:gridSpan w:val="2"/>
          </w:tcPr>
          <w:p>
            <w:pPr>
              <w:jc w:val="center"/>
              <w:ind w:right="1733"/>
              <w:spacing w:after="0"/>
              <w:rPr>
                <w:sz w:val="20"/>
                <w:szCs w:val="20"/>
                <w:color w:val="auto"/>
              </w:rPr>
            </w:pPr>
            <w:r>
              <w:rPr>
                <w:rFonts w:ascii="Arial" w:cs="Arial" w:eastAsia="Arial" w:hAnsi="Arial"/>
                <w:sz w:val="13"/>
                <w:szCs w:val="13"/>
                <w:b w:val="1"/>
                <w:bCs w:val="1"/>
                <w:color w:val="auto"/>
                <w:w w:val="97"/>
              </w:rPr>
              <w:t>Samuel L. Katz</w:t>
            </w: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Title</w:t>
            </w:r>
          </w:p>
        </w:tc>
        <w:tc>
          <w:tcPr>
            <w:tcW w:w="20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r>
      <w:tr>
        <w:trPr>
          <w:trHeight w:val="212"/>
        </w:trPr>
        <w:tc>
          <w:tcPr>
            <w:tcW w:w="452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Chairman of the Board of Directors and Chief Executive Officer (Principal</w:t>
            </w:r>
          </w:p>
        </w:tc>
        <w:tc>
          <w:tcPr>
            <w:tcW w:w="2060" w:type="dxa"/>
            <w:vAlign w:val="bottom"/>
          </w:tcPr>
          <w:p>
            <w:pPr>
              <w:jc w:val="center"/>
              <w:spacing w:after="0"/>
              <w:rPr>
                <w:sz w:val="20"/>
                <w:szCs w:val="20"/>
                <w:color w:val="auto"/>
              </w:rPr>
            </w:pPr>
            <w:r>
              <w:rPr>
                <w:rFonts w:ascii="Arial" w:cs="Arial" w:eastAsia="Arial" w:hAnsi="Arial"/>
                <w:sz w:val="13"/>
                <w:szCs w:val="13"/>
                <w:color w:val="auto"/>
                <w:w w:val="94"/>
              </w:rPr>
              <w:t>November 14, 2012</w:t>
            </w:r>
          </w:p>
        </w:tc>
      </w:tr>
      <w:tr>
        <w:trPr>
          <w:trHeight w:val="172"/>
        </w:trPr>
        <w:tc>
          <w:tcPr>
            <w:tcW w:w="452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Executive Officer)</w:t>
            </w:r>
          </w:p>
        </w:tc>
        <w:tc>
          <w:tcPr>
            <w:tcW w:w="2060" w:type="dxa"/>
            <w:vAlign w:val="bottom"/>
          </w:tcPr>
          <w:p>
            <w:pPr>
              <w:spacing w:after="0"/>
              <w:rPr>
                <w:sz w:val="14"/>
                <w:szCs w:val="14"/>
                <w:color w:val="auto"/>
              </w:rPr>
            </w:pPr>
          </w:p>
        </w:tc>
      </w:tr>
      <w:tr>
        <w:trPr>
          <w:trHeight w:val="219"/>
        </w:trPr>
        <w:tc>
          <w:tcPr>
            <w:tcW w:w="452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Chief Financial Officer and Treasurer (Principal Financial and Accounting</w:t>
            </w:r>
          </w:p>
        </w:tc>
        <w:tc>
          <w:tcPr>
            <w:tcW w:w="2060" w:type="dxa"/>
            <w:vAlign w:val="bottom"/>
          </w:tcPr>
          <w:p>
            <w:pPr>
              <w:jc w:val="center"/>
              <w:spacing w:after="0"/>
              <w:rPr>
                <w:sz w:val="20"/>
                <w:szCs w:val="20"/>
                <w:color w:val="auto"/>
              </w:rPr>
            </w:pPr>
            <w:r>
              <w:rPr>
                <w:rFonts w:ascii="Arial" w:cs="Arial" w:eastAsia="Arial" w:hAnsi="Arial"/>
                <w:sz w:val="13"/>
                <w:szCs w:val="13"/>
                <w:color w:val="auto"/>
                <w:w w:val="94"/>
              </w:rPr>
              <w:t>November 14, 2012</w:t>
            </w:r>
          </w:p>
        </w:tc>
      </w:tr>
      <w:tr>
        <w:trPr>
          <w:trHeight w:val="172"/>
        </w:trPr>
        <w:tc>
          <w:tcPr>
            <w:tcW w:w="4520" w:type="dxa"/>
            <w:vAlign w:val="bottom"/>
            <w:gridSpan w:val="2"/>
          </w:tcPr>
          <w:p>
            <w:pPr>
              <w:jc w:val="center"/>
              <w:ind w:right="220"/>
              <w:spacing w:after="0"/>
              <w:rPr>
                <w:sz w:val="20"/>
                <w:szCs w:val="20"/>
                <w:color w:val="auto"/>
              </w:rPr>
            </w:pPr>
            <w:r>
              <w:rPr>
                <w:rFonts w:ascii="Arial" w:cs="Arial" w:eastAsia="Arial" w:hAnsi="Arial"/>
                <w:sz w:val="13"/>
                <w:szCs w:val="13"/>
                <w:color w:val="auto"/>
                <w:w w:val="98"/>
              </w:rPr>
              <w:t>Officer)</w:t>
            </w:r>
          </w:p>
        </w:tc>
        <w:tc>
          <w:tcPr>
            <w:tcW w:w="2060" w:type="dxa"/>
            <w:vAlign w:val="bottom"/>
          </w:tcPr>
          <w:p>
            <w:pPr>
              <w:spacing w:after="0"/>
              <w:rPr>
                <w:sz w:val="14"/>
                <w:szCs w:val="14"/>
                <w:color w:val="auto"/>
              </w:rPr>
            </w:pPr>
          </w:p>
        </w:tc>
      </w:tr>
      <w:tr>
        <w:trPr>
          <w:trHeight w:val="216"/>
        </w:trPr>
        <w:tc>
          <w:tcPr>
            <w:tcW w:w="4520" w:type="dxa"/>
            <w:vAlign w:val="bottom"/>
            <w:gridSpan w:val="2"/>
          </w:tcPr>
          <w:p>
            <w:pPr>
              <w:jc w:val="center"/>
              <w:ind w:right="220"/>
              <w:spacing w:after="0"/>
              <w:rPr>
                <w:sz w:val="20"/>
                <w:szCs w:val="20"/>
                <w:color w:val="auto"/>
              </w:rPr>
            </w:pPr>
            <w:r>
              <w:rPr>
                <w:rFonts w:ascii="Arial" w:cs="Arial" w:eastAsia="Arial" w:hAnsi="Arial"/>
                <w:sz w:val="13"/>
                <w:szCs w:val="13"/>
                <w:color w:val="auto"/>
              </w:rPr>
              <w:t>Director</w:t>
            </w:r>
          </w:p>
        </w:tc>
        <w:tc>
          <w:tcPr>
            <w:tcW w:w="2060" w:type="dxa"/>
            <w:vAlign w:val="bottom"/>
          </w:tcPr>
          <w:p>
            <w:pPr>
              <w:jc w:val="center"/>
              <w:spacing w:after="0"/>
              <w:rPr>
                <w:sz w:val="20"/>
                <w:szCs w:val="20"/>
                <w:color w:val="auto"/>
              </w:rPr>
            </w:pPr>
            <w:r>
              <w:rPr>
                <w:rFonts w:ascii="Arial" w:cs="Arial" w:eastAsia="Arial" w:hAnsi="Arial"/>
                <w:sz w:val="13"/>
                <w:szCs w:val="13"/>
                <w:color w:val="auto"/>
                <w:w w:val="94"/>
              </w:rPr>
              <w:t>November 14, 2012</w:t>
            </w:r>
          </w:p>
        </w:tc>
      </w:tr>
      <w:tr>
        <w:trPr>
          <w:trHeight w:val="392"/>
        </w:trPr>
        <w:tc>
          <w:tcPr>
            <w:tcW w:w="4520" w:type="dxa"/>
            <w:vAlign w:val="bottom"/>
            <w:gridSpan w:val="2"/>
          </w:tcPr>
          <w:p>
            <w:pPr>
              <w:jc w:val="center"/>
              <w:ind w:right="220"/>
              <w:spacing w:after="0"/>
              <w:rPr>
                <w:sz w:val="20"/>
                <w:szCs w:val="20"/>
                <w:color w:val="auto"/>
              </w:rPr>
            </w:pPr>
            <w:r>
              <w:rPr>
                <w:rFonts w:ascii="Arial" w:cs="Arial" w:eastAsia="Arial" w:hAnsi="Arial"/>
                <w:sz w:val="13"/>
                <w:szCs w:val="13"/>
                <w:color w:val="auto"/>
              </w:rPr>
              <w:t>Director</w:t>
            </w:r>
          </w:p>
        </w:tc>
        <w:tc>
          <w:tcPr>
            <w:tcW w:w="2060" w:type="dxa"/>
            <w:vAlign w:val="bottom"/>
          </w:tcPr>
          <w:p>
            <w:pPr>
              <w:jc w:val="center"/>
              <w:spacing w:after="0"/>
              <w:rPr>
                <w:sz w:val="20"/>
                <w:szCs w:val="20"/>
                <w:color w:val="auto"/>
              </w:rPr>
            </w:pPr>
            <w:r>
              <w:rPr>
                <w:rFonts w:ascii="Arial" w:cs="Arial" w:eastAsia="Arial" w:hAnsi="Arial"/>
                <w:sz w:val="13"/>
                <w:szCs w:val="13"/>
                <w:color w:val="auto"/>
                <w:w w:val="94"/>
              </w:rPr>
              <w:t>November 14, 2012</w:t>
            </w:r>
          </w:p>
        </w:tc>
      </w:tr>
      <w:tr>
        <w:trPr>
          <w:trHeight w:val="392"/>
        </w:trPr>
        <w:tc>
          <w:tcPr>
            <w:tcW w:w="4520" w:type="dxa"/>
            <w:vAlign w:val="bottom"/>
            <w:gridSpan w:val="2"/>
          </w:tcPr>
          <w:p>
            <w:pPr>
              <w:jc w:val="center"/>
              <w:ind w:right="220"/>
              <w:spacing w:after="0"/>
              <w:rPr>
                <w:sz w:val="20"/>
                <w:szCs w:val="20"/>
                <w:color w:val="auto"/>
              </w:rPr>
            </w:pPr>
            <w:r>
              <w:rPr>
                <w:rFonts w:ascii="Arial" w:cs="Arial" w:eastAsia="Arial" w:hAnsi="Arial"/>
                <w:sz w:val="13"/>
                <w:szCs w:val="13"/>
                <w:color w:val="auto"/>
              </w:rPr>
              <w:t>Director</w:t>
            </w:r>
          </w:p>
        </w:tc>
        <w:tc>
          <w:tcPr>
            <w:tcW w:w="2060" w:type="dxa"/>
            <w:vAlign w:val="bottom"/>
          </w:tcPr>
          <w:p>
            <w:pPr>
              <w:jc w:val="center"/>
              <w:spacing w:after="0"/>
              <w:rPr>
                <w:sz w:val="20"/>
                <w:szCs w:val="20"/>
                <w:color w:val="auto"/>
              </w:rPr>
            </w:pPr>
            <w:r>
              <w:rPr>
                <w:rFonts w:ascii="Arial" w:cs="Arial" w:eastAsia="Arial" w:hAnsi="Arial"/>
                <w:sz w:val="13"/>
                <w:szCs w:val="13"/>
                <w:color w:val="auto"/>
                <w:w w:val="94"/>
              </w:rPr>
              <w:t>November 14, 2012</w:t>
            </w:r>
          </w:p>
        </w:tc>
      </w:tr>
      <w:tr>
        <w:trPr>
          <w:trHeight w:val="392"/>
        </w:trPr>
        <w:tc>
          <w:tcPr>
            <w:tcW w:w="4520" w:type="dxa"/>
            <w:vAlign w:val="bottom"/>
            <w:gridSpan w:val="2"/>
          </w:tcPr>
          <w:p>
            <w:pPr>
              <w:jc w:val="center"/>
              <w:ind w:right="220"/>
              <w:spacing w:after="0"/>
              <w:rPr>
                <w:sz w:val="20"/>
                <w:szCs w:val="20"/>
                <w:color w:val="auto"/>
              </w:rPr>
            </w:pPr>
            <w:r>
              <w:rPr>
                <w:rFonts w:ascii="Arial" w:cs="Arial" w:eastAsia="Arial" w:hAnsi="Arial"/>
                <w:sz w:val="13"/>
                <w:szCs w:val="13"/>
                <w:color w:val="auto"/>
              </w:rPr>
              <w:t>Director</w:t>
            </w:r>
          </w:p>
        </w:tc>
        <w:tc>
          <w:tcPr>
            <w:tcW w:w="2060" w:type="dxa"/>
            <w:vAlign w:val="bottom"/>
          </w:tcPr>
          <w:p>
            <w:pPr>
              <w:jc w:val="center"/>
              <w:spacing w:after="0"/>
              <w:rPr>
                <w:sz w:val="20"/>
                <w:szCs w:val="20"/>
                <w:color w:val="auto"/>
              </w:rPr>
            </w:pPr>
            <w:r>
              <w:rPr>
                <w:rFonts w:ascii="Arial" w:cs="Arial" w:eastAsia="Arial" w:hAnsi="Arial"/>
                <w:sz w:val="13"/>
                <w:szCs w:val="13"/>
                <w:color w:val="auto"/>
                <w:w w:val="94"/>
              </w:rPr>
              <w:t>November 14, 2012</w:t>
            </w:r>
          </w:p>
        </w:tc>
      </w:tr>
      <w:tr>
        <w:trPr>
          <w:trHeight w:val="473"/>
        </w:trPr>
        <w:tc>
          <w:tcPr>
            <w:tcW w:w="4320" w:type="dxa"/>
            <w:vAlign w:val="bottom"/>
          </w:tcPr>
          <w:p>
            <w:pPr>
              <w:jc w:val="right"/>
              <w:ind w:right="3213"/>
              <w:spacing w:after="0"/>
              <w:rPr>
                <w:sz w:val="20"/>
                <w:szCs w:val="20"/>
                <w:color w:val="auto"/>
              </w:rPr>
            </w:pPr>
            <w:r>
              <w:rPr>
                <w:rFonts w:ascii="Arial" w:cs="Arial" w:eastAsia="Arial" w:hAnsi="Arial"/>
                <w:sz w:val="13"/>
                <w:szCs w:val="13"/>
                <w:color w:val="auto"/>
              </w:rPr>
              <w:t>87</w:t>
            </w: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2">
            <w:col w:w="4540" w:space="120"/>
            <w:col w:w="6580"/>
          </w:cols>
          <w:pgMar w:left="320" w:top="459" w:right="339" w:bottom="1440" w:gutter="0" w:footer="0" w:header="0"/>
          <w:type w:val="continuous"/>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14.1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CODE OF ETHICS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ADVISERS, LLC</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 Statement of General Fiduciary Principles</w:t>
      </w:r>
    </w:p>
    <w:p>
      <w:pPr>
        <w:spacing w:after="0" w:line="96"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124" w:lineRule="exact"/>
        <w:rPr>
          <w:sz w:val="20"/>
          <w:szCs w:val="20"/>
          <w:color w:val="auto"/>
        </w:rPr>
      </w:pPr>
    </w:p>
    <w:p>
      <w:pPr>
        <w:ind w:right="220" w:firstLine="898"/>
        <w:spacing w:after="0" w:line="253" w:lineRule="auto"/>
        <w:rPr>
          <w:sz w:val="20"/>
          <w:szCs w:val="20"/>
          <w:color w:val="auto"/>
        </w:rPr>
      </w:pPr>
      <w:r>
        <w:rPr>
          <w:rFonts w:ascii="Arial" w:cs="Arial" w:eastAsia="Arial" w:hAnsi="Arial"/>
          <w:sz w:val="18"/>
          <w:szCs w:val="18"/>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147" w:lineRule="exact"/>
        <w:rPr>
          <w:sz w:val="20"/>
          <w:szCs w:val="20"/>
          <w:color w:val="auto"/>
        </w:rPr>
      </w:pPr>
    </w:p>
    <w:p>
      <w:pPr>
        <w:ind w:right="60" w:firstLine="898"/>
        <w:spacing w:after="0" w:line="256" w:lineRule="auto"/>
        <w:rPr>
          <w:sz w:val="20"/>
          <w:szCs w:val="20"/>
          <w:color w:val="auto"/>
        </w:rPr>
      </w:pPr>
      <w:r>
        <w:rPr>
          <w:rFonts w:ascii="Arial" w:cs="Arial" w:eastAsia="Arial" w:hAnsi="Arial"/>
          <w:sz w:val="18"/>
          <w:szCs w:val="18"/>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All Covered Personnel must read and retain this Code.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 Definitions</w:t>
      </w:r>
    </w:p>
    <w:p>
      <w:pPr>
        <w:spacing w:after="0" w:line="96" w:lineRule="exact"/>
        <w:rPr>
          <w:sz w:val="20"/>
          <w:szCs w:val="20"/>
          <w:color w:val="auto"/>
        </w:rPr>
      </w:pPr>
    </w:p>
    <w:p>
      <w:pPr>
        <w:ind w:left="900" w:hanging="447"/>
        <w:spacing w:after="0"/>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“Access Person” means any director, officer, general partner or Advisory Person (as defined below) of the Corporations or the Adviser.</w:t>
      </w:r>
    </w:p>
    <w:p>
      <w:pPr>
        <w:spacing w:after="0" w:line="113" w:lineRule="exact"/>
        <w:rPr>
          <w:rFonts w:ascii="Arial" w:cs="Arial" w:eastAsia="Arial" w:hAnsi="Arial"/>
          <w:sz w:val="16"/>
          <w:szCs w:val="16"/>
          <w:color w:val="auto"/>
        </w:rPr>
      </w:pPr>
    </w:p>
    <w:p>
      <w:pPr>
        <w:ind w:left="900" w:right="60" w:hanging="447"/>
        <w:spacing w:after="0" w:line="291"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38" w:lineRule="exact"/>
        <w:rPr>
          <w:rFonts w:ascii="Arial" w:cs="Arial" w:eastAsia="Arial" w:hAnsi="Arial"/>
          <w:sz w:val="16"/>
          <w:szCs w:val="16"/>
          <w:color w:val="auto"/>
        </w:rPr>
      </w:pPr>
    </w:p>
    <w:p>
      <w:pPr>
        <w:ind w:left="900" w:right="220" w:hanging="447"/>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58" w:lineRule="exact"/>
        <w:rPr>
          <w:rFonts w:ascii="Arial" w:cs="Arial" w:eastAsia="Arial" w:hAnsi="Arial"/>
          <w:sz w:val="18"/>
          <w:szCs w:val="18"/>
          <w:color w:val="auto"/>
        </w:rPr>
      </w:pPr>
    </w:p>
    <w:p>
      <w:pPr>
        <w:ind w:left="900" w:right="40" w:hanging="447"/>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“Chief Compliance Officer” means the Chief Compliance Officer of the Corporation (who also may serve as the compliance officer of the Adviser and/or one or more affiliates of the Adviser).</w:t>
      </w:r>
    </w:p>
    <w:p>
      <w:pPr>
        <w:sectPr>
          <w:pgSz w:w="11900" w:h="16838" w:orient="portrait"/>
          <w:cols w:equalWidth="0" w:num="1">
            <w:col w:w="11240"/>
          </w:cols>
          <w:pgMar w:left="320" w:top="125" w:right="339" w:bottom="1440" w:gutter="0" w:footer="0" w:header="0"/>
        </w:sectPr>
      </w:pPr>
    </w:p>
    <w:bookmarkStart w:id="90" w:name="page91"/>
    <w:bookmarkEnd w:id="90"/>
    <w:p>
      <w:pPr>
        <w:ind w:left="900" w:hanging="447"/>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“Control” shall have the same meaning as that set forth in Section 2(a)(9) of the Act.</w:t>
      </w:r>
    </w:p>
    <w:p>
      <w:pPr>
        <w:spacing w:after="0" w:line="90" w:lineRule="exact"/>
        <w:rPr>
          <w:rFonts w:ascii="Arial" w:cs="Arial" w:eastAsia="Arial" w:hAnsi="Arial"/>
          <w:sz w:val="18"/>
          <w:szCs w:val="18"/>
          <w:color w:val="auto"/>
        </w:rPr>
      </w:pPr>
    </w:p>
    <w:p>
      <w:pPr>
        <w:ind w:left="900" w:right="40" w:hanging="447"/>
        <w:spacing w:after="0" w:line="288"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42" w:lineRule="exact"/>
        <w:rPr>
          <w:rFonts w:ascii="Arial" w:cs="Arial" w:eastAsia="Arial" w:hAnsi="Arial"/>
          <w:sz w:val="16"/>
          <w:szCs w:val="16"/>
          <w:color w:val="auto"/>
        </w:rPr>
      </w:pPr>
    </w:p>
    <w:p>
      <w:pPr>
        <w:ind w:left="900"/>
        <w:spacing w:after="0" w:line="288" w:lineRule="auto"/>
        <w:rPr>
          <w:rFonts w:ascii="Arial" w:cs="Arial" w:eastAsia="Arial" w:hAnsi="Arial"/>
          <w:sz w:val="16"/>
          <w:szCs w:val="16"/>
          <w:color w:val="auto"/>
        </w:rPr>
      </w:pPr>
      <w:r>
        <w:rPr>
          <w:rFonts w:ascii="Arial" w:cs="Arial" w:eastAsia="Arial" w:hAnsi="Arial"/>
          <w:sz w:val="16"/>
          <w:szCs w:val="16"/>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37" w:lineRule="exact"/>
        <w:rPr>
          <w:rFonts w:ascii="Arial" w:cs="Arial" w:eastAsia="Arial" w:hAnsi="Arial"/>
          <w:sz w:val="16"/>
          <w:szCs w:val="16"/>
          <w:color w:val="auto"/>
        </w:rPr>
      </w:pPr>
    </w:p>
    <w:p>
      <w:pPr>
        <w:ind w:left="900" w:right="820" w:hanging="447"/>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“Independent Director” means a director of the Corporation who is not an “interested person” of the Corporation within the meaning of Section 2(a)(19) of the Act.</w:t>
      </w:r>
    </w:p>
    <w:p>
      <w:pPr>
        <w:spacing w:after="0" w:line="50" w:lineRule="exact"/>
        <w:rPr>
          <w:rFonts w:ascii="Arial" w:cs="Arial" w:eastAsia="Arial" w:hAnsi="Arial"/>
          <w:sz w:val="18"/>
          <w:szCs w:val="18"/>
          <w:color w:val="auto"/>
        </w:rPr>
      </w:pPr>
    </w:p>
    <w:p>
      <w:pPr>
        <w:ind w:left="900" w:right="660" w:hanging="447"/>
        <w:spacing w:after="0" w:line="331"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5" w:lineRule="exact"/>
        <w:rPr>
          <w:rFonts w:ascii="Arial" w:cs="Arial" w:eastAsia="Arial" w:hAnsi="Arial"/>
          <w:sz w:val="16"/>
          <w:szCs w:val="16"/>
          <w:color w:val="auto"/>
        </w:rPr>
      </w:pPr>
    </w:p>
    <w:p>
      <w:pPr>
        <w:ind w:left="900" w:right="440" w:hanging="447"/>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“Limited Offering” means an offering that is exempt from registration under the 1933 Act pursuant to Section 4(2) or Section 4(6) thereof or pursuant to Rule 504, Rule 505, or Rule 506 thereunder.</w:t>
      </w:r>
    </w:p>
    <w:p>
      <w:pPr>
        <w:spacing w:after="0" w:line="50" w:lineRule="exact"/>
        <w:rPr>
          <w:rFonts w:ascii="Arial" w:cs="Arial" w:eastAsia="Arial" w:hAnsi="Arial"/>
          <w:sz w:val="18"/>
          <w:szCs w:val="18"/>
          <w:color w:val="auto"/>
        </w:rPr>
      </w:pPr>
    </w:p>
    <w:p>
      <w:pPr>
        <w:ind w:left="900" w:right="420" w:hanging="447"/>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“Restricted List” means the “Pipeline” report of potential investments combined with the current holdings of the clients. PennantPark Access Persons are restricted from trading any security on the Restricted List.</w:t>
      </w:r>
    </w:p>
    <w:p>
      <w:pPr>
        <w:spacing w:after="0" w:line="51" w:lineRule="exact"/>
        <w:rPr>
          <w:sz w:val="20"/>
          <w:szCs w:val="20"/>
          <w:color w:val="auto"/>
        </w:rPr>
      </w:pPr>
    </w:p>
    <w:p>
      <w:pPr>
        <w:ind w:left="900" w:right="180" w:hanging="439"/>
        <w:spacing w:after="0" w:line="306" w:lineRule="auto"/>
        <w:tabs>
          <w:tab w:leader="none" w:pos="880" w:val="left"/>
        </w:tabs>
        <w:rPr>
          <w:sz w:val="20"/>
          <w:szCs w:val="20"/>
          <w:color w:val="auto"/>
        </w:rPr>
      </w:pPr>
      <w:r>
        <w:rPr>
          <w:rFonts w:ascii="Arial" w:cs="Arial" w:eastAsia="Arial" w:hAnsi="Arial"/>
          <w:sz w:val="16"/>
          <w:szCs w:val="16"/>
          <w:color w:val="auto"/>
        </w:rPr>
        <w:t>(KJ)</w:t>
        <w:tab/>
        <w:t>“Security Held or to be Acquired” by the Corporation means: (i) any Covered Security which, within the most recent 15 days: (A) is or has been held by the Corporation; or (B) is being or has been considered by the Corporation or the Adviser for purchase by the Corporation; and (ii) any option to purchase or sell, and any security convertible into or exchangeable for, a Covered Security described in Section II (K)(i).</w:t>
      </w:r>
    </w:p>
    <w:p>
      <w:pPr>
        <w:spacing w:after="0" w:line="25" w:lineRule="exact"/>
        <w:rPr>
          <w:sz w:val="20"/>
          <w:szCs w:val="20"/>
          <w:color w:val="auto"/>
        </w:rPr>
      </w:pPr>
    </w:p>
    <w:p>
      <w:pPr>
        <w:ind w:left="900" w:hanging="447"/>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“17j-1 Organization” means the Corporation or the Adviser, as the context requires.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III Objective and General Prohibitions</w:t>
      </w:r>
    </w:p>
    <w:p>
      <w:pPr>
        <w:spacing w:after="0" w:line="96" w:lineRule="exact"/>
        <w:rPr>
          <w:sz w:val="20"/>
          <w:szCs w:val="20"/>
          <w:color w:val="auto"/>
        </w:rPr>
      </w:pPr>
    </w:p>
    <w:p>
      <w:pPr>
        <w:ind w:right="20" w:firstLine="898"/>
        <w:spacing w:after="0" w:line="256" w:lineRule="auto"/>
        <w:rPr>
          <w:sz w:val="20"/>
          <w:szCs w:val="20"/>
          <w:color w:val="auto"/>
        </w:rPr>
      </w:pPr>
      <w:r>
        <w:rPr>
          <w:rFonts w:ascii="Arial" w:cs="Arial" w:eastAsia="Arial" w:hAnsi="Arial"/>
          <w:sz w:val="18"/>
          <w:szCs w:val="18"/>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43" w:lineRule="exact"/>
        <w:rPr>
          <w:sz w:val="20"/>
          <w:szCs w:val="20"/>
          <w:color w:val="auto"/>
        </w:rPr>
      </w:pPr>
    </w:p>
    <w:p>
      <w:pPr>
        <w:ind w:right="140" w:firstLine="898"/>
        <w:spacing w:after="0" w:line="298" w:lineRule="auto"/>
        <w:rPr>
          <w:sz w:val="20"/>
          <w:szCs w:val="20"/>
          <w:color w:val="auto"/>
        </w:rPr>
      </w:pPr>
      <w:r>
        <w:rPr>
          <w:rFonts w:ascii="Arial" w:cs="Arial" w:eastAsia="Arial" w:hAnsi="Arial"/>
          <w:sz w:val="16"/>
          <w:szCs w:val="16"/>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31" w:lineRule="exact"/>
        <w:rPr>
          <w:sz w:val="20"/>
          <w:szCs w:val="20"/>
          <w:color w:val="auto"/>
        </w:rPr>
      </w:pPr>
    </w:p>
    <w:p>
      <w:pPr>
        <w:ind w:left="1460" w:hanging="561"/>
        <w:spacing w:after="0"/>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employ any device, scheme or artifice to defraud the Corporation;</w:t>
      </w:r>
    </w:p>
    <w:p>
      <w:pPr>
        <w:sectPr>
          <w:pgSz w:w="11900" w:h="16838" w:orient="portrait"/>
          <w:cols w:equalWidth="0" w:num="1">
            <w:col w:w="11220"/>
          </w:cols>
          <w:pgMar w:left="320" w:top="280" w:right="359" w:bottom="1440" w:gutter="0" w:footer="0" w:header="0"/>
        </w:sectPr>
      </w:pPr>
    </w:p>
    <w:bookmarkStart w:id="91" w:name="page92"/>
    <w:bookmarkEnd w:id="91"/>
    <w:p>
      <w:pPr>
        <w:ind w:left="1460" w:right="340" w:hanging="561"/>
        <w:spacing w:after="0" w:line="331" w:lineRule="auto"/>
        <w:tabs>
          <w:tab w:leader="none" w:pos="1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make any untrue statement of a material fact to the Corporation or omit to state to the Corporation a material fact necessary in order to make the statements made, in light of the circumstances under which they are made, not misleading;</w:t>
      </w:r>
    </w:p>
    <w:p>
      <w:pPr>
        <w:spacing w:after="0" w:line="5" w:lineRule="exact"/>
        <w:rPr>
          <w:rFonts w:ascii="Arial" w:cs="Arial" w:eastAsia="Arial" w:hAnsi="Arial"/>
          <w:sz w:val="16"/>
          <w:szCs w:val="16"/>
          <w:color w:val="auto"/>
        </w:rPr>
      </w:pPr>
    </w:p>
    <w:p>
      <w:pPr>
        <w:ind w:left="1460" w:hanging="561"/>
        <w:spacing w:after="0"/>
        <w:tabs>
          <w:tab w:leader="none" w:pos="1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engage in any act, practice or course of business that operates or would operate as a fraud or deceit upon the Corporation; or</w:t>
      </w:r>
    </w:p>
    <w:p>
      <w:pPr>
        <w:spacing w:after="0" w:line="113" w:lineRule="exact"/>
        <w:rPr>
          <w:rFonts w:ascii="Arial" w:cs="Arial" w:eastAsia="Arial" w:hAnsi="Arial"/>
          <w:sz w:val="16"/>
          <w:szCs w:val="16"/>
          <w:color w:val="auto"/>
        </w:rPr>
      </w:pPr>
    </w:p>
    <w:p>
      <w:pPr>
        <w:ind w:left="1460" w:hanging="561"/>
        <w:spacing w:after="0"/>
        <w:tabs>
          <w:tab w:leader="none" w:pos="1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engage in any manipulative practice with respect to the Corporation.</w:t>
      </w:r>
    </w:p>
    <w:p>
      <w:pPr>
        <w:spacing w:after="0" w:line="171" w:lineRule="exact"/>
        <w:rPr>
          <w:sz w:val="20"/>
          <w:szCs w:val="20"/>
          <w:color w:val="auto"/>
        </w:rPr>
      </w:pPr>
    </w:p>
    <w:p>
      <w:pPr>
        <w:ind w:right="200" w:firstLine="898"/>
        <w:spacing w:after="0" w:line="268" w:lineRule="auto"/>
        <w:rPr>
          <w:sz w:val="20"/>
          <w:szCs w:val="20"/>
          <w:color w:val="auto"/>
        </w:rPr>
      </w:pPr>
      <w:r>
        <w:rPr>
          <w:rFonts w:ascii="Arial" w:cs="Arial" w:eastAsia="Arial" w:hAnsi="Arial"/>
          <w:sz w:val="18"/>
          <w:szCs w:val="18"/>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IV Pre-Clearance of Transactions in Personal Account</w:t>
      </w:r>
    </w:p>
    <w:p>
      <w:pPr>
        <w:spacing w:after="0" w:line="96" w:lineRule="exact"/>
        <w:rPr>
          <w:sz w:val="20"/>
          <w:szCs w:val="20"/>
          <w:color w:val="auto"/>
        </w:rPr>
      </w:pPr>
    </w:p>
    <w:p>
      <w:pPr>
        <w:ind w:right="20" w:firstLine="898"/>
        <w:spacing w:after="0" w:line="294" w:lineRule="auto"/>
        <w:rPr>
          <w:sz w:val="20"/>
          <w:szCs w:val="20"/>
          <w:color w:val="auto"/>
        </w:rPr>
      </w:pPr>
      <w:r>
        <w:rPr>
          <w:rFonts w:ascii="Arial" w:cs="Arial" w:eastAsia="Arial" w:hAnsi="Arial"/>
          <w:sz w:val="16"/>
          <w:szCs w:val="16"/>
          <w:color w:val="auto"/>
        </w:rPr>
        <w:t>An Access Person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Any approval given under this paragraph will be provided by email and will remain in effect for 72 hours.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 Prohibited Transactions</w:t>
      </w:r>
    </w:p>
    <w:p>
      <w:pPr>
        <w:spacing w:after="0" w:line="96" w:lineRule="exact"/>
        <w:rPr>
          <w:sz w:val="20"/>
          <w:szCs w:val="20"/>
          <w:color w:val="auto"/>
        </w:rPr>
      </w:pPr>
    </w:p>
    <w:p>
      <w:pPr>
        <w:ind w:left="900" w:right="40" w:hanging="447"/>
        <w:spacing w:after="0" w:line="291"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38" w:lineRule="exact"/>
        <w:rPr>
          <w:rFonts w:ascii="Arial" w:cs="Arial" w:eastAsia="Arial" w:hAnsi="Arial"/>
          <w:sz w:val="16"/>
          <w:szCs w:val="16"/>
          <w:color w:val="auto"/>
        </w:rPr>
      </w:pPr>
    </w:p>
    <w:p>
      <w:pPr>
        <w:ind w:left="900" w:hanging="447"/>
        <w:spacing w:after="0" w:line="256"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61" w:lineRule="exact"/>
        <w:rPr>
          <w:rFonts w:ascii="Arial" w:cs="Arial" w:eastAsia="Arial" w:hAnsi="Arial"/>
          <w:sz w:val="18"/>
          <w:szCs w:val="18"/>
          <w:color w:val="auto"/>
        </w:rPr>
      </w:pPr>
    </w:p>
    <w:p>
      <w:pPr>
        <w:ind w:left="900" w:right="120" w:hanging="447"/>
        <w:spacing w:after="0" w:line="254"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 Reports by Access Persons</w:t>
      </w:r>
    </w:p>
    <w:p>
      <w:pPr>
        <w:spacing w:after="0" w:line="96" w:lineRule="exact"/>
        <w:rPr>
          <w:sz w:val="20"/>
          <w:szCs w:val="20"/>
          <w:color w:val="auto"/>
        </w:rPr>
      </w:pPr>
    </w:p>
    <w:p>
      <w:pPr>
        <w:ind w:left="900" w:hanging="447"/>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Personal Securities Holdings Reports.</w:t>
      </w:r>
    </w:p>
    <w:p>
      <w:pPr>
        <w:spacing w:after="0" w:line="90" w:lineRule="exact"/>
        <w:rPr>
          <w:sz w:val="20"/>
          <w:szCs w:val="20"/>
          <w:color w:val="auto"/>
        </w:rPr>
      </w:pPr>
    </w:p>
    <w:p>
      <w:pPr>
        <w:ind w:right="20" w:firstLine="898"/>
        <w:spacing w:after="0" w:line="290" w:lineRule="auto"/>
        <w:rPr>
          <w:sz w:val="20"/>
          <w:szCs w:val="20"/>
          <w:color w:val="auto"/>
        </w:rPr>
      </w:pPr>
      <w:r>
        <w:rPr>
          <w:rFonts w:ascii="Arial" w:cs="Arial" w:eastAsia="Arial" w:hAnsi="Arial"/>
          <w:sz w:val="16"/>
          <w:szCs w:val="16"/>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ectPr>
          <w:pgSz w:w="11900" w:h="16838" w:orient="portrait"/>
          <w:cols w:equalWidth="0" w:num="1">
            <w:col w:w="11220"/>
          </w:cols>
          <w:pgMar w:left="320" w:top="280" w:right="359" w:bottom="1440" w:gutter="0" w:footer="0" w:header="0"/>
        </w:sectPr>
      </w:pPr>
    </w:p>
    <w:bookmarkStart w:id="92" w:name="page93"/>
    <w:bookmarkEnd w:id="92"/>
    <w:p>
      <w:pPr>
        <w:ind w:left="900" w:hanging="447"/>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Quarterly Transaction Reports.</w:t>
      </w:r>
    </w:p>
    <w:p>
      <w:pPr>
        <w:spacing w:after="0" w:line="90"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140" w:lineRule="exact"/>
        <w:rPr>
          <w:sz w:val="20"/>
          <w:szCs w:val="20"/>
          <w:color w:val="auto"/>
        </w:rPr>
      </w:pPr>
    </w:p>
    <w:p>
      <w:pPr>
        <w:ind w:right="220" w:firstLine="898"/>
        <w:spacing w:after="0" w:line="268" w:lineRule="auto"/>
        <w:rPr>
          <w:sz w:val="20"/>
          <w:szCs w:val="20"/>
          <w:color w:val="auto"/>
        </w:rPr>
      </w:pPr>
      <w:r>
        <w:rPr>
          <w:rFonts w:ascii="Arial" w:cs="Arial" w:eastAsia="Arial" w:hAnsi="Arial"/>
          <w:sz w:val="18"/>
          <w:szCs w:val="18"/>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51" w:lineRule="exact"/>
        <w:rPr>
          <w:sz w:val="20"/>
          <w:szCs w:val="20"/>
          <w:color w:val="auto"/>
        </w:rPr>
      </w:pPr>
    </w:p>
    <w:p>
      <w:pPr>
        <w:ind w:left="1160" w:hanging="254"/>
        <w:spacing w:after="0"/>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Date and nature of the transaction (purchase, sale or any other type of acquisition or disposition);</w:t>
      </w:r>
    </w:p>
    <w:p>
      <w:pPr>
        <w:spacing w:after="0" w:line="171" w:lineRule="exact"/>
        <w:rPr>
          <w:rFonts w:ascii="Arial" w:cs="Arial" w:eastAsia="Arial" w:hAnsi="Arial"/>
          <w:sz w:val="18"/>
          <w:szCs w:val="18"/>
          <w:color w:val="auto"/>
        </w:rPr>
      </w:pPr>
    </w:p>
    <w:p>
      <w:pPr>
        <w:ind w:right="60" w:firstLine="906"/>
        <w:spacing w:after="0" w:line="268" w:lineRule="auto"/>
        <w:tabs>
          <w:tab w:leader="none" w:pos="1147" w:val="left"/>
        </w:tabs>
        <w:numPr>
          <w:ilvl w:val="1"/>
          <w:numId w:val="64"/>
        </w:numPr>
        <w:rPr>
          <w:rFonts w:ascii="Arial" w:cs="Arial" w:eastAsia="Arial" w:hAnsi="Arial"/>
          <w:sz w:val="18"/>
          <w:szCs w:val="18"/>
          <w:color w:val="auto"/>
        </w:rPr>
      </w:pPr>
      <w:r>
        <w:rPr>
          <w:rFonts w:ascii="Arial" w:cs="Arial" w:eastAsia="Arial" w:hAnsi="Arial"/>
          <w:sz w:val="18"/>
          <w:szCs w:val="18"/>
          <w:color w:val="auto"/>
        </w:rPr>
        <w:t>Title, interest rate and maturity date (if applicable), number of shares and principal amount of each Covered Security involved and the price of the Covered Security at which the transaction was effected;</w:t>
      </w:r>
    </w:p>
    <w:p>
      <w:pPr>
        <w:spacing w:after="0" w:line="131" w:lineRule="exact"/>
        <w:rPr>
          <w:rFonts w:ascii="Arial" w:cs="Arial" w:eastAsia="Arial" w:hAnsi="Arial"/>
          <w:sz w:val="18"/>
          <w:szCs w:val="18"/>
          <w:color w:val="auto"/>
        </w:rPr>
      </w:pPr>
    </w:p>
    <w:p>
      <w:pPr>
        <w:ind w:left="1160" w:hanging="254"/>
        <w:spacing w:after="0"/>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Name of the broker, dealer or bank with or through whom the transaction was effected; and</w:t>
      </w:r>
    </w:p>
    <w:p>
      <w:pPr>
        <w:spacing w:after="0" w:line="171" w:lineRule="exact"/>
        <w:rPr>
          <w:rFonts w:ascii="Arial" w:cs="Arial" w:eastAsia="Arial" w:hAnsi="Arial"/>
          <w:sz w:val="18"/>
          <w:szCs w:val="18"/>
          <w:color w:val="auto"/>
        </w:rPr>
      </w:pPr>
    </w:p>
    <w:p>
      <w:pPr>
        <w:ind w:left="1160" w:hanging="254"/>
        <w:spacing w:after="0"/>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date the report is submitted by the Access Person.</w:t>
      </w:r>
    </w:p>
    <w:p>
      <w:pPr>
        <w:spacing w:after="0" w:line="211" w:lineRule="exact"/>
        <w:rPr>
          <w:rFonts w:ascii="Arial" w:cs="Arial" w:eastAsia="Arial" w:hAnsi="Arial"/>
          <w:sz w:val="18"/>
          <w:szCs w:val="18"/>
          <w:color w:val="auto"/>
        </w:rPr>
      </w:pPr>
    </w:p>
    <w:p>
      <w:pPr>
        <w:ind w:left="900" w:hanging="447"/>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Independent Directors.</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6"/>
          <w:szCs w:val="16"/>
          <w:color w:val="auto"/>
        </w:rPr>
        <w:t>Notwithstanding the reporting requirements set forth in this Section V, an Independent Director who would be required to make a report under this</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157" w:lineRule="exact"/>
        <w:rPr>
          <w:sz w:val="20"/>
          <w:szCs w:val="20"/>
          <w:color w:val="auto"/>
        </w:rPr>
      </w:pPr>
    </w:p>
    <w:p>
      <w:pPr>
        <w:ind w:left="900" w:hanging="447"/>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Access Persons of the Adviser.</w:t>
      </w:r>
    </w:p>
    <w:p>
      <w:pPr>
        <w:spacing w:after="0" w:line="90" w:lineRule="exact"/>
        <w:rPr>
          <w:sz w:val="20"/>
          <w:szCs w:val="20"/>
          <w:color w:val="auto"/>
        </w:rPr>
      </w:pPr>
    </w:p>
    <w:p>
      <w:pPr>
        <w:ind w:right="60" w:firstLine="898"/>
        <w:spacing w:after="0" w:line="331" w:lineRule="auto"/>
        <w:rPr>
          <w:sz w:val="20"/>
          <w:szCs w:val="20"/>
          <w:color w:val="auto"/>
        </w:rPr>
      </w:pPr>
      <w:r>
        <w:rPr>
          <w:rFonts w:ascii="Arial" w:cs="Arial" w:eastAsia="Arial" w:hAnsi="Arial"/>
          <w:sz w:val="16"/>
          <w:szCs w:val="16"/>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127" w:lineRule="exact"/>
        <w:rPr>
          <w:sz w:val="20"/>
          <w:szCs w:val="20"/>
          <w:color w:val="auto"/>
        </w:rPr>
      </w:pPr>
    </w:p>
    <w:p>
      <w:pPr>
        <w:ind w:left="900" w:hanging="447"/>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Brokerage Accounts and Statements.</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Access Persons, except Independent Directors, shall:</w:t>
      </w:r>
    </w:p>
    <w:p>
      <w:pPr>
        <w:spacing w:after="0" w:line="90" w:lineRule="exact"/>
        <w:rPr>
          <w:rFonts w:ascii="Arial" w:cs="Arial" w:eastAsia="Arial" w:hAnsi="Arial"/>
          <w:sz w:val="18"/>
          <w:szCs w:val="18"/>
          <w:color w:val="auto"/>
        </w:rPr>
      </w:pPr>
    </w:p>
    <w:p>
      <w:pPr>
        <w:ind w:right="40" w:firstLine="906"/>
        <w:spacing w:after="0" w:line="306" w:lineRule="auto"/>
        <w:tabs>
          <w:tab w:leader="none" w:pos="1147" w:val="left"/>
        </w:tabs>
        <w:numPr>
          <w:ilvl w:val="1"/>
          <w:numId w:val="67"/>
        </w:numPr>
        <w:rPr>
          <w:rFonts w:ascii="Arial" w:cs="Arial" w:eastAsia="Arial" w:hAnsi="Arial"/>
          <w:sz w:val="16"/>
          <w:szCs w:val="16"/>
          <w:color w:val="auto"/>
        </w:rPr>
      </w:pPr>
      <w:r>
        <w:rPr>
          <w:rFonts w:ascii="Arial" w:cs="Arial" w:eastAsia="Arial" w:hAnsi="Arial"/>
          <w:sz w:val="16"/>
          <w:szCs w:val="16"/>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06" w:lineRule="exact"/>
        <w:rPr>
          <w:rFonts w:ascii="Arial" w:cs="Arial" w:eastAsia="Arial" w:hAnsi="Arial"/>
          <w:sz w:val="16"/>
          <w:szCs w:val="16"/>
          <w:color w:val="auto"/>
        </w:rPr>
      </w:pPr>
    </w:p>
    <w:p>
      <w:pPr>
        <w:ind w:right="780" w:firstLine="906"/>
        <w:spacing w:after="0" w:line="268" w:lineRule="auto"/>
        <w:tabs>
          <w:tab w:leader="none" w:pos="1147"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instruct the brokers, dealers or banks with whom they maintain such an account to provide duplicate account statements to the Chief Compliance Officer.</w:t>
      </w:r>
    </w:p>
    <w:p>
      <w:pPr>
        <w:spacing w:after="0" w:line="131" w:lineRule="exact"/>
        <w:rPr>
          <w:rFonts w:ascii="Arial" w:cs="Arial" w:eastAsia="Arial" w:hAnsi="Arial"/>
          <w:sz w:val="18"/>
          <w:szCs w:val="18"/>
          <w:color w:val="auto"/>
        </w:rPr>
      </w:pPr>
    </w:p>
    <w:p>
      <w:pPr>
        <w:ind w:left="1160" w:hanging="254"/>
        <w:spacing w:after="0"/>
        <w:tabs>
          <w:tab w:leader="none" w:pos="11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on an annual basis, certify that they have complied with the requirements of (1) and (2) above.</w:t>
      </w:r>
    </w:p>
    <w:p>
      <w:pPr>
        <w:spacing w:after="0" w:line="211" w:lineRule="exact"/>
        <w:rPr>
          <w:rFonts w:ascii="Arial" w:cs="Arial" w:eastAsia="Arial" w:hAnsi="Arial"/>
          <w:sz w:val="18"/>
          <w:szCs w:val="18"/>
          <w:color w:val="auto"/>
        </w:rPr>
      </w:pPr>
    </w:p>
    <w:p>
      <w:pPr>
        <w:ind w:left="900" w:hanging="447"/>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Form of Reports.</w:t>
      </w:r>
    </w:p>
    <w:p>
      <w:pPr>
        <w:spacing w:after="0" w:line="90" w:lineRule="exact"/>
        <w:rPr>
          <w:sz w:val="20"/>
          <w:szCs w:val="20"/>
          <w:color w:val="auto"/>
        </w:rPr>
      </w:pPr>
    </w:p>
    <w:p>
      <w:pPr>
        <w:ind w:right="60" w:firstLine="898"/>
        <w:spacing w:after="0" w:line="369" w:lineRule="auto"/>
        <w:rPr>
          <w:sz w:val="20"/>
          <w:szCs w:val="20"/>
          <w:color w:val="auto"/>
        </w:rPr>
      </w:pPr>
      <w:r>
        <w:rPr>
          <w:rFonts w:ascii="Arial" w:cs="Arial" w:eastAsia="Arial" w:hAnsi="Arial"/>
          <w:sz w:val="15"/>
          <w:szCs w:val="15"/>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104" w:lineRule="exact"/>
        <w:rPr>
          <w:sz w:val="20"/>
          <w:szCs w:val="20"/>
          <w:color w:val="auto"/>
        </w:rPr>
      </w:pPr>
    </w:p>
    <w:p>
      <w:pPr>
        <w:ind w:left="900" w:hanging="447"/>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Responsibility to Report.</w:t>
      </w:r>
    </w:p>
    <w:p>
      <w:pPr>
        <w:spacing w:after="0" w:line="90" w:lineRule="exact"/>
        <w:rPr>
          <w:sz w:val="20"/>
          <w:szCs w:val="20"/>
          <w:color w:val="auto"/>
        </w:rPr>
      </w:pPr>
    </w:p>
    <w:p>
      <w:pPr>
        <w:ind w:right="100" w:firstLine="898"/>
        <w:spacing w:after="0" w:line="256" w:lineRule="auto"/>
        <w:rPr>
          <w:sz w:val="20"/>
          <w:szCs w:val="20"/>
          <w:color w:val="auto"/>
        </w:rPr>
      </w:pPr>
      <w:r>
        <w:rPr>
          <w:rFonts w:ascii="Arial" w:cs="Arial" w:eastAsia="Arial" w:hAnsi="Arial"/>
          <w:sz w:val="18"/>
          <w:szCs w:val="18"/>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ectPr>
          <w:pgSz w:w="11900" w:h="16838" w:orient="portrait"/>
          <w:cols w:equalWidth="0" w:num="1">
            <w:col w:w="11220"/>
          </w:cols>
          <w:pgMar w:left="320" w:top="280" w:right="359" w:bottom="1440" w:gutter="0" w:footer="0" w:header="0"/>
        </w:sectPr>
      </w:pPr>
    </w:p>
    <w:bookmarkStart w:id="93" w:name="page94"/>
    <w:bookmarkEnd w:id="93"/>
    <w:p>
      <w:pPr>
        <w:ind w:left="900" w:hanging="447"/>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Where to File Reports.</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6"/>
          <w:szCs w:val="16"/>
          <w:color w:val="auto"/>
        </w:rPr>
        <w:t>All Quarterly Securities Transaction Reports and Personal Securities Holdings Reports must be filed with the Chief Compliance Officer.</w:t>
      </w:r>
    </w:p>
    <w:p>
      <w:pPr>
        <w:spacing w:after="0" w:line="234" w:lineRule="exact"/>
        <w:rPr>
          <w:rFonts w:ascii="Arial" w:cs="Arial" w:eastAsia="Arial" w:hAnsi="Arial"/>
          <w:sz w:val="18"/>
          <w:szCs w:val="18"/>
          <w:color w:val="auto"/>
        </w:rPr>
      </w:pPr>
    </w:p>
    <w:p>
      <w:pPr>
        <w:ind w:left="900" w:hanging="447"/>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Disclaimers.</w:t>
      </w:r>
    </w:p>
    <w:p>
      <w:pPr>
        <w:spacing w:after="0" w:line="90" w:lineRule="exact"/>
        <w:rPr>
          <w:sz w:val="20"/>
          <w:szCs w:val="20"/>
          <w:color w:val="auto"/>
        </w:rPr>
      </w:pPr>
    </w:p>
    <w:p>
      <w:pPr>
        <w:ind w:right="280" w:firstLine="898"/>
        <w:spacing w:after="0" w:line="268" w:lineRule="auto"/>
        <w:rPr>
          <w:sz w:val="20"/>
          <w:szCs w:val="20"/>
          <w:color w:val="auto"/>
        </w:rPr>
      </w:pPr>
      <w:r>
        <w:rPr>
          <w:rFonts w:ascii="Arial" w:cs="Arial" w:eastAsia="Arial" w:hAnsi="Arial"/>
          <w:sz w:val="18"/>
          <w:szCs w:val="18"/>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VII Additional Prohibitions</w:t>
      </w:r>
    </w:p>
    <w:p>
      <w:pPr>
        <w:spacing w:after="0" w:line="96" w:lineRule="exact"/>
        <w:rPr>
          <w:sz w:val="20"/>
          <w:szCs w:val="20"/>
          <w:color w:val="auto"/>
        </w:rPr>
      </w:pPr>
    </w:p>
    <w:p>
      <w:pPr>
        <w:ind w:left="900" w:hanging="447"/>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Confidentiality of the Corporation’s Transactions.</w:t>
      </w:r>
    </w:p>
    <w:p>
      <w:pPr>
        <w:spacing w:after="0" w:line="90" w:lineRule="exact"/>
        <w:rPr>
          <w:sz w:val="20"/>
          <w:szCs w:val="20"/>
          <w:color w:val="auto"/>
        </w:rPr>
      </w:pPr>
    </w:p>
    <w:p>
      <w:pPr>
        <w:ind w:right="100" w:firstLine="898"/>
        <w:spacing w:after="0" w:line="256" w:lineRule="auto"/>
        <w:rPr>
          <w:sz w:val="20"/>
          <w:szCs w:val="20"/>
          <w:color w:val="auto"/>
        </w:rPr>
      </w:pPr>
      <w:r>
        <w:rPr>
          <w:rFonts w:ascii="Arial" w:cs="Arial" w:eastAsia="Arial" w:hAnsi="Arial"/>
          <w:sz w:val="18"/>
          <w:szCs w:val="18"/>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183" w:lineRule="exact"/>
        <w:rPr>
          <w:sz w:val="20"/>
          <w:szCs w:val="20"/>
          <w:color w:val="auto"/>
        </w:rPr>
      </w:pPr>
    </w:p>
    <w:p>
      <w:pPr>
        <w:ind w:left="900" w:hanging="447"/>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Outside Business Activities and Directorships.</w:t>
      </w:r>
    </w:p>
    <w:p>
      <w:pPr>
        <w:spacing w:after="0" w:line="90"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180" w:lineRule="exact"/>
        <w:rPr>
          <w:sz w:val="20"/>
          <w:szCs w:val="20"/>
          <w:color w:val="auto"/>
        </w:rPr>
      </w:pPr>
    </w:p>
    <w:p>
      <w:pPr>
        <w:ind w:left="900" w:hanging="447"/>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Gratuities.</w:t>
      </w:r>
    </w:p>
    <w:p>
      <w:pPr>
        <w:spacing w:after="0" w:line="90"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VIII Prohibition Against Insider Trading</w:t>
      </w:r>
    </w:p>
    <w:p>
      <w:pPr>
        <w:spacing w:after="0" w:line="96" w:lineRule="exact"/>
        <w:rPr>
          <w:sz w:val="20"/>
          <w:szCs w:val="20"/>
          <w:color w:val="auto"/>
        </w:rPr>
      </w:pPr>
    </w:p>
    <w:p>
      <w:pPr>
        <w:ind w:firstLine="898"/>
        <w:spacing w:after="0" w:line="291" w:lineRule="auto"/>
        <w:rPr>
          <w:sz w:val="20"/>
          <w:szCs w:val="20"/>
          <w:color w:val="auto"/>
        </w:rPr>
      </w:pPr>
      <w:r>
        <w:rPr>
          <w:rFonts w:ascii="Arial" w:cs="Arial" w:eastAsia="Arial" w:hAnsi="Arial"/>
          <w:sz w:val="16"/>
          <w:szCs w:val="16"/>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39" w:lineRule="exact"/>
        <w:rPr>
          <w:sz w:val="20"/>
          <w:szCs w:val="20"/>
          <w:color w:val="auto"/>
        </w:rPr>
      </w:pPr>
    </w:p>
    <w:p>
      <w:pPr>
        <w:ind w:left="900" w:hanging="447"/>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58" w:lineRule="exact"/>
        <w:rPr>
          <w:rFonts w:ascii="Arial" w:cs="Arial" w:eastAsia="Arial" w:hAnsi="Arial"/>
          <w:sz w:val="18"/>
          <w:szCs w:val="18"/>
          <w:color w:val="auto"/>
        </w:rPr>
      </w:pPr>
    </w:p>
    <w:p>
      <w:pPr>
        <w:ind w:left="900" w:right="100" w:hanging="447"/>
        <w:spacing w:after="0" w:line="310" w:lineRule="auto"/>
        <w:tabs>
          <w:tab w:leader="none" w:pos="900" w:val="left"/>
        </w:tabs>
        <w:numPr>
          <w:ilvl w:val="0"/>
          <w:numId w:val="73"/>
        </w:numPr>
        <w:rPr>
          <w:rFonts w:ascii="Arial" w:cs="Arial" w:eastAsia="Arial" w:hAnsi="Arial"/>
          <w:sz w:val="15"/>
          <w:szCs w:val="15"/>
          <w:color w:val="auto"/>
        </w:rPr>
      </w:pPr>
      <w:r>
        <w:rPr>
          <w:rFonts w:ascii="Arial" w:cs="Arial" w:eastAsia="Arial" w:hAnsi="Arial"/>
          <w:sz w:val="15"/>
          <w:szCs w:val="15"/>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ectPr>
          <w:pgSz w:w="11900" w:h="16838" w:orient="portrait"/>
          <w:cols w:equalWidth="0" w:num="1">
            <w:col w:w="11200"/>
          </w:cols>
          <w:pgMar w:left="320" w:top="280" w:right="379" w:bottom="1440" w:gutter="0" w:footer="0" w:header="0"/>
        </w:sectPr>
      </w:pPr>
    </w:p>
    <w:bookmarkStart w:id="94" w:name="page95"/>
    <w:bookmarkEnd w:id="94"/>
    <w:p>
      <w:pPr>
        <w:ind w:left="900" w:right="140" w:hanging="447"/>
        <w:spacing w:after="0" w:line="256"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Arial" w:cs="Arial" w:eastAsia="Arial" w:hAnsi="Arial"/>
          <w:sz w:val="18"/>
          <w:szCs w:val="18"/>
          <w:i w:val="1"/>
          <w:iCs w:val="1"/>
          <w:color w:val="auto"/>
        </w:rPr>
        <w:t>The Wall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Street Journal </w:t>
      </w:r>
      <w:r>
        <w:rPr>
          <w:rFonts w:ascii="Arial" w:cs="Arial" w:eastAsia="Arial" w:hAnsi="Arial"/>
          <w:sz w:val="18"/>
          <w:szCs w:val="18"/>
          <w:color w:val="auto"/>
        </w:rPr>
        <w:t>or some other publication of general circulation, and after sufficient time has passed so that the information has been disseminated</w:t>
      </w:r>
      <w:r>
        <w:rPr>
          <w:rFonts w:ascii="Arial" w:cs="Arial" w:eastAsia="Arial" w:hAnsi="Arial"/>
          <w:sz w:val="18"/>
          <w:szCs w:val="18"/>
          <w:i w:val="1"/>
          <w:iCs w:val="1"/>
          <w:color w:val="auto"/>
        </w:rPr>
        <w:t xml:space="preserve"> </w:t>
      </w:r>
      <w:r>
        <w:rPr>
          <w:rFonts w:ascii="Arial" w:cs="Arial" w:eastAsia="Arial" w:hAnsi="Arial"/>
          <w:sz w:val="18"/>
          <w:szCs w:val="18"/>
          <w:color w:val="auto"/>
        </w:rPr>
        <w:t>widely.</w:t>
      </w:r>
    </w:p>
    <w:p>
      <w:pPr>
        <w:spacing w:after="0" w:line="61" w:lineRule="exact"/>
        <w:rPr>
          <w:rFonts w:ascii="Arial" w:cs="Arial" w:eastAsia="Arial" w:hAnsi="Arial"/>
          <w:sz w:val="18"/>
          <w:szCs w:val="18"/>
          <w:color w:val="auto"/>
        </w:rPr>
      </w:pPr>
    </w:p>
    <w:p>
      <w:pPr>
        <w:ind w:left="900" w:right="60" w:hanging="447"/>
        <w:spacing w:after="0" w:line="256"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61" w:lineRule="exact"/>
        <w:rPr>
          <w:rFonts w:ascii="Arial" w:cs="Arial" w:eastAsia="Arial" w:hAnsi="Arial"/>
          <w:sz w:val="18"/>
          <w:szCs w:val="18"/>
          <w:color w:val="auto"/>
        </w:rPr>
      </w:pPr>
    </w:p>
    <w:p>
      <w:pPr>
        <w:ind w:left="1160" w:hanging="254"/>
        <w:spacing w:after="0"/>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Report the information and proposed trade immediately to the Chief Compliance Officer.</w:t>
      </w:r>
    </w:p>
    <w:p>
      <w:pPr>
        <w:spacing w:after="0" w:line="171" w:lineRule="exact"/>
        <w:rPr>
          <w:rFonts w:ascii="Arial" w:cs="Arial" w:eastAsia="Arial" w:hAnsi="Arial"/>
          <w:sz w:val="18"/>
          <w:szCs w:val="18"/>
          <w:color w:val="auto"/>
        </w:rPr>
      </w:pPr>
    </w:p>
    <w:p>
      <w:pPr>
        <w:ind w:left="1160" w:hanging="254"/>
        <w:spacing w:after="0"/>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Do not purchase or sell the securities on behalf of anyone, including Client Accounts.</w:t>
      </w:r>
    </w:p>
    <w:p>
      <w:pPr>
        <w:spacing w:after="0" w:line="171" w:lineRule="exact"/>
        <w:rPr>
          <w:rFonts w:ascii="Arial" w:cs="Arial" w:eastAsia="Arial" w:hAnsi="Arial"/>
          <w:sz w:val="18"/>
          <w:szCs w:val="18"/>
          <w:color w:val="auto"/>
        </w:rPr>
      </w:pPr>
    </w:p>
    <w:p>
      <w:pPr>
        <w:ind w:left="1160" w:hanging="254"/>
        <w:spacing w:after="0"/>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Do not communicate the information to any person, other than to the Chief Compliance Officer.</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180" w:lineRule="exact"/>
        <w:rPr>
          <w:sz w:val="20"/>
          <w:szCs w:val="20"/>
          <w:color w:val="auto"/>
        </w:rPr>
      </w:pPr>
    </w:p>
    <w:p>
      <w:pPr>
        <w:ind w:left="900" w:right="120" w:hanging="447"/>
        <w:spacing w:after="0" w:line="288"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42" w:lineRule="exact"/>
        <w:rPr>
          <w:rFonts w:ascii="Arial" w:cs="Arial" w:eastAsia="Arial" w:hAnsi="Arial"/>
          <w:sz w:val="16"/>
          <w:szCs w:val="16"/>
          <w:color w:val="auto"/>
        </w:rPr>
      </w:pPr>
    </w:p>
    <w:p>
      <w:pPr>
        <w:ind w:left="900" w:hanging="447"/>
        <w:spacing w:after="0" w:line="290"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IX Annual Certification</w:t>
      </w:r>
    </w:p>
    <w:p>
      <w:pPr>
        <w:spacing w:after="0" w:line="96" w:lineRule="exact"/>
        <w:rPr>
          <w:sz w:val="20"/>
          <w:szCs w:val="20"/>
          <w:color w:val="auto"/>
        </w:rPr>
      </w:pPr>
    </w:p>
    <w:p>
      <w:pPr>
        <w:ind w:left="900" w:hanging="447"/>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Access Persons.</w:t>
      </w:r>
    </w:p>
    <w:p>
      <w:pPr>
        <w:spacing w:after="0" w:line="90"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180" w:lineRule="exact"/>
        <w:rPr>
          <w:sz w:val="20"/>
          <w:szCs w:val="20"/>
          <w:color w:val="auto"/>
        </w:rPr>
      </w:pPr>
    </w:p>
    <w:p>
      <w:pPr>
        <w:ind w:left="900" w:hanging="447"/>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Board Review.</w:t>
      </w:r>
    </w:p>
    <w:p>
      <w:pPr>
        <w:spacing w:after="0" w:line="90" w:lineRule="exact"/>
        <w:rPr>
          <w:sz w:val="20"/>
          <w:szCs w:val="20"/>
          <w:color w:val="auto"/>
        </w:rPr>
      </w:pPr>
    </w:p>
    <w:p>
      <w:pPr>
        <w:ind w:right="40" w:firstLine="898"/>
        <w:spacing w:after="0" w:line="298" w:lineRule="auto"/>
        <w:rPr>
          <w:sz w:val="20"/>
          <w:szCs w:val="20"/>
          <w:color w:val="auto"/>
        </w:rPr>
      </w:pPr>
      <w:r>
        <w:rPr>
          <w:rFonts w:ascii="Arial" w:cs="Arial" w:eastAsia="Arial" w:hAnsi="Arial"/>
          <w:sz w:val="16"/>
          <w:szCs w:val="16"/>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ectPr>
          <w:pgSz w:w="11900" w:h="16838" w:orient="portrait"/>
          <w:cols w:equalWidth="0" w:num="1">
            <w:col w:w="11240"/>
          </w:cols>
          <w:pgMar w:left="320" w:top="280"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X Sanctions</w:t>
      </w:r>
    </w:p>
    <w:p>
      <w:pPr>
        <w:spacing w:after="0" w:line="96"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XI Administration and Construction</w:t>
      </w:r>
    </w:p>
    <w:p>
      <w:pPr>
        <w:spacing w:after="0" w:line="96" w:lineRule="exact"/>
        <w:rPr>
          <w:sz w:val="20"/>
          <w:szCs w:val="20"/>
          <w:color w:val="auto"/>
        </w:rPr>
      </w:pPr>
    </w:p>
    <w:p>
      <w:pPr>
        <w:ind w:left="900" w:hanging="447"/>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administration of this Code shall be the responsibility of the Chief Compliance Officer.</w:t>
      </w:r>
    </w:p>
    <w:p>
      <w:pPr>
        <w:spacing w:after="0" w:line="211" w:lineRule="exact"/>
        <w:rPr>
          <w:rFonts w:ascii="Arial" w:cs="Arial" w:eastAsia="Arial" w:hAnsi="Arial"/>
          <w:sz w:val="18"/>
          <w:szCs w:val="18"/>
          <w:color w:val="auto"/>
        </w:rPr>
      </w:pPr>
    </w:p>
    <w:p>
      <w:pPr>
        <w:ind w:left="900" w:hanging="447"/>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duties of the Chief Compliance Officer are as follows:</w:t>
      </w:r>
    </w:p>
    <w:p>
      <w:pPr>
        <w:spacing w:after="0" w:line="90" w:lineRule="exact"/>
        <w:rPr>
          <w:rFonts w:ascii="Arial" w:cs="Arial" w:eastAsia="Arial" w:hAnsi="Arial"/>
          <w:sz w:val="18"/>
          <w:szCs w:val="18"/>
          <w:color w:val="auto"/>
        </w:rPr>
      </w:pPr>
    </w:p>
    <w:p>
      <w:pPr>
        <w:ind w:firstLine="906"/>
        <w:spacing w:after="0" w:line="259" w:lineRule="auto"/>
        <w:tabs>
          <w:tab w:leader="none" w:pos="1147" w:val="left"/>
        </w:tabs>
        <w:numPr>
          <w:ilvl w:val="1"/>
          <w:numId w:val="78"/>
        </w:numPr>
        <w:rPr>
          <w:rFonts w:ascii="Arial" w:cs="Arial" w:eastAsia="Arial" w:hAnsi="Arial"/>
          <w:sz w:val="18"/>
          <w:szCs w:val="18"/>
          <w:color w:val="auto"/>
        </w:rPr>
      </w:pPr>
      <w:r>
        <w:rPr>
          <w:rFonts w:ascii="Arial" w:cs="Arial" w:eastAsia="Arial" w:hAnsi="Arial"/>
          <w:sz w:val="18"/>
          <w:szCs w:val="18"/>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139" w:lineRule="exact"/>
        <w:rPr>
          <w:rFonts w:ascii="Arial" w:cs="Arial" w:eastAsia="Arial" w:hAnsi="Arial"/>
          <w:sz w:val="18"/>
          <w:szCs w:val="18"/>
          <w:color w:val="auto"/>
        </w:rPr>
      </w:pPr>
    </w:p>
    <w:p>
      <w:pPr>
        <w:ind w:right="100" w:firstLine="906"/>
        <w:spacing w:after="0" w:line="268" w:lineRule="auto"/>
        <w:tabs>
          <w:tab w:leader="none" w:pos="1147" w:val="left"/>
        </w:tabs>
        <w:numPr>
          <w:ilvl w:val="1"/>
          <w:numId w:val="78"/>
        </w:numPr>
        <w:rPr>
          <w:rFonts w:ascii="Arial" w:cs="Arial" w:eastAsia="Arial" w:hAnsi="Arial"/>
          <w:sz w:val="18"/>
          <w:szCs w:val="18"/>
          <w:color w:val="auto"/>
        </w:rPr>
      </w:pPr>
      <w:r>
        <w:rPr>
          <w:rFonts w:ascii="Arial" w:cs="Arial" w:eastAsia="Arial" w:hAnsi="Arial"/>
          <w:sz w:val="18"/>
          <w:szCs w:val="18"/>
          <w:color w:val="auto"/>
        </w:rPr>
        <w:t>On an annual basis, providing all Covered Personnel a copy of this Code and informing such persons of their duties and obligations hereunder including any supplemental training that may be required from time to time;</w:t>
      </w:r>
    </w:p>
    <w:p>
      <w:pPr>
        <w:spacing w:after="0" w:line="131" w:lineRule="exact"/>
        <w:rPr>
          <w:rFonts w:ascii="Arial" w:cs="Arial" w:eastAsia="Arial" w:hAnsi="Arial"/>
          <w:sz w:val="18"/>
          <w:szCs w:val="18"/>
          <w:color w:val="auto"/>
        </w:rPr>
      </w:pPr>
    </w:p>
    <w:p>
      <w:pPr>
        <w:ind w:left="1160" w:hanging="254"/>
        <w:spacing w:after="0"/>
        <w:tabs>
          <w:tab w:leader="none" w:pos="11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Maintaining or supervising the maintenance of all records and reports required by this Code;</w:t>
      </w:r>
    </w:p>
    <w:p>
      <w:pPr>
        <w:spacing w:after="0" w:line="171" w:lineRule="exact"/>
        <w:rPr>
          <w:rFonts w:ascii="Arial" w:cs="Arial" w:eastAsia="Arial" w:hAnsi="Arial"/>
          <w:sz w:val="18"/>
          <w:szCs w:val="18"/>
          <w:color w:val="auto"/>
        </w:rPr>
      </w:pPr>
    </w:p>
    <w:p>
      <w:pPr>
        <w:ind w:right="360" w:firstLine="906"/>
        <w:spacing w:after="0" w:line="268" w:lineRule="auto"/>
        <w:tabs>
          <w:tab w:leader="none" w:pos="1147" w:val="left"/>
        </w:tabs>
        <w:numPr>
          <w:ilvl w:val="1"/>
          <w:numId w:val="78"/>
        </w:numPr>
        <w:rPr>
          <w:rFonts w:ascii="Arial" w:cs="Arial" w:eastAsia="Arial" w:hAnsi="Arial"/>
          <w:sz w:val="18"/>
          <w:szCs w:val="18"/>
          <w:color w:val="auto"/>
        </w:rPr>
      </w:pPr>
      <w:r>
        <w:rPr>
          <w:rFonts w:ascii="Arial" w:cs="Arial" w:eastAsia="Arial" w:hAnsi="Arial"/>
          <w:sz w:val="18"/>
          <w:szCs w:val="18"/>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131" w:lineRule="exact"/>
        <w:rPr>
          <w:rFonts w:ascii="Arial" w:cs="Arial" w:eastAsia="Arial" w:hAnsi="Arial"/>
          <w:sz w:val="18"/>
          <w:szCs w:val="18"/>
          <w:color w:val="auto"/>
        </w:rPr>
      </w:pPr>
    </w:p>
    <w:p>
      <w:pPr>
        <w:ind w:right="20" w:firstLine="906"/>
        <w:spacing w:after="0" w:line="268" w:lineRule="auto"/>
        <w:tabs>
          <w:tab w:leader="none" w:pos="1147" w:val="left"/>
        </w:tabs>
        <w:numPr>
          <w:ilvl w:val="1"/>
          <w:numId w:val="78"/>
        </w:numPr>
        <w:rPr>
          <w:rFonts w:ascii="Arial" w:cs="Arial" w:eastAsia="Arial" w:hAnsi="Arial"/>
          <w:sz w:val="18"/>
          <w:szCs w:val="18"/>
          <w:color w:val="auto"/>
        </w:rPr>
      </w:pPr>
      <w:r>
        <w:rPr>
          <w:rFonts w:ascii="Arial" w:cs="Arial" w:eastAsia="Arial" w:hAnsi="Arial"/>
          <w:sz w:val="18"/>
          <w:szCs w:val="18"/>
          <w:color w:val="auto"/>
        </w:rPr>
        <w:t>Issuance either personally or with the assistance of counsel as may be appropriate, of any interpretation of this Code that may appear consistent with the objectives of Rule 17j-1 and this Code;</w:t>
      </w:r>
    </w:p>
    <w:p>
      <w:pPr>
        <w:spacing w:after="0" w:line="131" w:lineRule="exact"/>
        <w:rPr>
          <w:rFonts w:ascii="Arial" w:cs="Arial" w:eastAsia="Arial" w:hAnsi="Arial"/>
          <w:sz w:val="18"/>
          <w:szCs w:val="18"/>
          <w:color w:val="auto"/>
        </w:rPr>
      </w:pPr>
    </w:p>
    <w:p>
      <w:pPr>
        <w:ind w:right="60" w:firstLine="906"/>
        <w:spacing w:after="0" w:line="268" w:lineRule="auto"/>
        <w:tabs>
          <w:tab w:leader="none" w:pos="1147" w:val="left"/>
        </w:tabs>
        <w:numPr>
          <w:ilvl w:val="1"/>
          <w:numId w:val="78"/>
        </w:numPr>
        <w:rPr>
          <w:rFonts w:ascii="Arial" w:cs="Arial" w:eastAsia="Arial" w:hAnsi="Arial"/>
          <w:sz w:val="18"/>
          <w:szCs w:val="18"/>
          <w:color w:val="auto"/>
        </w:rPr>
      </w:pPr>
      <w:r>
        <w:rPr>
          <w:rFonts w:ascii="Arial" w:cs="Arial" w:eastAsia="Arial" w:hAnsi="Arial"/>
          <w:sz w:val="18"/>
          <w:szCs w:val="18"/>
          <w:color w:val="auto"/>
        </w:rPr>
        <w:t>Conduct such inspections or investigations as shall reasonably be required to detect and report, with recommendations, any apparent violations of this Code to the board of directors of the Corporation;</w:t>
      </w:r>
    </w:p>
    <w:p>
      <w:pPr>
        <w:spacing w:after="0" w:line="131" w:lineRule="exact"/>
        <w:rPr>
          <w:rFonts w:ascii="Arial" w:cs="Arial" w:eastAsia="Arial" w:hAnsi="Arial"/>
          <w:sz w:val="18"/>
          <w:szCs w:val="18"/>
          <w:color w:val="auto"/>
        </w:rPr>
      </w:pPr>
    </w:p>
    <w:p>
      <w:pPr>
        <w:ind w:right="160" w:firstLine="906"/>
        <w:spacing w:after="0" w:line="331" w:lineRule="auto"/>
        <w:tabs>
          <w:tab w:leader="none" w:pos="1147" w:val="left"/>
        </w:tabs>
        <w:numPr>
          <w:ilvl w:val="1"/>
          <w:numId w:val="78"/>
        </w:numPr>
        <w:rPr>
          <w:rFonts w:ascii="Arial" w:cs="Arial" w:eastAsia="Arial" w:hAnsi="Arial"/>
          <w:sz w:val="16"/>
          <w:szCs w:val="16"/>
          <w:color w:val="auto"/>
        </w:rPr>
      </w:pPr>
      <w:r>
        <w:rPr>
          <w:rFonts w:ascii="Arial" w:cs="Arial" w:eastAsia="Arial" w:hAnsi="Arial"/>
          <w:sz w:val="16"/>
          <w:szCs w:val="16"/>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127" w:lineRule="exact"/>
        <w:rPr>
          <w:rFonts w:ascii="Arial" w:cs="Arial" w:eastAsia="Arial" w:hAnsi="Arial"/>
          <w:sz w:val="16"/>
          <w:szCs w:val="16"/>
          <w:color w:val="auto"/>
        </w:rPr>
      </w:pPr>
    </w:p>
    <w:p>
      <w:pPr>
        <w:ind w:left="900" w:right="200" w:hanging="447"/>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Chief Financial Officer shall maintain and cause to be maintained in an easily accessible place at the principal place of business of the 17j-1 Organization, the following records:</w:t>
      </w:r>
    </w:p>
    <w:p>
      <w:pPr>
        <w:spacing w:after="0" w:line="50" w:lineRule="exact"/>
        <w:rPr>
          <w:rFonts w:ascii="Arial" w:cs="Arial" w:eastAsia="Arial" w:hAnsi="Arial"/>
          <w:sz w:val="18"/>
          <w:szCs w:val="18"/>
          <w:color w:val="auto"/>
        </w:rPr>
      </w:pPr>
    </w:p>
    <w:p>
      <w:pPr>
        <w:ind w:right="160" w:firstLine="906"/>
        <w:spacing w:after="0" w:line="268" w:lineRule="auto"/>
        <w:tabs>
          <w:tab w:leader="none" w:pos="1147"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copy of all codes of ethics adopted by the Corporation or the Adviser and its affiliates, as the case may be, pursuant to Rule 17j-1 that have been in effect at any time during the past five (5) years;</w:t>
      </w:r>
    </w:p>
    <w:p>
      <w:pPr>
        <w:spacing w:after="0" w:line="131" w:lineRule="exact"/>
        <w:rPr>
          <w:rFonts w:ascii="Arial" w:cs="Arial" w:eastAsia="Arial" w:hAnsi="Arial"/>
          <w:sz w:val="18"/>
          <w:szCs w:val="18"/>
          <w:color w:val="auto"/>
        </w:rPr>
      </w:pPr>
    </w:p>
    <w:p>
      <w:pPr>
        <w:ind w:right="80" w:firstLine="906"/>
        <w:spacing w:after="0" w:line="268" w:lineRule="auto"/>
        <w:tabs>
          <w:tab w:leader="none" w:pos="1147"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record of each violation of such codes of ethics and of any action taken as a result of such violation for at least five (5) years after the end of the fiscal year in which the violation occurs;</w:t>
      </w:r>
    </w:p>
    <w:p>
      <w:pPr>
        <w:spacing w:after="0" w:line="131" w:lineRule="exact"/>
        <w:rPr>
          <w:rFonts w:ascii="Arial" w:cs="Arial" w:eastAsia="Arial" w:hAnsi="Arial"/>
          <w:sz w:val="18"/>
          <w:szCs w:val="18"/>
          <w:color w:val="auto"/>
        </w:rPr>
      </w:pPr>
    </w:p>
    <w:p>
      <w:pPr>
        <w:ind w:right="200" w:firstLine="906"/>
        <w:spacing w:after="0" w:line="268" w:lineRule="auto"/>
        <w:tabs>
          <w:tab w:leader="none" w:pos="1147"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copy of each report made by an Access Person for at least two (2) years after the end of the fiscal year in which the report is made, and for an additional three (3) years in a place that need not be easily accessible;</w:t>
      </w:r>
    </w:p>
    <w:p>
      <w:pPr>
        <w:spacing w:after="0" w:line="131" w:lineRule="exact"/>
        <w:rPr>
          <w:rFonts w:ascii="Arial" w:cs="Arial" w:eastAsia="Arial" w:hAnsi="Arial"/>
          <w:sz w:val="18"/>
          <w:szCs w:val="18"/>
          <w:color w:val="auto"/>
        </w:rPr>
      </w:pPr>
    </w:p>
    <w:p>
      <w:pPr>
        <w:ind w:right="240" w:firstLine="906"/>
        <w:spacing w:after="0" w:line="331" w:lineRule="auto"/>
        <w:tabs>
          <w:tab w:leader="none" w:pos="1147" w:val="left"/>
        </w:tabs>
        <w:numPr>
          <w:ilvl w:val="1"/>
          <w:numId w:val="78"/>
        </w:numPr>
        <w:rPr>
          <w:rFonts w:ascii="Arial" w:cs="Arial" w:eastAsia="Arial" w:hAnsi="Arial"/>
          <w:sz w:val="16"/>
          <w:szCs w:val="16"/>
          <w:color w:val="auto"/>
        </w:rPr>
      </w:pPr>
      <w:r>
        <w:rPr>
          <w:rFonts w:ascii="Arial" w:cs="Arial" w:eastAsia="Arial" w:hAnsi="Arial"/>
          <w:sz w:val="16"/>
          <w:szCs w:val="16"/>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86" w:lineRule="exact"/>
        <w:rPr>
          <w:rFonts w:ascii="Arial" w:cs="Arial" w:eastAsia="Arial" w:hAnsi="Arial"/>
          <w:sz w:val="16"/>
          <w:szCs w:val="16"/>
          <w:color w:val="auto"/>
        </w:rPr>
      </w:pPr>
    </w:p>
    <w:p>
      <w:pPr>
        <w:ind w:right="60" w:firstLine="906"/>
        <w:spacing w:after="0" w:line="268" w:lineRule="auto"/>
        <w:tabs>
          <w:tab w:leader="none" w:pos="1147" w:val="left"/>
        </w:tabs>
        <w:numPr>
          <w:ilvl w:val="1"/>
          <w:numId w:val="78"/>
        </w:numPr>
        <w:rPr>
          <w:rFonts w:ascii="Arial" w:cs="Arial" w:eastAsia="Arial" w:hAnsi="Arial"/>
          <w:sz w:val="18"/>
          <w:szCs w:val="18"/>
          <w:color w:val="auto"/>
        </w:rPr>
      </w:pPr>
      <w:r>
        <w:rPr>
          <w:rFonts w:ascii="Arial" w:cs="Arial" w:eastAsia="Arial" w:hAnsi="Arial"/>
          <w:sz w:val="18"/>
          <w:szCs w:val="18"/>
          <w:color w:val="auto"/>
        </w:rPr>
        <w:t>A list of all persons who are, or within the past five (5) years have been, required to make reports pursuant to the Rule and this Code of Ethics, or who are or were responsible for reviewing such reports;</w:t>
      </w:r>
    </w:p>
    <w:p>
      <w:pPr>
        <w:sectPr>
          <w:pgSz w:w="11900" w:h="16838" w:orient="portrait"/>
          <w:cols w:equalWidth="0" w:num="1">
            <w:col w:w="11240"/>
          </w:cols>
          <w:pgMar w:left="320" w:top="274" w:right="339" w:bottom="1440" w:gutter="0" w:footer="0" w:header="0"/>
        </w:sectPr>
      </w:pPr>
    </w:p>
    <w:bookmarkStart w:id="96" w:name="page97"/>
    <w:bookmarkEnd w:id="96"/>
    <w:p>
      <w:pPr>
        <w:ind w:right="500" w:firstLine="906"/>
        <w:spacing w:after="0" w:line="268" w:lineRule="auto"/>
        <w:tabs>
          <w:tab w:leader="none" w:pos="1147" w:val="left"/>
        </w:tabs>
        <w:numPr>
          <w:ilvl w:val="1"/>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copy of each report required by Section VII (B) for at least two (2) years after the end of the fiscal year in which it is made, and for an additional three (3) years in a place that need not be easily accessible; and</w:t>
      </w:r>
    </w:p>
    <w:p>
      <w:pPr>
        <w:spacing w:after="0" w:line="131" w:lineRule="exact"/>
        <w:rPr>
          <w:rFonts w:ascii="Arial" w:cs="Arial" w:eastAsia="Arial" w:hAnsi="Arial"/>
          <w:sz w:val="18"/>
          <w:szCs w:val="18"/>
          <w:color w:val="auto"/>
        </w:rPr>
      </w:pPr>
    </w:p>
    <w:p>
      <w:pPr>
        <w:ind w:right="200" w:firstLine="906"/>
        <w:spacing w:after="0" w:line="331" w:lineRule="auto"/>
        <w:tabs>
          <w:tab w:leader="none" w:pos="1147" w:val="left"/>
        </w:tabs>
        <w:numPr>
          <w:ilvl w:val="1"/>
          <w:numId w:val="79"/>
        </w:numPr>
        <w:rPr>
          <w:rFonts w:ascii="Arial" w:cs="Arial" w:eastAsia="Arial" w:hAnsi="Arial"/>
          <w:sz w:val="16"/>
          <w:szCs w:val="16"/>
          <w:color w:val="auto"/>
        </w:rPr>
      </w:pPr>
      <w:r>
        <w:rPr>
          <w:rFonts w:ascii="Arial" w:cs="Arial" w:eastAsia="Arial" w:hAnsi="Arial"/>
          <w:sz w:val="16"/>
          <w:szCs w:val="16"/>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127" w:lineRule="exact"/>
        <w:rPr>
          <w:rFonts w:ascii="Arial" w:cs="Arial" w:eastAsia="Arial" w:hAnsi="Arial"/>
          <w:sz w:val="16"/>
          <w:szCs w:val="16"/>
          <w:color w:val="auto"/>
        </w:rPr>
      </w:pPr>
    </w:p>
    <w:p>
      <w:pPr>
        <w:ind w:left="900" w:hanging="447"/>
        <w:spacing w:after="0" w:line="391" w:lineRule="auto"/>
        <w:tabs>
          <w:tab w:leader="none" w:pos="893"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This Code may not be amended or modified except in a written form that is specifically approved by majority vote of the Independent Directors. This Joint Code of Ethics, originally adopted December 12, 2007, is annually reviewed and approved by the Board of Directors of the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including a majority of the Independent Directors.</w:t>
      </w:r>
    </w:p>
    <w:p>
      <w:pPr>
        <w:sectPr>
          <w:pgSz w:w="11900" w:h="16838" w:orient="portrait"/>
          <w:cols w:equalWidth="0" w:num="1">
            <w:col w:w="11240"/>
          </w:cols>
          <w:pgMar w:left="320" w:top="280"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7680" w:type="dxa"/>
            <w:vAlign w:val="bottom"/>
          </w:tcPr>
          <w:p>
            <w:pPr>
              <w:ind w:left="680"/>
              <w:spacing w:after="0"/>
              <w:rPr>
                <w:sz w:val="20"/>
                <w:szCs w:val="20"/>
                <w:color w:val="auto"/>
              </w:rPr>
            </w:pPr>
            <w:r>
              <w:rPr>
                <w:rFonts w:ascii="Arial" w:cs="Arial" w:eastAsia="Arial" w:hAnsi="Arial"/>
                <w:sz w:val="18"/>
                <w:szCs w:val="18"/>
                <w:b w:val="1"/>
                <w:bCs w:val="1"/>
                <w:color w:val="auto"/>
              </w:rPr>
              <w:t>Persons controlled by or under common control with the Registrant</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0100" w:type="dxa"/>
            <w:vAlign w:val="bottom"/>
            <w:gridSpan w:val="2"/>
          </w:tcPr>
          <w:p>
            <w:pPr>
              <w:spacing w:after="0"/>
              <w:rPr>
                <w:sz w:val="20"/>
                <w:szCs w:val="20"/>
                <w:color w:val="auto"/>
              </w:rPr>
            </w:pPr>
            <w:r>
              <w:rPr>
                <w:rFonts w:ascii="Arial" w:cs="Arial" w:eastAsia="Arial" w:hAnsi="Arial"/>
                <w:sz w:val="18"/>
                <w:szCs w:val="18"/>
                <w:color w:val="auto"/>
              </w:rPr>
              <w:t>The following lists sets forth each of the companies considered to be controlled by us as defined by the 1940 Act.</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4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3"/>
              </w:rPr>
              <w:t>Voting</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3"/>
              </w:rPr>
              <w:t>Securities</w:t>
            </w:r>
          </w:p>
        </w:tc>
        <w:tc>
          <w:tcPr>
            <w:tcW w:w="0" w:type="dxa"/>
            <w:vAlign w:val="bottom"/>
          </w:tcPr>
          <w:p>
            <w:pPr>
              <w:spacing w:after="0"/>
              <w:rPr>
                <w:sz w:val="1"/>
                <w:szCs w:val="1"/>
                <w:color w:val="auto"/>
              </w:rPr>
            </w:pPr>
          </w:p>
        </w:tc>
      </w:tr>
      <w:tr>
        <w:trPr>
          <w:trHeight w:val="148"/>
        </w:trPr>
        <w:tc>
          <w:tcPr>
            <w:tcW w:w="2420" w:type="dxa"/>
            <w:vAlign w:val="bottom"/>
            <w:vMerge w:val="restart"/>
          </w:tcPr>
          <w:p>
            <w:pPr>
              <w:spacing w:after="0"/>
              <w:rPr>
                <w:sz w:val="20"/>
                <w:szCs w:val="20"/>
                <w:color w:val="auto"/>
              </w:rPr>
            </w:pPr>
            <w:r>
              <w:rPr>
                <w:rFonts w:ascii="Arial" w:cs="Arial" w:eastAsia="Arial" w:hAnsi="Arial"/>
                <w:sz w:val="13"/>
                <w:szCs w:val="13"/>
                <w:b w:val="1"/>
                <w:bCs w:val="1"/>
                <w:color w:val="auto"/>
                <w:w w:val="98"/>
              </w:rPr>
              <w:t>Name of entity and place of jurisdiction</w:t>
            </w:r>
          </w:p>
        </w:tc>
        <w:tc>
          <w:tcPr>
            <w:tcW w:w="7680" w:type="dxa"/>
            <w:vAlign w:val="bottom"/>
            <w:vMerge w:val="restart"/>
          </w:tcPr>
          <w:p>
            <w:pPr>
              <w:spacing w:after="0"/>
              <w:rPr>
                <w:sz w:val="12"/>
                <w:szCs w:val="12"/>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6"/>
              </w:rPr>
              <w:t>Owned</w:t>
            </w:r>
          </w:p>
        </w:tc>
        <w:tc>
          <w:tcPr>
            <w:tcW w:w="0" w:type="dxa"/>
            <w:vAlign w:val="bottom"/>
          </w:tcPr>
          <w:p>
            <w:pPr>
              <w:spacing w:after="0"/>
              <w:rPr>
                <w:sz w:val="1"/>
                <w:szCs w:val="1"/>
                <w:color w:val="auto"/>
              </w:rPr>
            </w:pPr>
          </w:p>
        </w:tc>
      </w:tr>
      <w:tr>
        <w:trPr>
          <w:trHeight w:val="153"/>
        </w:trPr>
        <w:tc>
          <w:tcPr>
            <w:tcW w:w="2420" w:type="dxa"/>
            <w:vAlign w:val="bottom"/>
            <w:tcBorders>
              <w:bottom w:val="single" w:sz="8" w:color="auto"/>
            </w:tcBorders>
            <w:vMerge w:val="continue"/>
          </w:tcPr>
          <w:p>
            <w:pPr>
              <w:spacing w:after="0"/>
              <w:rPr>
                <w:sz w:val="12"/>
                <w:szCs w:val="12"/>
                <w:color w:val="auto"/>
              </w:rPr>
            </w:pPr>
          </w:p>
        </w:tc>
        <w:tc>
          <w:tcPr>
            <w:tcW w:w="7680" w:type="dxa"/>
            <w:vAlign w:val="bottom"/>
            <w:vMerge w:val="continue"/>
          </w:tcPr>
          <w:p>
            <w:pPr>
              <w:spacing w:after="0"/>
              <w:rPr>
                <w:sz w:val="12"/>
                <w:szCs w:val="12"/>
                <w:color w:val="auto"/>
              </w:rPr>
            </w:pPr>
          </w:p>
        </w:tc>
        <w:tc>
          <w:tcPr>
            <w:tcW w:w="1140" w:type="dxa"/>
            <w:vAlign w:val="bottom"/>
            <w:gridSpan w:val="2"/>
          </w:tcPr>
          <w:p>
            <w:pPr>
              <w:jc w:val="center"/>
              <w:ind w:right="480"/>
              <w:spacing w:after="0" w:line="148"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20"/>
        </w:trPr>
        <w:tc>
          <w:tcPr>
            <w:tcW w:w="10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PennantPark SBIC LP (Delaware)</w:t>
            </w:r>
          </w:p>
        </w:tc>
        <w:tc>
          <w:tcPr>
            <w:tcW w:w="6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100" w:type="dxa"/>
            <w:vAlign w:val="bottom"/>
            <w:gridSpan w:val="2"/>
            <w:vMerge w:val="continue"/>
            <w:shd w:val="clear" w:color="auto" w:fill="CCEEFF"/>
          </w:tcPr>
          <w:p>
            <w:pPr>
              <w:spacing w:after="0"/>
              <w:rPr>
                <w:sz w:val="17"/>
                <w:szCs w:val="17"/>
                <w:color w:val="auto"/>
              </w:rPr>
            </w:pPr>
          </w:p>
        </w:tc>
        <w:tc>
          <w:tcPr>
            <w:tcW w:w="114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100%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PennantPark GP, LLC (Delaware)</w:t>
            </w: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PennantPark SBIC II LP (Delaware)</w:t>
            </w: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4"/>
              </w:rPr>
              <w:t>100%</w:t>
            </w:r>
            <w:r>
              <w:rPr>
                <w:rFonts w:ascii="Arial" w:cs="Arial" w:eastAsia="Arial" w:hAnsi="Arial"/>
                <w:sz w:val="11"/>
                <w:szCs w:val="11"/>
                <w:color w:val="auto"/>
                <w:w w:val="94"/>
              </w:rPr>
              <w:t>(1),(2)</w:t>
            </w: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PennantPark GP II, LLC (Delaware)</w:t>
            </w: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100%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PNNT Acentia, LLC (Delaware)</w:t>
            </w: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PNNT Alabama Holdings Inc. (Delaware)</w:t>
            </w: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100%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PNNT CI (Galls) Prime Investment Holdings, LLC (Delaware)</w:t>
            </w: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0100" w:type="dxa"/>
            <w:vAlign w:val="bottom"/>
            <w:gridSpan w:val="2"/>
          </w:tcPr>
          <w:p>
            <w:pPr>
              <w:spacing w:after="0"/>
              <w:rPr>
                <w:sz w:val="20"/>
                <w:szCs w:val="20"/>
                <w:color w:val="auto"/>
              </w:rPr>
            </w:pPr>
            <w:r>
              <w:rPr>
                <w:rFonts w:ascii="Arial" w:cs="Arial" w:eastAsia="Arial" w:hAnsi="Arial"/>
                <w:sz w:val="18"/>
                <w:szCs w:val="18"/>
                <w:color w:val="auto"/>
              </w:rPr>
              <w:t>PNNT Transportation 100 Holdco, LLC (Delaware)</w:t>
            </w:r>
          </w:p>
        </w:tc>
        <w:tc>
          <w:tcPr>
            <w:tcW w:w="1140" w:type="dxa"/>
            <w:vAlign w:val="bottom"/>
            <w:gridSpan w:val="2"/>
          </w:tcPr>
          <w:p>
            <w:pPr>
              <w:ind w:left="4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0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SuttonPark Holdings, Inc. (Delaware)</w:t>
            </w:r>
          </w:p>
        </w:tc>
        <w:tc>
          <w:tcPr>
            <w:tcW w:w="1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424"/>
        </w:trPr>
        <w:tc>
          <w:tcPr>
            <w:tcW w:w="10100" w:type="dxa"/>
            <w:vAlign w:val="bottom"/>
            <w:gridSpan w:val="2"/>
          </w:tcPr>
          <w:p>
            <w:pPr>
              <w:spacing w:after="0"/>
              <w:rPr>
                <w:sz w:val="20"/>
                <w:szCs w:val="20"/>
                <w:color w:val="auto"/>
              </w:rPr>
            </w:pPr>
            <w:r>
              <w:rPr>
                <w:rFonts w:ascii="Arial" w:cs="Arial" w:eastAsia="Arial" w:hAnsi="Arial"/>
                <w:sz w:val="18"/>
                <w:szCs w:val="18"/>
                <w:color w:val="auto"/>
              </w:rPr>
              <w:t>SuttonPark Capital LLC (Delaware)</w:t>
            </w:r>
          </w:p>
        </w:tc>
        <w:tc>
          <w:tcPr>
            <w:tcW w:w="1140" w:type="dxa"/>
            <w:vAlign w:val="bottom"/>
            <w:gridSpan w:val="2"/>
          </w:tcPr>
          <w:p>
            <w:pPr>
              <w:ind w:left="360"/>
              <w:spacing w:after="0"/>
              <w:rPr>
                <w:sz w:val="20"/>
                <w:szCs w:val="20"/>
                <w:color w:val="auto"/>
              </w:rPr>
            </w:pPr>
            <w:r>
              <w:rPr>
                <w:rFonts w:ascii="Arial" w:cs="Arial" w:eastAsia="Arial" w:hAnsi="Arial"/>
                <w:sz w:val="35"/>
                <w:szCs w:val="35"/>
                <w:color w:val="auto"/>
                <w:vertAlign w:val="subscript"/>
              </w:rPr>
              <w:t>N/A</w:t>
            </w:r>
            <w:r>
              <w:rPr>
                <w:rFonts w:ascii="Arial" w:cs="Arial" w:eastAsia="Arial" w:hAnsi="Arial"/>
                <w:sz w:val="11"/>
                <w:szCs w:val="11"/>
                <w:color w:val="auto"/>
              </w:rPr>
              <w:t>(4)</w:t>
            </w: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These entities are directly owned 99% by us and 1% by their general partners, which is effectively wholly-owned by us.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entity is non-operational.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is a controlled investment.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entity is indirectly owned by us and directly owned by SuttonPark Holdings, Inc.</w:t>
      </w:r>
    </w:p>
    <w:p>
      <w:pPr>
        <w:sectPr>
          <w:pgSz w:w="11900" w:h="16838" w:orient="portrait"/>
          <w:cols w:equalWidth="0" w:num="1">
            <w:col w:w="11240"/>
          </w:cols>
          <w:pgMar w:left="320" w:top="125" w:right="339" w:bottom="1440" w:gutter="0" w:footer="0" w:header="0"/>
        </w:sectPr>
      </w:pPr>
    </w:p>
    <w:bookmarkStart w:id="98" w:name="page99"/>
    <w:bookmarkEnd w:id="98"/>
    <w:p>
      <w:pPr>
        <w:ind w:left="9940"/>
        <w:spacing w:after="0"/>
        <w:rPr>
          <w:sz w:val="20"/>
          <w:szCs w:val="20"/>
          <w:color w:val="auto"/>
        </w:rPr>
      </w:pPr>
      <w:r>
        <w:rPr>
          <w:rFonts w:ascii="Arial" w:cs="Arial" w:eastAsia="Arial" w:hAnsi="Arial"/>
          <w:sz w:val="13"/>
          <w:szCs w:val="13"/>
          <w:b w:val="1"/>
          <w:bCs w:val="1"/>
          <w:color w:val="auto"/>
        </w:rPr>
        <w:t>EXHIBIT 31.1</w:t>
      </w:r>
    </w:p>
    <w:p>
      <w:pPr>
        <w:spacing w:after="0" w:line="134"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CERTIFICATION PURSUANT TO SECTION 302</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CHIEF EXECUTIVE OFFICER CERTIFICATION</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I, Arthur H. Penn, Chairman of the Board and Chief Executive Officer of PennantPark Investment Corporation, certify that:</w:t>
      </w:r>
    </w:p>
    <w:p>
      <w:pPr>
        <w:spacing w:after="0" w:line="80" w:lineRule="exact"/>
        <w:rPr>
          <w:sz w:val="20"/>
          <w:szCs w:val="20"/>
          <w:color w:val="auto"/>
        </w:rPr>
      </w:pPr>
    </w:p>
    <w:p>
      <w:pPr>
        <w:ind w:left="700" w:hanging="130"/>
        <w:spacing w:after="0"/>
        <w:tabs>
          <w:tab w:leader="none" w:pos="700" w:val="left"/>
        </w:tabs>
        <w:numPr>
          <w:ilvl w:val="0"/>
          <w:numId w:val="8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PennantPark Investment Corporation;</w:t>
      </w:r>
    </w:p>
    <w:p>
      <w:pPr>
        <w:spacing w:after="0" w:line="134" w:lineRule="exact"/>
        <w:rPr>
          <w:rFonts w:ascii="Arial" w:cs="Arial" w:eastAsia="Arial" w:hAnsi="Arial"/>
          <w:sz w:val="13"/>
          <w:szCs w:val="13"/>
          <w:color w:val="auto"/>
        </w:rPr>
      </w:pPr>
    </w:p>
    <w:p>
      <w:pPr>
        <w:ind w:left="560" w:right="140" w:firstLine="10"/>
        <w:spacing w:after="0" w:line="274" w:lineRule="auto"/>
        <w:tabs>
          <w:tab w:leader="none" w:pos="695" w:val="left"/>
        </w:tabs>
        <w:numPr>
          <w:ilvl w:val="0"/>
          <w:numId w:val="8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3"/>
          <w:szCs w:val="13"/>
          <w:color w:val="auto"/>
        </w:rPr>
      </w:pPr>
    </w:p>
    <w:p>
      <w:pPr>
        <w:ind w:left="560" w:right="200" w:firstLine="10"/>
        <w:spacing w:after="0" w:line="274" w:lineRule="auto"/>
        <w:tabs>
          <w:tab w:leader="none" w:pos="695" w:val="left"/>
        </w:tabs>
        <w:numPr>
          <w:ilvl w:val="0"/>
          <w:numId w:val="8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3"/>
          <w:szCs w:val="13"/>
          <w:color w:val="auto"/>
        </w:rPr>
      </w:pPr>
    </w:p>
    <w:p>
      <w:pPr>
        <w:ind w:left="560" w:right="40" w:firstLine="10"/>
        <w:spacing w:after="0" w:line="274" w:lineRule="auto"/>
        <w:tabs>
          <w:tab w:leader="none" w:pos="695"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Arial" w:cs="Arial" w:eastAsia="Arial" w:hAnsi="Arial"/>
          <w:sz w:val="13"/>
          <w:szCs w:val="13"/>
          <w:color w:val="auto"/>
        </w:rPr>
      </w:pPr>
    </w:p>
    <w:p>
      <w:pPr>
        <w:ind w:left="1020" w:right="40" w:hanging="1"/>
        <w:spacing w:after="0" w:line="305" w:lineRule="auto"/>
        <w:tabs>
          <w:tab w:leader="none" w:pos="1159" w:val="left"/>
        </w:tabs>
        <w:numPr>
          <w:ilvl w:val="1"/>
          <w:numId w:val="8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ind w:left="1020" w:right="240" w:hanging="1"/>
        <w:spacing w:after="0" w:line="305" w:lineRule="auto"/>
        <w:tabs>
          <w:tab w:leader="none" w:pos="1166" w:val="left"/>
        </w:tabs>
        <w:numPr>
          <w:ilvl w:val="1"/>
          <w:numId w:val="8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ind w:left="1020" w:right="420" w:hanging="1"/>
        <w:spacing w:after="0" w:line="274" w:lineRule="auto"/>
        <w:tabs>
          <w:tab w:leader="none" w:pos="1159" w:val="left"/>
        </w:tabs>
        <w:numPr>
          <w:ilvl w:val="1"/>
          <w:numId w:val="8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Arial" w:cs="Arial" w:eastAsia="Arial" w:hAnsi="Arial"/>
          <w:sz w:val="13"/>
          <w:szCs w:val="13"/>
          <w:color w:val="auto"/>
        </w:rPr>
      </w:pPr>
    </w:p>
    <w:p>
      <w:pPr>
        <w:ind w:left="1020" w:right="80" w:hanging="1"/>
        <w:spacing w:after="0" w:line="317" w:lineRule="auto"/>
        <w:tabs>
          <w:tab w:leader="none" w:pos="1166" w:val="left"/>
        </w:tabs>
        <w:numPr>
          <w:ilvl w:val="1"/>
          <w:numId w:val="8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2"/>
          <w:szCs w:val="12"/>
          <w:color w:val="auto"/>
        </w:rPr>
      </w:pPr>
    </w:p>
    <w:p>
      <w:pPr>
        <w:ind w:left="560" w:firstLine="10"/>
        <w:spacing w:after="0" w:line="274" w:lineRule="auto"/>
        <w:tabs>
          <w:tab w:leader="none" w:pos="695"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Arial" w:cs="Arial" w:eastAsia="Arial" w:hAnsi="Arial"/>
          <w:sz w:val="13"/>
          <w:szCs w:val="13"/>
          <w:color w:val="auto"/>
        </w:rPr>
      </w:pPr>
    </w:p>
    <w:p>
      <w:pPr>
        <w:ind w:left="1020" w:right="120" w:hanging="1"/>
        <w:spacing w:after="0" w:line="274" w:lineRule="auto"/>
        <w:tabs>
          <w:tab w:leader="none" w:pos="1159" w:val="left"/>
        </w:tabs>
        <w:numPr>
          <w:ilvl w:val="1"/>
          <w:numId w:val="8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Arial" w:cs="Arial" w:eastAsia="Arial" w:hAnsi="Arial"/>
          <w:sz w:val="13"/>
          <w:szCs w:val="13"/>
          <w:color w:val="auto"/>
        </w:rPr>
      </w:pPr>
    </w:p>
    <w:p>
      <w:pPr>
        <w:ind w:left="1160" w:hanging="141"/>
        <w:spacing w:after="0"/>
        <w:tabs>
          <w:tab w:leader="none" w:pos="1160" w:val="left"/>
        </w:tabs>
        <w:numPr>
          <w:ilvl w:val="1"/>
          <w:numId w:val="8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Date: November 14, 2012</w:t>
      </w:r>
    </w:p>
    <w:p>
      <w:pPr>
        <w:spacing w:after="0" w:line="148" w:lineRule="exact"/>
        <w:rPr>
          <w:sz w:val="20"/>
          <w:szCs w:val="20"/>
          <w:color w:val="auto"/>
        </w:rPr>
      </w:pPr>
    </w:p>
    <w:p>
      <w:pPr>
        <w:spacing w:after="0"/>
        <w:tabs>
          <w:tab w:leader="none" w:pos="1740" w:val="left"/>
          <w:tab w:leader="none" w:pos="2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w:t>
      </w:r>
      <w:r>
        <w:rPr>
          <w:sz w:val="20"/>
          <w:szCs w:val="20"/>
          <w:color w:val="auto"/>
        </w:rPr>
        <w:tab/>
      </w:r>
      <w:r>
        <w:rPr>
          <w:rFonts w:ascii="Arial" w:cs="Arial" w:eastAsia="Arial" w:hAnsi="Arial"/>
          <w:sz w:val="12"/>
          <w:szCs w:val="12"/>
          <w:color w:val="auto"/>
        </w:rPr>
        <w:t>A</w:t>
      </w:r>
      <w:r>
        <w:rPr>
          <w:rFonts w:ascii="Arial" w:cs="Arial" w:eastAsia="Arial" w:hAnsi="Arial"/>
          <w:sz w:val="10"/>
          <w:szCs w:val="10"/>
          <w:color w:val="auto"/>
        </w:rPr>
        <w:t>RTHUR</w:t>
      </w:r>
      <w:r>
        <w:rPr>
          <w:rFonts w:ascii="Arial" w:cs="Arial" w:eastAsia="Arial" w:hAnsi="Arial"/>
          <w:sz w:val="12"/>
          <w:szCs w:val="12"/>
          <w:color w:val="auto"/>
        </w:rPr>
        <w:t xml:space="preserve"> H. P</w:t>
      </w:r>
      <w:r>
        <w:rPr>
          <w:rFonts w:ascii="Arial" w:cs="Arial" w:eastAsia="Arial" w:hAnsi="Arial"/>
          <w:sz w:val="10"/>
          <w:szCs w:val="10"/>
          <w:color w:val="auto"/>
        </w:rPr>
        <w:t>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6350</wp:posOffset>
            </wp:positionV>
            <wp:extent cx="26746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4" w:lineRule="exact"/>
        <w:rPr>
          <w:sz w:val="20"/>
          <w:szCs w:val="20"/>
          <w:color w:val="auto"/>
        </w:rPr>
      </w:pPr>
    </w:p>
    <w:p>
      <w:pPr>
        <w:jc w:val="center"/>
        <w:ind w:right="6460"/>
        <w:spacing w:after="0"/>
        <w:rPr>
          <w:sz w:val="20"/>
          <w:szCs w:val="20"/>
          <w:color w:val="auto"/>
        </w:rPr>
      </w:pPr>
      <w:r>
        <w:rPr>
          <w:rFonts w:ascii="Arial" w:cs="Arial" w:eastAsia="Arial" w:hAnsi="Arial"/>
          <w:sz w:val="13"/>
          <w:szCs w:val="13"/>
          <w:b w:val="1"/>
          <w:bCs w:val="1"/>
          <w:color w:val="auto"/>
        </w:rPr>
        <w:t>Arthur H. Penn</w:t>
      </w:r>
    </w:p>
    <w:p>
      <w:pPr>
        <w:spacing w:after="0" w:line="12" w:lineRule="exact"/>
        <w:rPr>
          <w:sz w:val="20"/>
          <w:szCs w:val="20"/>
          <w:color w:val="auto"/>
        </w:rPr>
      </w:pPr>
    </w:p>
    <w:p>
      <w:pPr>
        <w:jc w:val="center"/>
        <w:ind w:right="6460"/>
        <w:spacing w:after="0"/>
        <w:rPr>
          <w:sz w:val="20"/>
          <w:szCs w:val="20"/>
          <w:color w:val="auto"/>
        </w:rPr>
      </w:pPr>
      <w:r>
        <w:rPr>
          <w:rFonts w:ascii="Arial" w:cs="Arial" w:eastAsia="Arial" w:hAnsi="Arial"/>
          <w:sz w:val="13"/>
          <w:szCs w:val="13"/>
          <w:b w:val="1"/>
          <w:bCs w:val="1"/>
          <w:color w:val="auto"/>
        </w:rPr>
        <w:t>Chairman of the Board and</w:t>
      </w:r>
    </w:p>
    <w:p>
      <w:pPr>
        <w:jc w:val="center"/>
        <w:ind w:right="6460"/>
        <w:spacing w:after="0"/>
        <w:rPr>
          <w:sz w:val="20"/>
          <w:szCs w:val="20"/>
          <w:color w:val="auto"/>
        </w:rPr>
      </w:pPr>
      <w:r>
        <w:rPr>
          <w:rFonts w:ascii="Arial" w:cs="Arial" w:eastAsia="Arial" w:hAnsi="Arial"/>
          <w:sz w:val="13"/>
          <w:szCs w:val="13"/>
          <w:b w:val="1"/>
          <w:bCs w:val="1"/>
          <w:color w:val="auto"/>
        </w:rPr>
        <w:t>Chief Executive Officer</w:t>
      </w:r>
    </w:p>
    <w:p>
      <w:pPr>
        <w:sectPr>
          <w:pgSz w:w="11900" w:h="16838" w:orient="portrait"/>
          <w:cols w:equalWidth="0" w:num="1">
            <w:col w:w="11220"/>
          </w:cols>
          <w:pgMar w:left="320" w:top="127" w:right="359" w:bottom="1440" w:gutter="0" w:footer="0" w:header="0"/>
        </w:sectPr>
      </w:pPr>
    </w:p>
    <w:bookmarkStart w:id="99" w:name="page100"/>
    <w:bookmarkEnd w:id="99"/>
    <w:p>
      <w:pPr>
        <w:ind w:left="9940"/>
        <w:spacing w:after="0"/>
        <w:rPr>
          <w:sz w:val="20"/>
          <w:szCs w:val="20"/>
          <w:color w:val="auto"/>
        </w:rPr>
      </w:pPr>
      <w:r>
        <w:rPr>
          <w:rFonts w:ascii="Arial" w:cs="Arial" w:eastAsia="Arial" w:hAnsi="Arial"/>
          <w:sz w:val="13"/>
          <w:szCs w:val="13"/>
          <w:b w:val="1"/>
          <w:bCs w:val="1"/>
          <w:color w:val="auto"/>
        </w:rPr>
        <w:t>EXHIBIT 31.2</w:t>
      </w:r>
    </w:p>
    <w:p>
      <w:pPr>
        <w:spacing w:after="0" w:line="134"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CERTIFICATION PURSUANT TO SECTION 302</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CHIEF FINANCIAL OFFICER CERTIFICATION</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I, Aviv Efrat, Chief Financial Officer of PennantPark Investment Corporation, certify that:</w:t>
      </w:r>
    </w:p>
    <w:p>
      <w:pPr>
        <w:spacing w:after="0" w:line="80" w:lineRule="exact"/>
        <w:rPr>
          <w:sz w:val="20"/>
          <w:szCs w:val="20"/>
          <w:color w:val="auto"/>
        </w:rPr>
      </w:pPr>
    </w:p>
    <w:p>
      <w:pPr>
        <w:ind w:left="700" w:hanging="130"/>
        <w:spacing w:after="0"/>
        <w:tabs>
          <w:tab w:leader="none" w:pos="700" w:val="left"/>
        </w:tabs>
        <w:numPr>
          <w:ilvl w:val="0"/>
          <w:numId w:val="83"/>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PennantPark Investment Corporation;</w:t>
      </w:r>
    </w:p>
    <w:p>
      <w:pPr>
        <w:spacing w:after="0" w:line="134" w:lineRule="exact"/>
        <w:rPr>
          <w:rFonts w:ascii="Arial" w:cs="Arial" w:eastAsia="Arial" w:hAnsi="Arial"/>
          <w:sz w:val="13"/>
          <w:szCs w:val="13"/>
          <w:color w:val="auto"/>
        </w:rPr>
      </w:pPr>
    </w:p>
    <w:p>
      <w:pPr>
        <w:ind w:left="560" w:right="140" w:firstLine="10"/>
        <w:spacing w:after="0" w:line="274" w:lineRule="auto"/>
        <w:tabs>
          <w:tab w:leader="none" w:pos="695" w:val="left"/>
        </w:tabs>
        <w:numPr>
          <w:ilvl w:val="0"/>
          <w:numId w:val="8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0" w:lineRule="exact"/>
        <w:rPr>
          <w:rFonts w:ascii="Arial" w:cs="Arial" w:eastAsia="Arial" w:hAnsi="Arial"/>
          <w:sz w:val="13"/>
          <w:szCs w:val="13"/>
          <w:color w:val="auto"/>
        </w:rPr>
      </w:pPr>
    </w:p>
    <w:p>
      <w:pPr>
        <w:ind w:left="560" w:right="200" w:firstLine="10"/>
        <w:spacing w:after="0" w:line="274" w:lineRule="auto"/>
        <w:tabs>
          <w:tab w:leader="none" w:pos="695" w:val="left"/>
        </w:tabs>
        <w:numPr>
          <w:ilvl w:val="0"/>
          <w:numId w:val="8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0" w:lineRule="exact"/>
        <w:rPr>
          <w:rFonts w:ascii="Arial" w:cs="Arial" w:eastAsia="Arial" w:hAnsi="Arial"/>
          <w:sz w:val="13"/>
          <w:szCs w:val="13"/>
          <w:color w:val="auto"/>
        </w:rPr>
      </w:pPr>
    </w:p>
    <w:p>
      <w:pPr>
        <w:ind w:left="560" w:right="40" w:firstLine="10"/>
        <w:spacing w:after="0" w:line="274" w:lineRule="auto"/>
        <w:tabs>
          <w:tab w:leader="none" w:pos="695"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Arial" w:cs="Arial" w:eastAsia="Arial" w:hAnsi="Arial"/>
          <w:sz w:val="13"/>
          <w:szCs w:val="13"/>
          <w:color w:val="auto"/>
        </w:rPr>
      </w:pPr>
    </w:p>
    <w:p>
      <w:pPr>
        <w:ind w:left="1020" w:right="40" w:hanging="1"/>
        <w:spacing w:after="0" w:line="305" w:lineRule="auto"/>
        <w:tabs>
          <w:tab w:leader="none" w:pos="1159" w:val="left"/>
        </w:tabs>
        <w:numPr>
          <w:ilvl w:val="1"/>
          <w:numId w:val="8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ind w:left="1020" w:right="240" w:hanging="1"/>
        <w:spacing w:after="0" w:line="305" w:lineRule="auto"/>
        <w:tabs>
          <w:tab w:leader="none" w:pos="1166" w:val="left"/>
        </w:tabs>
        <w:numPr>
          <w:ilvl w:val="1"/>
          <w:numId w:val="8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ind w:left="1020" w:right="420" w:hanging="1"/>
        <w:spacing w:after="0" w:line="274" w:lineRule="auto"/>
        <w:tabs>
          <w:tab w:leader="none" w:pos="1159" w:val="left"/>
        </w:tabs>
        <w:numPr>
          <w:ilvl w:val="1"/>
          <w:numId w:val="83"/>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Arial" w:cs="Arial" w:eastAsia="Arial" w:hAnsi="Arial"/>
          <w:sz w:val="13"/>
          <w:szCs w:val="13"/>
          <w:color w:val="auto"/>
        </w:rPr>
      </w:pPr>
    </w:p>
    <w:p>
      <w:pPr>
        <w:ind w:left="1020" w:right="80" w:hanging="1"/>
        <w:spacing w:after="0" w:line="317" w:lineRule="auto"/>
        <w:tabs>
          <w:tab w:leader="none" w:pos="1166" w:val="left"/>
        </w:tabs>
        <w:numPr>
          <w:ilvl w:val="1"/>
          <w:numId w:val="8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2"/>
          <w:szCs w:val="12"/>
          <w:color w:val="auto"/>
        </w:rPr>
      </w:pPr>
    </w:p>
    <w:p>
      <w:pPr>
        <w:ind w:left="560" w:firstLine="10"/>
        <w:spacing w:after="0" w:line="274" w:lineRule="auto"/>
        <w:tabs>
          <w:tab w:leader="none" w:pos="695" w:val="left"/>
        </w:tabs>
        <w:numPr>
          <w:ilvl w:val="0"/>
          <w:numId w:val="8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Arial" w:cs="Arial" w:eastAsia="Arial" w:hAnsi="Arial"/>
          <w:sz w:val="13"/>
          <w:szCs w:val="13"/>
          <w:color w:val="auto"/>
        </w:rPr>
      </w:pPr>
    </w:p>
    <w:p>
      <w:pPr>
        <w:ind w:left="1020" w:right="120" w:hanging="1"/>
        <w:spacing w:after="0" w:line="274" w:lineRule="auto"/>
        <w:tabs>
          <w:tab w:leader="none" w:pos="1159" w:val="left"/>
        </w:tabs>
        <w:numPr>
          <w:ilvl w:val="1"/>
          <w:numId w:val="8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Arial" w:cs="Arial" w:eastAsia="Arial" w:hAnsi="Arial"/>
          <w:sz w:val="13"/>
          <w:szCs w:val="13"/>
          <w:color w:val="auto"/>
        </w:rPr>
      </w:pPr>
    </w:p>
    <w:p>
      <w:pPr>
        <w:ind w:left="1160" w:hanging="141"/>
        <w:spacing w:after="0"/>
        <w:tabs>
          <w:tab w:leader="none" w:pos="1160" w:val="left"/>
        </w:tabs>
        <w:numPr>
          <w:ilvl w:val="1"/>
          <w:numId w:val="8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Date: November 14, 2012</w:t>
      </w:r>
    </w:p>
    <w:p>
      <w:pPr>
        <w:spacing w:after="0" w:line="202" w:lineRule="exact"/>
        <w:rPr>
          <w:sz w:val="20"/>
          <w:szCs w:val="20"/>
          <w:color w:val="auto"/>
        </w:rPr>
      </w:pPr>
    </w:p>
    <w:p>
      <w:pPr>
        <w:spacing w:after="0"/>
        <w:tabs>
          <w:tab w:leader="none" w:pos="1900" w:val="left"/>
          <w:tab w:leader="none" w:pos="214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w:t>
        <w:tab/>
        <w:t>A</w:t>
      </w:r>
      <w:r>
        <w:rPr>
          <w:rFonts w:ascii="Arial" w:cs="Arial" w:eastAsia="Arial" w:hAnsi="Arial"/>
          <w:sz w:val="11"/>
          <w:szCs w:val="11"/>
          <w:color w:val="auto"/>
        </w:rPr>
        <w:t>VIV</w:t>
      </w:r>
      <w:r>
        <w:rPr>
          <w:rFonts w:ascii="Arial" w:cs="Arial" w:eastAsia="Arial" w:hAnsi="Arial"/>
          <w:sz w:val="13"/>
          <w:szCs w:val="13"/>
          <w:color w:val="auto"/>
        </w:rPr>
        <w:t xml:space="preserve"> E</w:t>
      </w:r>
      <w:r>
        <w:rPr>
          <w:rFonts w:ascii="Arial" w:cs="Arial" w:eastAsia="Arial" w:hAnsi="Arial"/>
          <w:sz w:val="11"/>
          <w:szCs w:val="11"/>
          <w:color w:val="auto"/>
        </w:rPr>
        <w:t>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6350</wp:posOffset>
            </wp:positionV>
            <wp:extent cx="26746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4" w:lineRule="exact"/>
        <w:rPr>
          <w:sz w:val="20"/>
          <w:szCs w:val="20"/>
          <w:color w:val="auto"/>
        </w:rPr>
      </w:pPr>
    </w:p>
    <w:p>
      <w:pPr>
        <w:jc w:val="center"/>
        <w:ind w:right="6460"/>
        <w:spacing w:after="0"/>
        <w:rPr>
          <w:sz w:val="20"/>
          <w:szCs w:val="20"/>
          <w:color w:val="auto"/>
        </w:rPr>
      </w:pPr>
      <w:r>
        <w:rPr>
          <w:rFonts w:ascii="Arial" w:cs="Arial" w:eastAsia="Arial" w:hAnsi="Arial"/>
          <w:sz w:val="13"/>
          <w:szCs w:val="13"/>
          <w:b w:val="1"/>
          <w:bCs w:val="1"/>
          <w:color w:val="auto"/>
        </w:rPr>
        <w:t>Aviv Efrat</w:t>
      </w:r>
    </w:p>
    <w:p>
      <w:pPr>
        <w:spacing w:after="0" w:line="13" w:lineRule="exact"/>
        <w:rPr>
          <w:sz w:val="20"/>
          <w:szCs w:val="20"/>
          <w:color w:val="auto"/>
        </w:rPr>
      </w:pPr>
    </w:p>
    <w:p>
      <w:pPr>
        <w:jc w:val="center"/>
        <w:ind w:right="6460"/>
        <w:spacing w:after="0"/>
        <w:rPr>
          <w:sz w:val="20"/>
          <w:szCs w:val="20"/>
          <w:color w:val="auto"/>
        </w:rPr>
      </w:pPr>
      <w:r>
        <w:rPr>
          <w:rFonts w:ascii="Arial" w:cs="Arial" w:eastAsia="Arial" w:hAnsi="Arial"/>
          <w:sz w:val="13"/>
          <w:szCs w:val="13"/>
          <w:b w:val="1"/>
          <w:bCs w:val="1"/>
          <w:color w:val="auto"/>
        </w:rPr>
        <w:t>Chief Financial Officer</w:t>
      </w:r>
    </w:p>
    <w:p>
      <w:pPr>
        <w:sectPr>
          <w:pgSz w:w="11900" w:h="16838" w:orient="portrait"/>
          <w:cols w:equalWidth="0" w:num="1">
            <w:col w:w="11220"/>
          </w:cols>
          <w:pgMar w:left="320" w:top="127" w:right="359" w:bottom="1440" w:gutter="0" w:footer="0" w:header="0"/>
        </w:sectPr>
      </w:pPr>
    </w:p>
    <w:bookmarkStart w:id="100" w:name="page101"/>
    <w:bookmarkEnd w:id="100"/>
    <w:p>
      <w:pPr>
        <w:ind w:left="9720"/>
        <w:spacing w:after="0"/>
        <w:rPr>
          <w:sz w:val="20"/>
          <w:szCs w:val="20"/>
          <w:color w:val="auto"/>
        </w:rPr>
      </w:pPr>
      <w:r>
        <w:rPr>
          <w:rFonts w:ascii="Arial" w:cs="Arial" w:eastAsia="Arial" w:hAnsi="Arial"/>
          <w:sz w:val="13"/>
          <w:szCs w:val="13"/>
          <w:b w:val="1"/>
          <w:bCs w:val="1"/>
          <w:color w:val="auto"/>
        </w:rPr>
        <w:t>EXHIBIT 32.1</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Pursuant to</w:t>
      </w:r>
    </w:p>
    <w:p>
      <w:pPr>
        <w:jc w:val="center"/>
        <w:ind w:right="-39"/>
        <w:spacing w:after="0"/>
        <w:rPr>
          <w:sz w:val="20"/>
          <w:szCs w:val="20"/>
          <w:color w:val="auto"/>
        </w:rPr>
      </w:pPr>
      <w:r>
        <w:rPr>
          <w:rFonts w:ascii="Arial" w:cs="Arial" w:eastAsia="Arial" w:hAnsi="Arial"/>
          <w:sz w:val="13"/>
          <w:szCs w:val="13"/>
          <w:b w:val="1"/>
          <w:bCs w:val="1"/>
          <w:color w:val="auto"/>
        </w:rPr>
        <w:t>Section 906 of the Sarbanes-Oxley Act of 2002 (18 U.S.C. Section 1350)</w:t>
      </w:r>
    </w:p>
    <w:p>
      <w:pPr>
        <w:spacing w:after="0" w:line="122"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In connection with the Annual Report on Form 10-K of PennantPark Investment Corporation for the annual period ended September 30, 2012 as filed with the Securities and Exchange Commission on the date hereof (the “Report”), I, Arthur H. Penn, as Chief Executive Officer of the Registrant hereby certify, to the best of my knowledge that:</w:t>
      </w:r>
    </w:p>
    <w:p>
      <w:pPr>
        <w:spacing w:after="0" w:line="10" w:lineRule="exact"/>
        <w:rPr>
          <w:sz w:val="20"/>
          <w:szCs w:val="20"/>
          <w:color w:val="auto"/>
        </w:rPr>
      </w:pPr>
    </w:p>
    <w:p>
      <w:pPr>
        <w:ind w:left="760" w:hanging="190"/>
        <w:spacing w:after="0"/>
        <w:tabs>
          <w:tab w:leader="none" w:pos="76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53" w:lineRule="exact"/>
        <w:rPr>
          <w:rFonts w:ascii="Arial" w:cs="Arial" w:eastAsia="Arial" w:hAnsi="Arial"/>
          <w:sz w:val="13"/>
          <w:szCs w:val="13"/>
          <w:color w:val="auto"/>
        </w:rPr>
      </w:pPr>
    </w:p>
    <w:p>
      <w:pPr>
        <w:ind w:left="760" w:hanging="190"/>
        <w:spacing w:after="0"/>
        <w:tabs>
          <w:tab w:leader="none" w:pos="760" w:val="left"/>
        </w:tabs>
        <w:numPr>
          <w:ilvl w:val="0"/>
          <w:numId w:val="8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tcPr>
          <w:p>
            <w:pPr>
              <w:jc w:val="center"/>
              <w:ind w:right="953"/>
              <w:spacing w:after="0"/>
              <w:rPr>
                <w:sz w:val="20"/>
                <w:szCs w:val="20"/>
                <w:color w:val="auto"/>
              </w:rPr>
            </w:pPr>
            <w:r>
              <w:rPr>
                <w:rFonts w:ascii="Arial" w:cs="Arial" w:eastAsia="Arial" w:hAnsi="Arial"/>
                <w:sz w:val="13"/>
                <w:szCs w:val="13"/>
                <w:color w:val="auto"/>
              </w:rPr>
              <w:t>/s/  A</w:t>
            </w:r>
            <w:r>
              <w:rPr>
                <w:rFonts w:ascii="Arial" w:cs="Arial" w:eastAsia="Arial" w:hAnsi="Arial"/>
                <w:sz w:val="11"/>
                <w:szCs w:val="11"/>
                <w:color w:val="auto"/>
              </w:rPr>
              <w:t>RTHUR</w:t>
            </w:r>
            <w:r>
              <w:rPr>
                <w:rFonts w:ascii="Arial" w:cs="Arial" w:eastAsia="Arial" w:hAnsi="Arial"/>
                <w:sz w:val="13"/>
                <w:szCs w:val="13"/>
                <w:color w:val="auto"/>
              </w:rPr>
              <w:t xml:space="preserve"> H. P</w:t>
            </w:r>
            <w:r>
              <w:rPr>
                <w:rFonts w:ascii="Arial" w:cs="Arial" w:eastAsia="Arial" w:hAnsi="Arial"/>
                <w:sz w:val="11"/>
                <w:szCs w:val="11"/>
                <w:color w:val="auto"/>
              </w:rPr>
              <w:t>ENN</w:t>
            </w:r>
          </w:p>
        </w:tc>
      </w:tr>
      <w:tr>
        <w:trPr>
          <w:trHeight w:val="143"/>
        </w:trPr>
        <w:tc>
          <w:tcPr>
            <w:tcW w:w="1640" w:type="dxa"/>
            <w:vAlign w:val="bottom"/>
            <w:gridSpan w:val="2"/>
          </w:tcPr>
          <w:p>
            <w:pPr>
              <w:spacing w:after="0" w:line="143" w:lineRule="exact"/>
              <w:rPr>
                <w:sz w:val="20"/>
                <w:szCs w:val="20"/>
                <w:color w:val="auto"/>
              </w:rPr>
            </w:pPr>
            <w:r>
              <w:rPr>
                <w:rFonts w:ascii="Arial" w:cs="Arial" w:eastAsia="Arial" w:hAnsi="Arial"/>
                <w:sz w:val="13"/>
                <w:szCs w:val="13"/>
                <w:color w:val="auto"/>
              </w:rPr>
              <w:t>Name:</w:t>
            </w:r>
          </w:p>
        </w:tc>
        <w:tc>
          <w:tcPr>
            <w:tcW w:w="2840" w:type="dxa"/>
            <w:vAlign w:val="bottom"/>
          </w:tcPr>
          <w:p>
            <w:pPr>
              <w:jc w:val="center"/>
              <w:ind w:right="953"/>
              <w:spacing w:after="0" w:line="143" w:lineRule="exact"/>
              <w:rPr>
                <w:sz w:val="20"/>
                <w:szCs w:val="20"/>
                <w:color w:val="auto"/>
              </w:rPr>
            </w:pPr>
            <w:r>
              <w:rPr>
                <w:rFonts w:ascii="Arial" w:cs="Arial" w:eastAsia="Arial" w:hAnsi="Arial"/>
                <w:sz w:val="13"/>
                <w:szCs w:val="13"/>
                <w:b w:val="1"/>
                <w:bCs w:val="1"/>
                <w:color w:val="auto"/>
                <w:w w:val="98"/>
              </w:rPr>
              <w:t>Arthur H. Penn</w:t>
            </w:r>
          </w:p>
        </w:tc>
      </w:tr>
      <w:tr>
        <w:trPr>
          <w:trHeight w:val="174"/>
        </w:trPr>
        <w:tc>
          <w:tcPr>
            <w:tcW w:w="1640" w:type="dxa"/>
            <w:vAlign w:val="bottom"/>
            <w:gridSpan w:val="2"/>
          </w:tcPr>
          <w:p>
            <w:pPr>
              <w:spacing w:after="0"/>
              <w:rPr>
                <w:sz w:val="20"/>
                <w:szCs w:val="20"/>
                <w:color w:val="auto"/>
              </w:rPr>
            </w:pPr>
            <w:r>
              <w:rPr>
                <w:rFonts w:ascii="Arial" w:cs="Arial" w:eastAsia="Arial" w:hAnsi="Arial"/>
                <w:sz w:val="13"/>
                <w:szCs w:val="13"/>
                <w:color w:val="auto"/>
              </w:rPr>
              <w:t>Title:</w:t>
            </w:r>
          </w:p>
        </w:tc>
        <w:tc>
          <w:tcPr>
            <w:tcW w:w="2840" w:type="dxa"/>
            <w:vAlign w:val="bottom"/>
          </w:tcPr>
          <w:p>
            <w:pPr>
              <w:jc w:val="center"/>
              <w:ind w:right="973"/>
              <w:spacing w:after="0"/>
              <w:rPr>
                <w:sz w:val="20"/>
                <w:szCs w:val="20"/>
                <w:color w:val="auto"/>
              </w:rPr>
            </w:pPr>
            <w:r>
              <w:rPr>
                <w:rFonts w:ascii="Arial" w:cs="Arial" w:eastAsia="Arial" w:hAnsi="Arial"/>
                <w:sz w:val="13"/>
                <w:szCs w:val="13"/>
                <w:b w:val="1"/>
                <w:bCs w:val="1"/>
                <w:color w:val="auto"/>
                <w:w w:val="95"/>
              </w:rPr>
              <w:t>Chief Executive Officer</w:t>
            </w:r>
          </w:p>
        </w:tc>
      </w:tr>
      <w:tr>
        <w:trPr>
          <w:trHeight w:val="203"/>
        </w:trPr>
        <w:tc>
          <w:tcPr>
            <w:tcW w:w="1640" w:type="dxa"/>
            <w:vAlign w:val="bottom"/>
            <w:gridSpan w:val="2"/>
          </w:tcPr>
          <w:p>
            <w:pPr>
              <w:spacing w:after="0"/>
              <w:rPr>
                <w:sz w:val="20"/>
                <w:szCs w:val="20"/>
                <w:color w:val="auto"/>
              </w:rPr>
            </w:pPr>
            <w:r>
              <w:rPr>
                <w:rFonts w:ascii="Arial" w:cs="Arial" w:eastAsia="Arial" w:hAnsi="Arial"/>
                <w:sz w:val="13"/>
                <w:szCs w:val="13"/>
                <w:color w:val="auto"/>
              </w:rPr>
              <w:t>Date: November 14, 2012</w:t>
            </w:r>
          </w:p>
        </w:tc>
        <w:tc>
          <w:tcPr>
            <w:tcW w:w="2840" w:type="dxa"/>
            <w:vAlign w:val="bottom"/>
          </w:tcPr>
          <w:p>
            <w:pPr>
              <w:spacing w:after="0"/>
              <w:rPr>
                <w:sz w:val="17"/>
                <w:szCs w:val="17"/>
                <w:color w:val="auto"/>
              </w:rPr>
            </w:pPr>
          </w:p>
        </w:tc>
      </w:tr>
    </w:tbl>
    <w:p>
      <w:pPr>
        <w:sectPr>
          <w:pgSz w:w="11900" w:h="16838" w:orient="portrait"/>
          <w:cols w:equalWidth="0" w:num="1">
            <w:col w:w="11220"/>
          </w:cols>
          <w:pgMar w:left="320" w:top="127" w:right="359" w:bottom="1440" w:gutter="0" w:footer="0" w:header="0"/>
        </w:sectPr>
      </w:pPr>
    </w:p>
    <w:bookmarkStart w:id="101" w:name="page102"/>
    <w:bookmarkEnd w:id="101"/>
    <w:p>
      <w:pPr>
        <w:ind w:left="9720"/>
        <w:spacing w:after="0"/>
        <w:rPr>
          <w:sz w:val="20"/>
          <w:szCs w:val="20"/>
          <w:color w:val="auto"/>
        </w:rPr>
      </w:pPr>
      <w:r>
        <w:rPr>
          <w:rFonts w:ascii="Arial" w:cs="Arial" w:eastAsia="Arial" w:hAnsi="Arial"/>
          <w:sz w:val="13"/>
          <w:szCs w:val="13"/>
          <w:b w:val="1"/>
          <w:bCs w:val="1"/>
          <w:color w:val="auto"/>
        </w:rPr>
        <w:t>EXHIBIT 32.2</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Pursuant to</w:t>
      </w:r>
    </w:p>
    <w:p>
      <w:pPr>
        <w:jc w:val="center"/>
        <w:ind w:right="-39"/>
        <w:spacing w:after="0"/>
        <w:rPr>
          <w:sz w:val="20"/>
          <w:szCs w:val="20"/>
          <w:color w:val="auto"/>
        </w:rPr>
      </w:pPr>
      <w:r>
        <w:rPr>
          <w:rFonts w:ascii="Arial" w:cs="Arial" w:eastAsia="Arial" w:hAnsi="Arial"/>
          <w:sz w:val="13"/>
          <w:szCs w:val="13"/>
          <w:b w:val="1"/>
          <w:bCs w:val="1"/>
          <w:color w:val="auto"/>
        </w:rPr>
        <w:t>Section 906 of the Sarbanes-Oxley Act of 2002 (18 U.S.C. Section 1350)</w:t>
      </w:r>
    </w:p>
    <w:p>
      <w:pPr>
        <w:spacing w:after="0" w:line="122" w:lineRule="exact"/>
        <w:rPr>
          <w:sz w:val="20"/>
          <w:szCs w:val="20"/>
          <w:color w:val="auto"/>
        </w:rPr>
      </w:pPr>
    </w:p>
    <w:p>
      <w:pPr>
        <w:ind w:firstLine="562"/>
        <w:spacing w:after="0" w:line="274" w:lineRule="auto"/>
        <w:rPr>
          <w:sz w:val="20"/>
          <w:szCs w:val="20"/>
          <w:color w:val="auto"/>
        </w:rPr>
      </w:pPr>
      <w:r>
        <w:rPr>
          <w:rFonts w:ascii="Arial" w:cs="Arial" w:eastAsia="Arial" w:hAnsi="Arial"/>
          <w:sz w:val="13"/>
          <w:szCs w:val="13"/>
          <w:color w:val="auto"/>
        </w:rPr>
        <w:t>In connection with the Annual Report on Form 10-K of PennantPark Investment Corporation for the annual period ended September 30, 2012 as filed with the Securities and Exchange Commission on the date hereof (the “Report”), I, Aviv Efrat, as Chief Financial Officer of the Registrant hereby certify, to the best of my knowledge that:</w:t>
      </w:r>
    </w:p>
    <w:p>
      <w:pPr>
        <w:spacing w:after="0" w:line="10" w:lineRule="exact"/>
        <w:rPr>
          <w:sz w:val="20"/>
          <w:szCs w:val="20"/>
          <w:color w:val="auto"/>
        </w:rPr>
      </w:pPr>
    </w:p>
    <w:p>
      <w:pPr>
        <w:ind w:left="760" w:hanging="190"/>
        <w:spacing w:after="0"/>
        <w:tabs>
          <w:tab w:leader="none" w:pos="76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53" w:lineRule="exact"/>
        <w:rPr>
          <w:rFonts w:ascii="Arial" w:cs="Arial" w:eastAsia="Arial" w:hAnsi="Arial"/>
          <w:sz w:val="13"/>
          <w:szCs w:val="13"/>
          <w:color w:val="auto"/>
        </w:rPr>
      </w:pPr>
    </w:p>
    <w:p>
      <w:pPr>
        <w:ind w:left="760" w:hanging="190"/>
        <w:spacing w:after="0"/>
        <w:tabs>
          <w:tab w:leader="none" w:pos="76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tcPr>
          <w:p>
            <w:pPr>
              <w:jc w:val="center"/>
              <w:ind w:right="893"/>
              <w:spacing w:after="0"/>
              <w:rPr>
                <w:sz w:val="20"/>
                <w:szCs w:val="20"/>
                <w:color w:val="auto"/>
              </w:rPr>
            </w:pPr>
            <w:r>
              <w:rPr>
                <w:rFonts w:ascii="Arial" w:cs="Arial" w:eastAsia="Arial" w:hAnsi="Arial"/>
                <w:sz w:val="13"/>
                <w:szCs w:val="13"/>
                <w:color w:val="auto"/>
              </w:rPr>
              <w:t>/s/  A</w:t>
            </w:r>
            <w:r>
              <w:rPr>
                <w:rFonts w:ascii="Arial" w:cs="Arial" w:eastAsia="Arial" w:hAnsi="Arial"/>
                <w:sz w:val="11"/>
                <w:szCs w:val="11"/>
                <w:color w:val="auto"/>
              </w:rPr>
              <w:t>VIV</w:t>
            </w:r>
            <w:r>
              <w:rPr>
                <w:rFonts w:ascii="Arial" w:cs="Arial" w:eastAsia="Arial" w:hAnsi="Arial"/>
                <w:sz w:val="13"/>
                <w:szCs w:val="13"/>
                <w:color w:val="auto"/>
              </w:rPr>
              <w:t xml:space="preserve"> E</w:t>
            </w:r>
            <w:r>
              <w:rPr>
                <w:rFonts w:ascii="Arial" w:cs="Arial" w:eastAsia="Arial" w:hAnsi="Arial"/>
                <w:sz w:val="11"/>
                <w:szCs w:val="11"/>
                <w:color w:val="auto"/>
              </w:rPr>
              <w:t>FRAT</w:t>
            </w:r>
          </w:p>
        </w:tc>
      </w:tr>
      <w:tr>
        <w:trPr>
          <w:trHeight w:val="143"/>
        </w:trPr>
        <w:tc>
          <w:tcPr>
            <w:tcW w:w="1660" w:type="dxa"/>
            <w:vAlign w:val="bottom"/>
            <w:gridSpan w:val="2"/>
          </w:tcPr>
          <w:p>
            <w:pPr>
              <w:spacing w:after="0" w:line="143" w:lineRule="exact"/>
              <w:rPr>
                <w:sz w:val="20"/>
                <w:szCs w:val="20"/>
                <w:color w:val="auto"/>
              </w:rPr>
            </w:pPr>
            <w:r>
              <w:rPr>
                <w:rFonts w:ascii="Arial" w:cs="Arial" w:eastAsia="Arial" w:hAnsi="Arial"/>
                <w:sz w:val="13"/>
                <w:szCs w:val="13"/>
                <w:color w:val="auto"/>
              </w:rPr>
              <w:t>Name:</w:t>
            </w:r>
          </w:p>
        </w:tc>
        <w:tc>
          <w:tcPr>
            <w:tcW w:w="2820" w:type="dxa"/>
            <w:vAlign w:val="bottom"/>
          </w:tcPr>
          <w:p>
            <w:pPr>
              <w:jc w:val="center"/>
              <w:ind w:right="913"/>
              <w:spacing w:after="0" w:line="143" w:lineRule="exact"/>
              <w:rPr>
                <w:sz w:val="20"/>
                <w:szCs w:val="20"/>
                <w:color w:val="auto"/>
              </w:rPr>
            </w:pPr>
            <w:r>
              <w:rPr>
                <w:rFonts w:ascii="Arial" w:cs="Arial" w:eastAsia="Arial" w:hAnsi="Arial"/>
                <w:sz w:val="13"/>
                <w:szCs w:val="13"/>
                <w:b w:val="1"/>
                <w:bCs w:val="1"/>
                <w:color w:val="auto"/>
                <w:w w:val="98"/>
              </w:rPr>
              <w:t>Aviv Efrat</w:t>
            </w:r>
          </w:p>
        </w:tc>
      </w:tr>
      <w:tr>
        <w:trPr>
          <w:trHeight w:val="174"/>
        </w:trPr>
        <w:tc>
          <w:tcPr>
            <w:tcW w:w="1660" w:type="dxa"/>
            <w:vAlign w:val="bottom"/>
            <w:gridSpan w:val="2"/>
          </w:tcPr>
          <w:p>
            <w:pPr>
              <w:spacing w:after="0"/>
              <w:rPr>
                <w:sz w:val="20"/>
                <w:szCs w:val="20"/>
                <w:color w:val="auto"/>
              </w:rPr>
            </w:pPr>
            <w:r>
              <w:rPr>
                <w:rFonts w:ascii="Arial" w:cs="Arial" w:eastAsia="Arial" w:hAnsi="Arial"/>
                <w:sz w:val="13"/>
                <w:szCs w:val="13"/>
                <w:color w:val="auto"/>
              </w:rPr>
              <w:t>Title:</w:t>
            </w:r>
          </w:p>
        </w:tc>
        <w:tc>
          <w:tcPr>
            <w:tcW w:w="2820" w:type="dxa"/>
            <w:vAlign w:val="bottom"/>
          </w:tcPr>
          <w:p>
            <w:pPr>
              <w:jc w:val="center"/>
              <w:ind w:right="893"/>
              <w:spacing w:after="0"/>
              <w:rPr>
                <w:sz w:val="20"/>
                <w:szCs w:val="20"/>
                <w:color w:val="auto"/>
              </w:rPr>
            </w:pPr>
            <w:r>
              <w:rPr>
                <w:rFonts w:ascii="Arial" w:cs="Arial" w:eastAsia="Arial" w:hAnsi="Arial"/>
                <w:sz w:val="13"/>
                <w:szCs w:val="13"/>
                <w:b w:val="1"/>
                <w:bCs w:val="1"/>
                <w:color w:val="auto"/>
                <w:w w:val="97"/>
              </w:rPr>
              <w:t>Chief Financial Officer</w:t>
            </w:r>
          </w:p>
        </w:tc>
      </w:tr>
      <w:tr>
        <w:trPr>
          <w:trHeight w:val="203"/>
        </w:trPr>
        <w:tc>
          <w:tcPr>
            <w:tcW w:w="1660" w:type="dxa"/>
            <w:vAlign w:val="bottom"/>
            <w:gridSpan w:val="2"/>
          </w:tcPr>
          <w:p>
            <w:pPr>
              <w:spacing w:after="0"/>
              <w:rPr>
                <w:sz w:val="20"/>
                <w:szCs w:val="20"/>
                <w:color w:val="auto"/>
              </w:rPr>
            </w:pPr>
            <w:r>
              <w:rPr>
                <w:rFonts w:ascii="Arial" w:cs="Arial" w:eastAsia="Arial" w:hAnsi="Arial"/>
                <w:sz w:val="13"/>
                <w:szCs w:val="13"/>
                <w:color w:val="auto"/>
              </w:rPr>
              <w:t>Date: November 14, 2012</w:t>
            </w:r>
          </w:p>
        </w:tc>
        <w:tc>
          <w:tcPr>
            <w:tcW w:w="282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1220"/>
      </w:cols>
      <w:pgMar w:left="320" w:top="1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1."/>
      <w:numFmt w:val="lowerLetter"/>
      <w:start w:val="1"/>
    </w:lvl>
  </w:abstractNum>
  <w:abstractNum w:abstractNumId="5">
    <w:nsid w:val="7A6D8D3C"/>
    <w:multiLevelType w:val="hybridMultilevel"/>
    <w:lvl w:ilvl="0">
      <w:lvlJc w:val="left"/>
      <w:lvlText w:val="%1."/>
      <w:numFmt w:val="lowerLetter"/>
      <w:start w:val="2"/>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1."/>
      <w:numFmt w:val="lowerLetter"/>
      <w:start w:val="3"/>
    </w:lvl>
  </w:abstractNum>
  <w:abstractNum w:abstractNumId="8">
    <w:nsid w:val="6DE91B18"/>
    <w:multiLevelType w:val="hybridMultilevel"/>
    <w:lvl w:ilvl="0">
      <w:lvlJc w:val="left"/>
      <w:lvlText w:val="%1."/>
      <w:numFmt w:val="lowerLetter"/>
      <w:start w:val="4"/>
    </w:lvl>
  </w:abstractNum>
  <w:abstractNum w:abstractNumId="9">
    <w:nsid w:val="38437FDB"/>
    <w:multiLevelType w:val="hybridMultilevel"/>
    <w:lvl w:ilvl="0">
      <w:lvlJc w:val="left"/>
      <w:lvlText w:val="%1."/>
      <w:numFmt w:val="lowerLetter"/>
      <w:start w:val="1"/>
    </w:lvl>
  </w:abstractNum>
  <w:abstractNum w:abstractNumId="10">
    <w:nsid w:val="7644A45C"/>
    <w:multiLevelType w:val="hybridMultilevel"/>
    <w:lvl w:ilvl="0">
      <w:lvlJc w:val="left"/>
      <w:lvlText w:val="%1."/>
      <w:numFmt w:val="lowerLetter"/>
      <w:start w:val="2"/>
    </w:lvl>
  </w:abstractNum>
  <w:abstractNum w:abstractNumId="11">
    <w:nsid w:val="32FFF902"/>
    <w:multiLevelType w:val="hybridMultilevel"/>
    <w:lvl w:ilvl="0">
      <w:lvlJc w:val="left"/>
      <w:lvlText w:val="%1."/>
      <w:numFmt w:val="lowerLetter"/>
      <w:start w:val="3"/>
    </w:lvl>
  </w:abstractNum>
  <w:abstractNum w:abstractNumId="12">
    <w:nsid w:val="684A481A"/>
    <w:multiLevelType w:val="hybridMultilevel"/>
    <w:lvl w:ilvl="0">
      <w:lvlJc w:val="left"/>
      <w:lvlText w:val="%1."/>
      <w:numFmt w:val="lowerLetter"/>
      <w:start w:val="4"/>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lvl w:ilvl="1">
      <w:lvlJc w:val="left"/>
      <w:lvlText w:val="="/>
      <w:numFmt w:val="bullet"/>
      <w:start w:val="1"/>
    </w:lvl>
  </w:abstractNum>
  <w:abstractNum w:abstractNumId="19">
    <w:nsid w:val="12E685FB"/>
    <w:multiLevelType w:val="hybridMultilevel"/>
    <w:lvl w:ilvl="0">
      <w:lvlJc w:val="left"/>
      <w:lvlText w:val="(%1)"/>
      <w:numFmt w:val="decimal"/>
      <w:start w:val="1"/>
    </w:lvl>
  </w:abstractNum>
  <w:abstractNum w:abstractNumId="20">
    <w:nsid w:val="70C6A529"/>
    <w:multiLevelType w:val="hybridMultilevel"/>
    <w:lvl w:ilvl="0">
      <w:lvlJc w:val="left"/>
      <w:lvlText w:val="(%1)"/>
      <w:numFmt w:val="decimal"/>
      <w:start w:val="1"/>
    </w:lvl>
  </w:abstractNum>
  <w:abstractNum w:abstractNumId="21">
    <w:nsid w:val="520EEDD1"/>
    <w:multiLevelType w:val="hybridMultilevel"/>
    <w:lvl w:ilvl="0">
      <w:lvlJc w:val="left"/>
      <w:lvlText w:val="%1"/>
      <w:numFmt w:val="decimal"/>
      <w:start w:val="1"/>
    </w:lvl>
    <w:lvl w:ilvl="1">
      <w:lvlJc w:val="left"/>
      <w:lvlText w:val="(%2)"/>
      <w:numFmt w:val="lowerLetter"/>
      <w:start w:val="1"/>
    </w:lvl>
  </w:abstractNum>
  <w:abstractNum w:abstractNumId="22">
    <w:nsid w:val="374A3FE6"/>
    <w:multiLevelType w:val="hybridMultilevel"/>
    <w:lvl w:ilvl="0">
      <w:lvlJc w:val="left"/>
      <w:lvlText w:val="(%1)"/>
      <w:numFmt w:val="decimal"/>
      <w:start w:val="2"/>
    </w:lvl>
    <w:lvl w:ilvl="1">
      <w:lvlJc w:val="left"/>
      <w:lvlText w:val="%2"/>
      <w:numFmt w:val="lowerLetter"/>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lvl w:ilvl="1">
      <w:lvlJc w:val="left"/>
      <w:lvlText w:val="%2)"/>
      <w:numFmt w:val="decimal"/>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1)"/>
      <w:numFmt w:val="decimal"/>
      <w:start w:val="1"/>
    </w:lvl>
  </w:abstractNum>
  <w:abstractNum w:abstractNumId="30">
    <w:nsid w:val="235BA861"/>
    <w:multiLevelType w:val="hybridMultilevel"/>
    <w:lvl w:ilvl="0">
      <w:lvlJc w:val="left"/>
      <w:lvlText w:val="(%1)"/>
      <w:numFmt w:val="lowerRoman"/>
      <w:start w:val="3"/>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1)"/>
      <w:numFmt w:val="decimal"/>
      <w:start w:val="1"/>
    </w:lvl>
  </w:abstractNum>
  <w:abstractNum w:abstractNumId="39">
    <w:nsid w:val="7E0C57B1"/>
    <w:multiLevelType w:val="hybridMultilevel"/>
    <w:lvl w:ilvl="0">
      <w:lvlJc w:val="left"/>
      <w:lvlText w:val="(%1)"/>
      <w:numFmt w:val="decimal"/>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1)"/>
      <w:numFmt w:val="decimal"/>
      <w:start w:val="1"/>
    </w:lvl>
  </w:abstractNum>
  <w:abstractNum w:abstractNumId="44">
    <w:nsid w:val="2F305DEF"/>
    <w:multiLevelType w:val="hybridMultilevel"/>
    <w:lvl w:ilvl="0">
      <w:lvlJc w:val="left"/>
      <w:lvlText w:val="(%1)"/>
      <w:numFmt w:val="decimal"/>
      <w:start w:val="1"/>
    </w:lvl>
  </w:abstractNum>
  <w:abstractNum w:abstractNumId="45">
    <w:nsid w:val="25A70BF7"/>
    <w:multiLevelType w:val="hybridMultilevel"/>
    <w:lvl w:ilvl="0">
      <w:lvlJc w:val="left"/>
      <w:lvlText w:val="(%1)"/>
      <w:numFmt w:val="decimal"/>
      <w:start w:val="1"/>
    </w:lvl>
  </w:abstractNum>
  <w:abstractNum w:abstractNumId="46">
    <w:nsid w:val="1DBABF00"/>
    <w:multiLevelType w:val="hybridMultilevel"/>
    <w:lvl w:ilvl="0">
      <w:lvlJc w:val="left"/>
      <w:lvlText w:val="(%1)"/>
      <w:numFmt w:val="decimal"/>
      <w:start w:val="1"/>
    </w:lvl>
  </w:abstractNum>
  <w:abstractNum w:abstractNumId="47">
    <w:nsid w:val="4AD084E9"/>
    <w:multiLevelType w:val="hybridMultilevel"/>
    <w:lvl w:ilvl="0">
      <w:lvlJc w:val="left"/>
      <w:lvlText w:val="(%1)"/>
      <w:numFmt w:val="decimal"/>
      <w:start w:val="1"/>
    </w:lvl>
  </w:abstractNum>
  <w:abstractNum w:abstractNumId="48">
    <w:nsid w:val="1F48EAA1"/>
    <w:multiLevelType w:val="hybridMultilevel"/>
    <w:lvl w:ilvl="0">
      <w:lvlJc w:val="left"/>
      <w:lvlText w:val="%1"/>
      <w:numFmt w:val="lowerLetter"/>
      <w:start w:val="1"/>
    </w:lvl>
    <w:lvl w:ilvl="1">
      <w:lvlJc w:val="left"/>
      <w:lvlText w:val="(%2)"/>
      <w:numFmt w:val="decimal"/>
      <w:start w:val="1"/>
    </w:lvl>
  </w:abstractNum>
  <w:abstractNum w:abstractNumId="49">
    <w:nsid w:val="1381823A"/>
    <w:multiLevelType w:val="hybridMultilevel"/>
    <w:lvl w:ilvl="0">
      <w:lvlJc w:val="left"/>
      <w:lvlText w:val="(%1)"/>
      <w:numFmt w:val="lowerLetter"/>
      <w:start w:val="2"/>
    </w:lvl>
    <w:lvl w:ilvl="1">
      <w:lvlJc w:val="left"/>
      <w:lvlText w:val="%2"/>
      <w:numFmt w:val="decimal"/>
      <w:start w:val="1"/>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1)"/>
      <w:numFmt w:val="decimal"/>
      <w:start w:val="1"/>
    </w:lvl>
  </w:abstractNum>
  <w:abstractNum w:abstractNumId="52">
    <w:nsid w:val="6590700B"/>
    <w:multiLevelType w:val="hybridMultilevel"/>
    <w:lvl w:ilvl="0">
      <w:lvlJc w:val="left"/>
      <w:lvlText w:val="%1."/>
      <w:numFmt w:val="decimal"/>
      <w:start w:val="11"/>
    </w:lvl>
  </w:abstractNum>
  <w:abstractNum w:abstractNumId="53">
    <w:nsid w:val="15014ACB"/>
    <w:multiLevelType w:val="hybridMultilevel"/>
    <w:lvl w:ilvl="0">
      <w:lvlJc w:val="left"/>
      <w:lvlText w:val="(%1)"/>
      <w:numFmt w:val="decimal"/>
      <w:start w:val="1"/>
    </w:lvl>
  </w:abstractNum>
  <w:abstractNum w:abstractNumId="54">
    <w:nsid w:val="5F5E7FD0"/>
    <w:multiLevelType w:val="hybridMultilevel"/>
    <w:lvl w:ilvl="0">
      <w:lvlJc w:val="left"/>
      <w:lvlText w:val="(%1)"/>
      <w:numFmt w:val="decimal"/>
      <w:start w:val="1"/>
    </w:lvl>
  </w:abstractNum>
  <w:abstractNum w:abstractNumId="55">
    <w:nsid w:val="98A3148"/>
    <w:multiLevelType w:val="hybridMultilevel"/>
    <w:lvl w:ilvl="0">
      <w:lvlJc w:val="left"/>
      <w:lvlText w:val="(%1)"/>
      <w:numFmt w:val="upperLetter"/>
      <w:start w:val="1"/>
    </w:lvl>
  </w:abstractNum>
  <w:abstractNum w:abstractNumId="56">
    <w:nsid w:val="799D0247"/>
    <w:multiLevelType w:val="hybridMultilevel"/>
    <w:lvl w:ilvl="0">
      <w:lvlJc w:val="left"/>
      <w:lvlText w:val="(%1)"/>
      <w:numFmt w:val="upperLetter"/>
      <w:start w:val="5"/>
    </w:lvl>
  </w:abstractNum>
  <w:abstractNum w:abstractNumId="57">
    <w:nsid w:val="6B94764"/>
    <w:multiLevelType w:val="hybridMultilevel"/>
    <w:lvl w:ilvl="0">
      <w:lvlJc w:val="left"/>
      <w:lvlText w:val="(%1)"/>
      <w:numFmt w:val="upperLetter"/>
      <w:start w:val="12"/>
    </w:lvl>
  </w:abstractNum>
  <w:abstractNum w:abstractNumId="58">
    <w:nsid w:val="42C296BD"/>
    <w:multiLevelType w:val="hybridMultilevel"/>
    <w:lvl w:ilvl="0">
      <w:lvlJc w:val="left"/>
      <w:lvlText w:val="(%1)"/>
      <w:numFmt w:val="lowerRoman"/>
      <w:start w:val="1"/>
    </w:lvl>
  </w:abstractNum>
  <w:abstractNum w:abstractNumId="59">
    <w:nsid w:val="168E121F"/>
    <w:multiLevelType w:val="hybridMultilevel"/>
    <w:lvl w:ilvl="0">
      <w:lvlJc w:val="left"/>
      <w:lvlText w:val="(%1)"/>
      <w:numFmt w:val="lowerRoman"/>
      <w:start w:val="2"/>
    </w:lvl>
  </w:abstractNum>
  <w:abstractNum w:abstractNumId="60">
    <w:nsid w:val="1EBA5D23"/>
    <w:multiLevelType w:val="hybridMultilevel"/>
    <w:lvl w:ilvl="0">
      <w:lvlJc w:val="left"/>
      <w:lvlText w:val="(%1)"/>
      <w:numFmt w:val="upperLetter"/>
      <w:start w:val="1"/>
    </w:lvl>
  </w:abstractNum>
  <w:abstractNum w:abstractNumId="61">
    <w:nsid w:val="661E3F1E"/>
    <w:multiLevelType w:val="hybridMultilevel"/>
    <w:lvl w:ilvl="0">
      <w:lvlJc w:val="left"/>
      <w:lvlText w:val="(%1)"/>
      <w:numFmt w:val="upperLetter"/>
      <w:start w:val="1"/>
    </w:lvl>
  </w:abstractNum>
  <w:abstractNum w:abstractNumId="62">
    <w:nsid w:val="5DC79EA8"/>
    <w:multiLevelType w:val="hybridMultilevel"/>
    <w:lvl w:ilvl="0">
      <w:lvlJc w:val="left"/>
      <w:lvlText w:val="(%1)"/>
      <w:numFmt w:val="upperLetter"/>
      <w:start w:val="2"/>
    </w:lvl>
  </w:abstractNum>
  <w:abstractNum w:abstractNumId="63">
    <w:nsid w:val="540A471C"/>
    <w:multiLevelType w:val="hybridMultilevel"/>
    <w:lvl w:ilvl="0">
      <w:lvlJc w:val="left"/>
      <w:lvlText w:val="%1"/>
      <w:numFmt w:val="upperLetter"/>
      <w:start w:val="1"/>
    </w:lvl>
    <w:lvl w:ilvl="1">
      <w:lvlJc w:val="left"/>
      <w:lvlText w:val="(%2)"/>
      <w:numFmt w:val="decimal"/>
      <w:start w:val="1"/>
    </w:lvl>
  </w:abstractNum>
  <w:abstractNum w:abstractNumId="64">
    <w:nsid w:val="7BD3EE7B"/>
    <w:multiLevelType w:val="hybridMultilevel"/>
    <w:lvl w:ilvl="0">
      <w:lvlJc w:val="left"/>
      <w:lvlText w:val="(%1)"/>
      <w:numFmt w:val="upperLetter"/>
      <w:start w:val="3"/>
    </w:lvl>
    <w:lvl w:ilvl="1">
      <w:lvlJc w:val="left"/>
      <w:lvlText w:val="%2"/>
      <w:numFmt w:val="decimal"/>
      <w:start w:val="1"/>
    </w:lvl>
  </w:abstractNum>
  <w:abstractNum w:abstractNumId="65">
    <w:nsid w:val="51D9C564"/>
    <w:multiLevelType w:val="hybridMultilevel"/>
    <w:lvl w:ilvl="0">
      <w:lvlJc w:val="left"/>
      <w:lvlText w:val="(%1)"/>
      <w:numFmt w:val="upperLetter"/>
      <w:start w:val="4"/>
    </w:lvl>
  </w:abstractNum>
  <w:abstractNum w:abstractNumId="66">
    <w:nsid w:val="613EFDC5"/>
    <w:multiLevelType w:val="hybridMultilevel"/>
    <w:lvl w:ilvl="0">
      <w:lvlJc w:val="left"/>
      <w:lvlText w:val="(%1)"/>
      <w:numFmt w:val="upperLetter"/>
      <w:start w:val="5"/>
    </w:lvl>
    <w:lvl w:ilvl="1">
      <w:lvlJc w:val="left"/>
      <w:lvlText w:val="(%2)"/>
      <w:numFmt w:val="decimal"/>
      <w:start w:val="1"/>
    </w:lvl>
  </w:abstractNum>
  <w:abstractNum w:abstractNumId="67">
    <w:nsid w:val="BF72B14"/>
    <w:multiLevelType w:val="hybridMultilevel"/>
    <w:lvl w:ilvl="0">
      <w:lvlJc w:val="left"/>
      <w:lvlText w:val="(%1)"/>
      <w:numFmt w:val="upperLetter"/>
      <w:start w:val="7"/>
    </w:lvl>
  </w:abstractNum>
  <w:abstractNum w:abstractNumId="68">
    <w:nsid w:val="11447B73"/>
    <w:multiLevelType w:val="hybridMultilevel"/>
    <w:lvl w:ilvl="0">
      <w:lvlJc w:val="left"/>
      <w:lvlText w:val="(%1)"/>
      <w:numFmt w:val="upperLetter"/>
      <w:start w:val="8"/>
    </w:lvl>
  </w:abstractNum>
  <w:abstractNum w:abstractNumId="69">
    <w:nsid w:val="42963E5A"/>
    <w:multiLevelType w:val="hybridMultilevel"/>
    <w:lvl w:ilvl="0">
      <w:lvlJc w:val="left"/>
      <w:lvlText w:val="(%1)"/>
      <w:numFmt w:val="upperLetter"/>
      <w:start w:val="1"/>
    </w:lvl>
  </w:abstractNum>
  <w:abstractNum w:abstractNumId="70">
    <w:nsid w:val="A0382C5"/>
    <w:multiLevelType w:val="hybridMultilevel"/>
    <w:lvl w:ilvl="0">
      <w:lvlJc w:val="left"/>
      <w:lvlText w:val="(%1)"/>
      <w:numFmt w:val="upperLetter"/>
      <w:start w:val="2"/>
    </w:lvl>
  </w:abstractNum>
  <w:abstractNum w:abstractNumId="71">
    <w:nsid w:val="8F2B15E"/>
    <w:multiLevelType w:val="hybridMultilevel"/>
    <w:lvl w:ilvl="0">
      <w:lvlJc w:val="left"/>
      <w:lvlText w:val="(%1)"/>
      <w:numFmt w:val="upperLetter"/>
      <w:start w:val="3"/>
    </w:lvl>
  </w:abstractNum>
  <w:abstractNum w:abstractNumId="72">
    <w:nsid w:val="1A32234B"/>
    <w:multiLevelType w:val="hybridMultilevel"/>
    <w:lvl w:ilvl="0">
      <w:lvlJc w:val="left"/>
      <w:lvlText w:val="(%1)"/>
      <w:numFmt w:val="upperLetter"/>
      <w:start w:val="1"/>
    </w:lvl>
  </w:abstractNum>
  <w:abstractNum w:abstractNumId="73">
    <w:nsid w:val="3B0FD379"/>
    <w:multiLevelType w:val="hybridMultilevel"/>
    <w:lvl w:ilvl="0">
      <w:lvlJc w:val="left"/>
      <w:lvlText w:val="(%1)"/>
      <w:numFmt w:val="upperLetter"/>
      <w:start w:val="3"/>
    </w:lvl>
    <w:lvl w:ilvl="1">
      <w:lvlJc w:val="left"/>
      <w:lvlText w:val="(%2)"/>
      <w:numFmt w:val="decimal"/>
      <w:start w:val="1"/>
    </w:lvl>
  </w:abstractNum>
  <w:abstractNum w:abstractNumId="74">
    <w:nsid w:val="68EB2F63"/>
    <w:multiLevelType w:val="hybridMultilevel"/>
    <w:lvl w:ilvl="0">
      <w:lvlJc w:val="left"/>
      <w:lvlText w:val="(%1)"/>
      <w:numFmt w:val="upperLetter"/>
      <w:start w:val="5"/>
    </w:lvl>
  </w:abstractNum>
  <w:abstractNum w:abstractNumId="75">
    <w:nsid w:val="4962813B"/>
    <w:multiLevelType w:val="hybridMultilevel"/>
    <w:lvl w:ilvl="0">
      <w:lvlJc w:val="left"/>
      <w:lvlText w:val="(%1)"/>
      <w:numFmt w:val="upperLetter"/>
      <w:start w:val="1"/>
    </w:lvl>
  </w:abstractNum>
  <w:abstractNum w:abstractNumId="76">
    <w:nsid w:val="60B6DF70"/>
    <w:multiLevelType w:val="hybridMultilevel"/>
    <w:lvl w:ilvl="0">
      <w:lvlJc w:val="left"/>
      <w:lvlText w:val="(%1)"/>
      <w:numFmt w:val="upperLetter"/>
      <w:start w:val="2"/>
    </w:lvl>
  </w:abstractNum>
  <w:abstractNum w:abstractNumId="77">
    <w:nsid w:val="6A5EE64"/>
    <w:multiLevelType w:val="hybridMultilevel"/>
    <w:lvl w:ilvl="0">
      <w:lvlJc w:val="left"/>
      <w:lvlText w:val="(%1)"/>
      <w:numFmt w:val="upperLetter"/>
      <w:start w:val="1"/>
    </w:lvl>
    <w:lvl w:ilvl="1">
      <w:lvlJc w:val="left"/>
      <w:lvlText w:val="(%2)"/>
      <w:numFmt w:val="decimal"/>
      <w:start w:val="1"/>
    </w:lvl>
  </w:abstractNum>
  <w:abstractNum w:abstractNumId="78">
    <w:nsid w:val="14330624"/>
    <w:multiLevelType w:val="hybridMultilevel"/>
    <w:lvl w:ilvl="0">
      <w:lvlJc w:val="left"/>
      <w:lvlText w:val="%1"/>
      <w:numFmt w:val="upperLetter"/>
      <w:start w:val="1"/>
    </w:lvl>
    <w:lvl w:ilvl="1">
      <w:lvlJc w:val="left"/>
      <w:lvlText w:val="(%2)"/>
      <w:numFmt w:val="decimal"/>
      <w:start w:val="6"/>
    </w:lvl>
  </w:abstractNum>
  <w:abstractNum w:abstractNumId="79">
    <w:nsid w:val="7FFFCA11"/>
    <w:multiLevelType w:val="hybridMultilevel"/>
    <w:lvl w:ilvl="0">
      <w:lvlJc w:val="left"/>
      <w:lvlText w:val="(%1)"/>
      <w:numFmt w:val="upperLetter"/>
      <w:start w:val="4"/>
    </w:lvl>
    <w:lvl w:ilvl="1">
      <w:lvlJc w:val="left"/>
      <w:lvlText w:val="%2"/>
      <w:numFmt w:val="decimal"/>
      <w:start w:val="1"/>
    </w:lvl>
  </w:abstractNum>
  <w:abstractNum w:abstractNumId="80">
    <w:nsid w:val="1A27709E"/>
    <w:multiLevelType w:val="hybridMultilevel"/>
    <w:lvl w:ilvl="0">
      <w:lvlJc w:val="left"/>
      <w:lvlText w:val="%1."/>
      <w:numFmt w:val="decimal"/>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2020-05-05T15:13:47Z</dcterms:created>
  <dcterms:modified xsi:type="dcterms:W3CDTF">2020-05-05T15:13:47Z</dcterms:modified>
</cp:coreProperties>
</file>