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As filed with the Securities and Exchange Commission on January 22, 2013.</w:t>
      </w:r>
    </w:p>
    <w:p>
      <w:pPr>
        <w:jc w:val="center"/>
        <w:ind w:right="-59"/>
        <w:spacing w:after="0" w:line="223" w:lineRule="auto"/>
        <w:rPr>
          <w:sz w:val="20"/>
          <w:szCs w:val="20"/>
          <w:color w:val="auto"/>
        </w:rPr>
      </w:pPr>
      <w:r>
        <w:rPr>
          <w:rFonts w:ascii="Arial" w:cs="Arial" w:eastAsia="Arial" w:hAnsi="Arial"/>
          <w:sz w:val="14"/>
          <w:szCs w:val="14"/>
          <w:b w:val="1"/>
          <w:bCs w:val="1"/>
          <w:color w:val="auto"/>
        </w:rPr>
        <w:t>Securities Act Registration No. 333-172524</w:t>
      </w:r>
    </w:p>
    <w:p>
      <w:pPr>
        <w:jc w:val="center"/>
        <w:ind w:right="-59"/>
        <w:spacing w:after="0"/>
        <w:rPr>
          <w:sz w:val="20"/>
          <w:szCs w:val="20"/>
          <w:color w:val="auto"/>
        </w:rPr>
      </w:pPr>
      <w:r>
        <w:rPr>
          <w:rFonts w:ascii="Arial" w:cs="Arial" w:eastAsia="Arial" w:hAnsi="Arial"/>
          <w:sz w:val="14"/>
          <w:szCs w:val="14"/>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59"/>
        <w:spacing w:after="0" w:line="207" w:lineRule="exact"/>
        <w:tabs>
          <w:tab w:leader="none" w:pos="200" w:val="left"/>
        </w:tabs>
        <w:rPr>
          <w:sz w:val="20"/>
          <w:szCs w:val="20"/>
          <w:color w:val="auto"/>
        </w:rPr>
      </w:pPr>
      <w:r>
        <w:rPr>
          <w:rFonts w:ascii="Arial" w:cs="Arial" w:eastAsia="Arial" w:hAnsi="Arial"/>
          <w:sz w:val="18"/>
          <w:szCs w:val="18"/>
          <w:b w:val="1"/>
          <w:bCs w:val="1"/>
          <w:color w:val="auto"/>
        </w:rPr>
        <w:t>Post-Effective Amendment No. 4</w:t>
      </w:r>
      <w:r>
        <w:rPr>
          <w:sz w:val="20"/>
          <w:szCs w:val="20"/>
          <w:color w:val="auto"/>
        </w:rPr>
        <w:tab/>
      </w:r>
      <w:r>
        <w:rPr>
          <w:rFonts w:ascii="MS PGothic" w:cs="MS PGothic" w:eastAsia="MS PGothic" w:hAnsi="MS PGothic"/>
          <w:sz w:val="16"/>
          <w:szCs w:val="16"/>
          <w:color w:val="auto"/>
        </w:rPr>
        <w:t>☒</w:t>
      </w:r>
    </w:p>
    <w:p>
      <w:pPr>
        <w:spacing w:after="0" w:line="10" w:lineRule="exact"/>
        <w:rPr>
          <w:sz w:val="24"/>
          <w:szCs w:val="24"/>
          <w:color w:val="auto"/>
        </w:rPr>
      </w:pPr>
    </w:p>
    <w:p>
      <w:pPr>
        <w:jc w:val="center"/>
        <w:ind w:right="-59"/>
        <w:spacing w:after="0" w:line="207" w:lineRule="exact"/>
        <w:rPr>
          <w:sz w:val="20"/>
          <w:szCs w:val="20"/>
          <w:color w:val="auto"/>
        </w:rPr>
      </w:pPr>
      <w:r>
        <w:rPr>
          <w:rFonts w:ascii="Arial" w:cs="Arial" w:eastAsia="Arial" w:hAnsi="Arial"/>
          <w:sz w:val="18"/>
          <w:szCs w:val="18"/>
          <w:b w:val="1"/>
          <w:bCs w:val="1"/>
          <w:color w:val="auto"/>
        </w:rPr>
        <w:t xml:space="preserve">Pre-Effective Amendment </w:t>
      </w:r>
      <w:r>
        <w:rPr>
          <w:rFonts w:ascii="MS PGothic" w:cs="MS PGothic" w:eastAsia="MS PGothic" w:hAnsi="MS PGothic"/>
          <w:sz w:val="18"/>
          <w:szCs w:val="18"/>
          <w:color w:val="auto"/>
        </w:rPr>
        <w:t>☐</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PennantPark Investment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590 Madison Avenue</w:t>
      </w:r>
    </w:p>
    <w:p>
      <w:pPr>
        <w:jc w:val="center"/>
        <w:ind w:right="-5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5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59"/>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ind w:right="-59"/>
        <w:spacing w:after="0" w:line="222" w:lineRule="auto"/>
        <w:rPr>
          <w:sz w:val="20"/>
          <w:szCs w:val="20"/>
          <w:color w:val="auto"/>
        </w:rPr>
      </w:pPr>
      <w:r>
        <w:rPr>
          <w:rFonts w:ascii="Arial" w:cs="Arial" w:eastAsia="Arial" w:hAnsi="Arial"/>
          <w:sz w:val="14"/>
          <w:szCs w:val="14"/>
          <w:b w:val="1"/>
          <w:bCs w:val="1"/>
          <w:color w:val="auto"/>
        </w:rPr>
        <w:t>(212) 905-1000</w:t>
      </w: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Arthur H. Penn</w:t>
      </w:r>
    </w:p>
    <w:p>
      <w:pPr>
        <w:jc w:val="center"/>
        <w:ind w:right="-59"/>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ind w:right="-5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5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5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5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Copies to:</w:t>
      </w:r>
    </w:p>
    <w:p>
      <w:pPr>
        <w:jc w:val="center"/>
        <w:ind w:right="-5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5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5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59"/>
        <w:spacing w:after="0" w:line="221" w:lineRule="auto"/>
        <w:rPr>
          <w:sz w:val="20"/>
          <w:szCs w:val="20"/>
          <w:color w:val="auto"/>
        </w:rPr>
      </w:pPr>
      <w:r>
        <w:rPr>
          <w:rFonts w:ascii="Arial" w:cs="Arial" w:eastAsia="Arial" w:hAnsi="Arial"/>
          <w:sz w:val="14"/>
          <w:szCs w:val="14"/>
          <w:b w:val="1"/>
          <w:bCs w:val="1"/>
          <w:color w:val="auto"/>
        </w:rPr>
        <w:t>1775 I Street, N.W.</w:t>
      </w:r>
    </w:p>
    <w:p>
      <w:pPr>
        <w:jc w:val="center"/>
        <w:ind w:right="-59"/>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ind w:right="-59"/>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ind w:right="-5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14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 w:lineRule="exact"/>
        <w:rPr>
          <w:sz w:val="24"/>
          <w:szCs w:val="24"/>
          <w:color w:val="auto"/>
        </w:rPr>
      </w:pPr>
    </w:p>
    <w:p>
      <w:pPr>
        <w:ind w:left="360" w:right="8220" w:hanging="10"/>
        <w:spacing w:after="0" w:line="302" w:lineRule="auto"/>
        <w:tabs>
          <w:tab w:leader="none" w:pos="51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when declared effective pursuant to section 8(c). If appropriate, check the following box:</w:t>
      </w:r>
    </w:p>
    <w:p>
      <w:pPr>
        <w:ind w:left="360"/>
        <w:spacing w:after="0" w:line="161" w:lineRule="exact"/>
        <w:rPr>
          <w:rFonts w:ascii="MS PGothic" w:cs="MS PGothic" w:eastAsia="MS PGothic" w:hAnsi="MS PGothic"/>
          <w:sz w:val="12"/>
          <w:szCs w:val="12"/>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28" w:lineRule="exact"/>
        <w:rPr>
          <w:rFonts w:ascii="MS PGothic" w:cs="MS PGothic" w:eastAsia="MS PGothic" w:hAnsi="MS PGothic"/>
          <w:sz w:val="12"/>
          <w:szCs w:val="12"/>
          <w:color w:val="auto"/>
        </w:rPr>
      </w:pPr>
    </w:p>
    <w:p>
      <w:pPr>
        <w:ind w:left="360"/>
        <w:spacing w:after="0" w:line="138"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This form is filed to register additional securities for an offering pursuant to Rule 462(b) under the Securities Act and the Securities Act registration statement number of the earlier effective registration</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statement for the same offering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35" w:right="29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Post-Effective Amendment No. 4 to the Registration Statement on Form N-2 (File No. 333-172524) of PennantPark Investment Corporation, or the Registration Statement, is being filed pursuant to Rule 462(d) under the Securities Act of 1933, as amended, or the Securities Act, solely for the purpose of filing exhibits to the Registration Statement. Accordingly, this Post-Effective Amendment No. 4 consists only of a facing page, this explanatory note and Part C of the Registration Statement setting forth the exhibits to the Registration Statement. This Post-Effective Amendment No. 4 does not modify any other part of the Registration Statement. Pursuant to Rule 462(d) under the Securities Act, this Post-Effective Amendment No. 4 shall become effective immediately upon filing with the Securities and Exchange Commission. The contents of the Registration Statement are hereby incorporated by reference.</w:t>
      </w:r>
    </w:p>
    <w:p>
      <w:pPr>
        <w:sectPr>
          <w:pgSz w:w="11900" w:h="16838" w:orient="portrait"/>
          <w:cols w:equalWidth="0" w:num="1">
            <w:col w:w="11320"/>
          </w:cols>
          <w:pgMar w:left="240" w:top="65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25. Financial statements and exhibits</w:t>
      </w:r>
    </w:p>
    <w:p>
      <w:pPr>
        <w:spacing w:after="0" w:line="200" w:lineRule="exact"/>
        <w:rPr>
          <w:sz w:val="20"/>
          <w:szCs w:val="20"/>
          <w:color w:val="auto"/>
        </w:rPr>
      </w:pPr>
    </w:p>
    <w:p>
      <w:pPr>
        <w:spacing w:after="0" w:line="221" w:lineRule="exact"/>
        <w:rPr>
          <w:sz w:val="20"/>
          <w:szCs w:val="20"/>
          <w:color w:val="auto"/>
        </w:rPr>
      </w:pPr>
    </w:p>
    <w:p>
      <w:pPr>
        <w:ind w:left="1040" w:hanging="617"/>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225" w:lineRule="exact"/>
        <w:rPr>
          <w:sz w:val="20"/>
          <w:szCs w:val="20"/>
          <w:color w:val="auto"/>
        </w:rPr>
      </w:pPr>
    </w:p>
    <w:p>
      <w:pPr>
        <w:ind w:left="1040" w:hanging="617"/>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1040" w:right="240" w:hanging="670"/>
        <w:spacing w:after="0" w:line="26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185" w:lineRule="exact"/>
        <w:rPr>
          <w:rFonts w:ascii="Arial" w:cs="Arial" w:eastAsia="Arial" w:hAnsi="Arial"/>
          <w:sz w:val="18"/>
          <w:szCs w:val="18"/>
          <w:color w:val="auto"/>
        </w:rPr>
      </w:pPr>
    </w:p>
    <w:p>
      <w:pPr>
        <w:ind w:left="1040" w:right="120" w:hanging="675"/>
        <w:spacing w:after="0" w:line="26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Form 10-K Exhibit 3.2 (File No. 814-00736), filed on November 16, 2011).</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5"/>
              </w:rPr>
              <w:t>(d)(1)</w:t>
            </w:r>
          </w:p>
        </w:tc>
        <w:tc>
          <w:tcPr>
            <w:tcW w:w="10500" w:type="dxa"/>
            <w:vAlign w:val="bottom"/>
          </w:tcPr>
          <w:p>
            <w:pPr>
              <w:ind w:left="140"/>
              <w:spacing w:after="0"/>
              <w:rPr>
                <w:sz w:val="20"/>
                <w:szCs w:val="20"/>
                <w:color w:val="auto"/>
              </w:rPr>
            </w:pPr>
            <w:r>
              <w:rPr>
                <w:rFonts w:ascii="Arial" w:cs="Arial" w:eastAsia="Arial" w:hAnsi="Arial"/>
                <w:sz w:val="18"/>
                <w:szCs w:val="18"/>
                <w:color w:val="auto"/>
                <w:w w:val="90"/>
              </w:rPr>
              <w:t>Specimen Stock Certificate (Incorporated by reference to Exhibit 99.(D)(1) to the Registrant’s Registration Statement on Form N-2 (File No. 333-</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150033), filed on April 2, 2008).</w:t>
            </w:r>
          </w:p>
        </w:tc>
      </w:tr>
      <w:tr>
        <w:trPr>
          <w:trHeight w:val="42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5"/>
              </w:rPr>
              <w:t>(d)(2)</w:t>
            </w:r>
          </w:p>
        </w:tc>
        <w:tc>
          <w:tcPr>
            <w:tcW w:w="10500" w:type="dxa"/>
            <w:vAlign w:val="bottom"/>
          </w:tcPr>
          <w:p>
            <w:pPr>
              <w:ind w:left="140"/>
              <w:spacing w:after="0"/>
              <w:rPr>
                <w:sz w:val="20"/>
                <w:szCs w:val="20"/>
                <w:color w:val="auto"/>
              </w:rPr>
            </w:pPr>
            <w:r>
              <w:rPr>
                <w:rFonts w:ascii="Arial" w:cs="Arial" w:eastAsia="Arial" w:hAnsi="Arial"/>
                <w:sz w:val="18"/>
                <w:szCs w:val="18"/>
                <w:color w:val="auto"/>
                <w:w w:val="90"/>
              </w:rPr>
              <w:t>Form of Subscription Certificate (Incorporated by reference to Exhibit 99.(D)(2) to the Registrant’s Pre-Effective Amendment to the Registration</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Statement on Form N-2/A (File No. 333-150033), filed on May 30, 2008).</w:t>
            </w:r>
          </w:p>
        </w:tc>
      </w:tr>
      <w:tr>
        <w:trPr>
          <w:trHeight w:val="42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5"/>
              </w:rPr>
              <w:t>(d)(3)</w:t>
            </w:r>
          </w:p>
        </w:tc>
        <w:tc>
          <w:tcPr>
            <w:tcW w:w="10500" w:type="dxa"/>
            <w:vAlign w:val="bottom"/>
          </w:tcPr>
          <w:p>
            <w:pPr>
              <w:ind w:left="140"/>
              <w:spacing w:after="0"/>
              <w:rPr>
                <w:sz w:val="20"/>
                <w:szCs w:val="20"/>
                <w:color w:val="auto"/>
              </w:rPr>
            </w:pPr>
            <w:r>
              <w:rPr>
                <w:rFonts w:ascii="Arial" w:cs="Arial" w:eastAsia="Arial" w:hAnsi="Arial"/>
                <w:sz w:val="18"/>
                <w:szCs w:val="18"/>
                <w:color w:val="auto"/>
                <w:w w:val="90"/>
              </w:rPr>
              <w:t>Form of Indenture (Incorporated by reference to Exhibit 99.(D)(3) to the Registrant’s Pre-Effective Amendment to the Registration Statement on</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Form N-2/A (File No. 333-150033), filed on May 30, 2008).</w:t>
            </w:r>
          </w:p>
        </w:tc>
      </w:tr>
      <w:tr>
        <w:trPr>
          <w:trHeight w:val="42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5"/>
              </w:rPr>
              <w:t>(d)(4)</w:t>
            </w:r>
          </w:p>
        </w:tc>
        <w:tc>
          <w:tcPr>
            <w:tcW w:w="10500" w:type="dxa"/>
            <w:vAlign w:val="bottom"/>
          </w:tcPr>
          <w:p>
            <w:pPr>
              <w:ind w:left="140"/>
              <w:spacing w:after="0"/>
              <w:rPr>
                <w:sz w:val="20"/>
                <w:szCs w:val="20"/>
                <w:color w:val="auto"/>
              </w:rPr>
            </w:pPr>
            <w:r>
              <w:rPr>
                <w:rFonts w:ascii="Arial" w:cs="Arial" w:eastAsia="Arial" w:hAnsi="Arial"/>
                <w:sz w:val="18"/>
                <w:szCs w:val="18"/>
                <w:color w:val="auto"/>
                <w:w w:val="94"/>
              </w:rPr>
              <w:t>Form of Subscription Agent Agreement (Incorporated by reference to Exhibit 99.(D)(4) to the Registrant’s Pre-Effective Amendment to the</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42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5"/>
              </w:rPr>
              <w:t>(d)(5)</w:t>
            </w:r>
          </w:p>
        </w:tc>
        <w:tc>
          <w:tcPr>
            <w:tcW w:w="10500" w:type="dxa"/>
            <w:vAlign w:val="bottom"/>
          </w:tcPr>
          <w:p>
            <w:pPr>
              <w:ind w:left="140"/>
              <w:spacing w:after="0"/>
              <w:rPr>
                <w:sz w:val="20"/>
                <w:szCs w:val="20"/>
                <w:color w:val="auto"/>
              </w:rPr>
            </w:pPr>
            <w:r>
              <w:rPr>
                <w:rFonts w:ascii="Arial" w:cs="Arial" w:eastAsia="Arial" w:hAnsi="Arial"/>
                <w:sz w:val="18"/>
                <w:szCs w:val="18"/>
                <w:color w:val="auto"/>
                <w:w w:val="93"/>
              </w:rPr>
              <w:t>Form of Warrant Agreement (Incorporated by reference to Exhibit 99.(D)(5) to the Registrant’s Pre-Effective Amendment to the Registration</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Statement on Form N-2/A (File No. 333-150033), filed on May 30, 2008).</w:t>
            </w:r>
          </w:p>
        </w:tc>
      </w:tr>
      <w:tr>
        <w:trPr>
          <w:trHeight w:val="42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5"/>
              </w:rPr>
              <w:t>(d)(6)</w:t>
            </w:r>
          </w:p>
        </w:tc>
        <w:tc>
          <w:tcPr>
            <w:tcW w:w="10500" w:type="dxa"/>
            <w:vAlign w:val="bottom"/>
          </w:tcPr>
          <w:p>
            <w:pPr>
              <w:ind w:left="140"/>
              <w:spacing w:after="0"/>
              <w:rPr>
                <w:sz w:val="20"/>
                <w:szCs w:val="20"/>
                <w:color w:val="auto"/>
              </w:rPr>
            </w:pPr>
            <w:r>
              <w:rPr>
                <w:rFonts w:ascii="Arial" w:cs="Arial" w:eastAsia="Arial" w:hAnsi="Arial"/>
                <w:sz w:val="18"/>
                <w:szCs w:val="18"/>
                <w:color w:val="auto"/>
                <w:w w:val="94"/>
              </w:rPr>
              <w:t>Form T-1 Statement of Eligibility with respect to the Form of Indenture (Incorporated by reference to Exhibit 2(d)(6) to the Registrant’s Pre-</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Effective Amendment to the Registration Statement on Form N-2/A (File No. 333-172524), filed August 22, 2011).</w:t>
            </w:r>
          </w:p>
        </w:tc>
      </w:tr>
      <w:tr>
        <w:trPr>
          <w:trHeight w:val="42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5"/>
              </w:rPr>
              <w:t>(d)(7)</w:t>
            </w:r>
          </w:p>
        </w:tc>
        <w:tc>
          <w:tcPr>
            <w:tcW w:w="10500" w:type="dxa"/>
            <w:vAlign w:val="bottom"/>
          </w:tcPr>
          <w:p>
            <w:pPr>
              <w:ind w:left="140"/>
              <w:spacing w:after="0"/>
              <w:rPr>
                <w:sz w:val="20"/>
                <w:szCs w:val="20"/>
                <w:color w:val="auto"/>
              </w:rPr>
            </w:pPr>
            <w:r>
              <w:rPr>
                <w:rFonts w:ascii="Arial" w:cs="Arial" w:eastAsia="Arial" w:hAnsi="Arial"/>
                <w:sz w:val="18"/>
                <w:szCs w:val="18"/>
                <w:color w:val="auto"/>
                <w:w w:val="92"/>
              </w:rPr>
              <w:t>Form of Articles Supplementary (Incorporated by reference to Exhibit 2(d)(7) to the Registrant’s Pre-Effective Amendment to the Registration</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Statement on Form N-2/A (File No. 333-172524), filed August 22, 2011).</w:t>
            </w:r>
          </w:p>
        </w:tc>
      </w:tr>
      <w:tr>
        <w:trPr>
          <w:trHeight w:val="42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9"/>
              </w:rPr>
              <w:t>(d)(8)**</w:t>
            </w:r>
          </w:p>
        </w:tc>
        <w:tc>
          <w:tcPr>
            <w:tcW w:w="10500" w:type="dxa"/>
            <w:vAlign w:val="bottom"/>
          </w:tcPr>
          <w:p>
            <w:pPr>
              <w:ind w:left="140"/>
              <w:spacing w:after="0"/>
              <w:rPr>
                <w:sz w:val="20"/>
                <w:szCs w:val="20"/>
                <w:color w:val="auto"/>
              </w:rPr>
            </w:pPr>
            <w:r>
              <w:rPr>
                <w:rFonts w:ascii="Arial" w:cs="Arial" w:eastAsia="Arial" w:hAnsi="Arial"/>
                <w:sz w:val="18"/>
                <w:szCs w:val="18"/>
                <w:color w:val="auto"/>
                <w:w w:val="87"/>
              </w:rPr>
              <w:t>Base Indenture, dated as of January 22, 2013, relating to the 6.25% Senior Notes due 2025, between the Registrant and American Stock Transfer &amp;</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Trust Company, LLC, as trustee.</w:t>
            </w:r>
          </w:p>
        </w:tc>
      </w:tr>
      <w:tr>
        <w:trPr>
          <w:trHeight w:val="426"/>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9"/>
              </w:rPr>
              <w:t>(d)(9)**</w:t>
            </w:r>
          </w:p>
        </w:tc>
        <w:tc>
          <w:tcPr>
            <w:tcW w:w="10500" w:type="dxa"/>
            <w:vAlign w:val="bottom"/>
          </w:tcPr>
          <w:p>
            <w:pPr>
              <w:ind w:left="140"/>
              <w:spacing w:after="0"/>
              <w:rPr>
                <w:sz w:val="20"/>
                <w:szCs w:val="20"/>
                <w:color w:val="auto"/>
              </w:rPr>
            </w:pPr>
            <w:r>
              <w:rPr>
                <w:rFonts w:ascii="Arial" w:cs="Arial" w:eastAsia="Arial" w:hAnsi="Arial"/>
                <w:sz w:val="18"/>
                <w:szCs w:val="18"/>
                <w:color w:val="auto"/>
                <w:w w:val="89"/>
              </w:rPr>
              <w:t>First Supplemental Indenture, dated as of January 22, 2013, relating to the 6.25% Senior Notes due 2025, between the Registrant and American</w:t>
            </w:r>
          </w:p>
        </w:tc>
      </w:tr>
      <w:tr>
        <w:trPr>
          <w:trHeight w:val="222"/>
        </w:trPr>
        <w:tc>
          <w:tcPr>
            <w:tcW w:w="720" w:type="dxa"/>
            <w:vAlign w:val="bottom"/>
          </w:tcPr>
          <w:p>
            <w:pPr>
              <w:spacing w:after="0"/>
              <w:rPr>
                <w:sz w:val="19"/>
                <w:szCs w:val="19"/>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rPr>
              <w:t>Stock Transfer &amp; Trust Company, LLC, as trustee.</w:t>
            </w:r>
          </w:p>
        </w:tc>
      </w:tr>
      <w:tr>
        <w:trPr>
          <w:trHeight w:val="432"/>
        </w:trPr>
        <w:tc>
          <w:tcPr>
            <w:tcW w:w="720" w:type="dxa"/>
            <w:vAlign w:val="bottom"/>
          </w:tcPr>
          <w:p>
            <w:pPr>
              <w:jc w:val="center"/>
              <w:ind w:right="52"/>
              <w:spacing w:after="0"/>
              <w:rPr>
                <w:sz w:val="20"/>
                <w:szCs w:val="20"/>
                <w:color w:val="auto"/>
              </w:rPr>
            </w:pPr>
            <w:r>
              <w:rPr>
                <w:rFonts w:ascii="Arial" w:cs="Arial" w:eastAsia="Arial" w:hAnsi="Arial"/>
                <w:sz w:val="18"/>
                <w:szCs w:val="18"/>
                <w:color w:val="auto"/>
                <w:w w:val="92"/>
              </w:rPr>
              <w:t>(d)(10)</w:t>
            </w:r>
          </w:p>
        </w:tc>
        <w:tc>
          <w:tcPr>
            <w:tcW w:w="10500" w:type="dxa"/>
            <w:vAlign w:val="bottom"/>
          </w:tcPr>
          <w:p>
            <w:pPr>
              <w:ind w:left="140"/>
              <w:spacing w:after="0"/>
              <w:rPr>
                <w:sz w:val="20"/>
                <w:szCs w:val="20"/>
                <w:color w:val="auto"/>
              </w:rPr>
            </w:pPr>
            <w:r>
              <w:rPr>
                <w:rFonts w:ascii="Arial" w:cs="Arial" w:eastAsia="Arial" w:hAnsi="Arial"/>
                <w:sz w:val="18"/>
                <w:szCs w:val="18"/>
                <w:color w:val="auto"/>
              </w:rPr>
              <w:t>Form of 6.25% Senior Notes due 2025 (included as part of Exhibit (d)(9)).</w:t>
            </w:r>
          </w:p>
        </w:tc>
      </w:tr>
    </w:tbl>
    <w:p>
      <w:pPr>
        <w:spacing w:after="0" w:line="210" w:lineRule="exact"/>
        <w:rPr>
          <w:sz w:val="20"/>
          <w:szCs w:val="20"/>
          <w:color w:val="auto"/>
        </w:rPr>
      </w:pPr>
    </w:p>
    <w:p>
      <w:pPr>
        <w:ind w:left="1040" w:right="220" w:hanging="670"/>
        <w:spacing w:after="0" w:line="26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274" w:right="259" w:bottom="1440" w:gutter="0" w:footer="0" w:header="0"/>
        </w:sectPr>
      </w:pPr>
    </w:p>
    <w:bookmarkStart w:id="3" w:name="page4"/>
    <w:bookmarkEnd w:id="3"/>
    <w:p>
      <w:pPr>
        <w:ind w:left="880" w:hanging="675"/>
        <w:spacing w:after="0"/>
        <w:tabs>
          <w:tab w:leader="none" w:pos="880" w:val="left"/>
        </w:tabs>
        <w:numPr>
          <w:ilvl w:val="0"/>
          <w:numId w:val="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Management Agreement between the Registrant and PennantPark Investment Advisers, LLC (Incorporated by reference to Exhibit 99.</w:t>
      </w:r>
    </w:p>
    <w:p>
      <w:pPr>
        <w:spacing w:after="0" w:line="49" w:lineRule="exact"/>
        <w:rPr>
          <w:rFonts w:ascii="Arial" w:cs="Arial" w:eastAsia="Arial" w:hAnsi="Arial"/>
          <w:sz w:val="15"/>
          <w:szCs w:val="15"/>
          <w:color w:val="auto"/>
        </w:rPr>
      </w:pPr>
    </w:p>
    <w:p>
      <w:pPr>
        <w:ind w:left="880"/>
        <w:spacing w:after="0"/>
        <w:rPr>
          <w:rFonts w:ascii="Arial" w:cs="Arial" w:eastAsia="Arial" w:hAnsi="Arial"/>
          <w:sz w:val="15"/>
          <w:szCs w:val="15"/>
          <w:color w:val="auto"/>
        </w:rPr>
      </w:pPr>
      <w:r>
        <w:rPr>
          <w:rFonts w:ascii="Arial" w:cs="Arial" w:eastAsia="Arial" w:hAnsi="Arial"/>
          <w:sz w:val="18"/>
          <w:szCs w:val="18"/>
          <w:color w:val="auto"/>
        </w:rPr>
        <w:t>(G) to the Registrant’s Registration Statement on Form N-2 (File No. 333-150033), filed on April 2, 2008).</w:t>
      </w:r>
    </w:p>
    <w:p>
      <w:pPr>
        <w:spacing w:after="0" w:line="219" w:lineRule="exact"/>
        <w:rPr>
          <w:sz w:val="20"/>
          <w:szCs w:val="20"/>
          <w:color w:val="auto"/>
        </w:rPr>
      </w:pPr>
    </w:p>
    <w:p>
      <w:pPr>
        <w:ind w:left="880" w:right="160" w:hanging="779"/>
        <w:spacing w:after="0" w:line="268" w:lineRule="auto"/>
        <w:tabs>
          <w:tab w:leader="none" w:pos="86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Pre-Effective Amendment to the Registration Statement on Form N-2/A (File No. 333-150033), filed on May 30, 2008).</w:t>
      </w:r>
    </w:p>
    <w:p>
      <w:pPr>
        <w:spacing w:after="0" w:line="186" w:lineRule="exact"/>
        <w:rPr>
          <w:sz w:val="20"/>
          <w:szCs w:val="20"/>
          <w:color w:val="auto"/>
        </w:rPr>
      </w:pPr>
    </w:p>
    <w:p>
      <w:pPr>
        <w:ind w:left="880" w:right="100" w:hanging="779"/>
        <w:spacing w:after="0" w:line="268" w:lineRule="auto"/>
        <w:tabs>
          <w:tab w:leader="none" w:pos="86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Post-Effective Amendment No. 4 to the Registration Statement on Form N-2/A (File No. 333-150033), filed on February 22, 2010).</w:t>
      </w:r>
    </w:p>
    <w:p>
      <w:pPr>
        <w:spacing w:after="0" w:line="186" w:lineRule="exact"/>
        <w:rPr>
          <w:sz w:val="20"/>
          <w:szCs w:val="20"/>
          <w:color w:val="auto"/>
        </w:rPr>
      </w:pPr>
    </w:p>
    <w:p>
      <w:pPr>
        <w:ind w:left="880" w:right="300" w:hanging="779"/>
        <w:spacing w:after="0" w:line="268" w:lineRule="auto"/>
        <w:tabs>
          <w:tab w:leader="none" w:pos="860"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Form of Underwriting Agreement for debt (Incorporated by reference to Exhibit 99.(H)(2) to the Registrant’s Pre-Effective Amendment to the Registration Statement on Form N-2/A (File No. 333-150033), filed on May 30, 2008).</w:t>
      </w:r>
    </w:p>
    <w:p>
      <w:pPr>
        <w:spacing w:after="0" w:line="186" w:lineRule="exact"/>
        <w:rPr>
          <w:sz w:val="20"/>
          <w:szCs w:val="20"/>
          <w:color w:val="auto"/>
        </w:rPr>
      </w:pPr>
    </w:p>
    <w:p>
      <w:pPr>
        <w:ind w:left="880" w:right="200" w:hanging="779"/>
        <w:spacing w:after="0" w:line="268" w:lineRule="auto"/>
        <w:tabs>
          <w:tab w:leader="none" w:pos="860" w:val="left"/>
        </w:tabs>
        <w:rPr>
          <w:sz w:val="20"/>
          <w:szCs w:val="20"/>
          <w:color w:val="auto"/>
        </w:rPr>
      </w:pPr>
      <w:r>
        <w:rPr>
          <w:rFonts w:ascii="Arial" w:cs="Arial" w:eastAsia="Arial" w:hAnsi="Arial"/>
          <w:sz w:val="18"/>
          <w:szCs w:val="18"/>
          <w:color w:val="auto"/>
        </w:rPr>
        <w:t>(h)(4)</w:t>
      </w:r>
      <w:r>
        <w:rPr>
          <w:sz w:val="20"/>
          <w:szCs w:val="20"/>
          <w:color w:val="auto"/>
        </w:rPr>
        <w:tab/>
      </w:r>
      <w:r>
        <w:rPr>
          <w:rFonts w:ascii="Arial" w:cs="Arial" w:eastAsia="Arial" w:hAnsi="Arial"/>
          <w:sz w:val="18"/>
          <w:szCs w:val="18"/>
          <w:color w:val="auto"/>
        </w:rPr>
        <w:t>Underwriting Agreement dated January 24, 2012 (Incorporated by reference to Exhibit 99.(H)(4) to the Registrant’s Post-Effective Amendment No. 2 to the Registration Statement on Form N-2/A (File No. 333-172524), filed on January 24, 2012).</w:t>
      </w:r>
    </w:p>
    <w:p>
      <w:pPr>
        <w:spacing w:after="0" w:line="186" w:lineRule="exact"/>
        <w:rPr>
          <w:sz w:val="20"/>
          <w:szCs w:val="20"/>
          <w:color w:val="auto"/>
        </w:rPr>
      </w:pPr>
    </w:p>
    <w:p>
      <w:pPr>
        <w:ind w:left="880" w:hanging="779"/>
        <w:spacing w:after="0" w:line="268" w:lineRule="auto"/>
        <w:tabs>
          <w:tab w:leader="none" w:pos="860" w:val="left"/>
        </w:tabs>
        <w:rPr>
          <w:sz w:val="20"/>
          <w:szCs w:val="20"/>
          <w:color w:val="auto"/>
        </w:rPr>
      </w:pPr>
      <w:r>
        <w:rPr>
          <w:rFonts w:ascii="Arial" w:cs="Arial" w:eastAsia="Arial" w:hAnsi="Arial"/>
          <w:sz w:val="18"/>
          <w:szCs w:val="18"/>
          <w:color w:val="auto"/>
        </w:rPr>
        <w:t>(h)(5)</w:t>
      </w:r>
      <w:r>
        <w:rPr>
          <w:sz w:val="20"/>
          <w:szCs w:val="20"/>
          <w:color w:val="auto"/>
        </w:rPr>
        <w:tab/>
      </w:r>
      <w:r>
        <w:rPr>
          <w:rFonts w:ascii="Arial" w:cs="Arial" w:eastAsia="Arial" w:hAnsi="Arial"/>
          <w:sz w:val="18"/>
          <w:szCs w:val="18"/>
          <w:color w:val="auto"/>
        </w:rPr>
        <w:t>Underwriting Agreement dated September 25, 2012 (Incorporated by reference to Exhibit 99.(H)(5) to the Registrant’s Post-Effective Amendment No. 3 to the Registration Statement on Form N-2/A (File No. 333-172524), filed on September 26, 2012).</w:t>
      </w:r>
    </w:p>
    <w:p>
      <w:pPr>
        <w:spacing w:after="0" w:line="1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(h)(6) **</w:t>
      </w:r>
      <w:r>
        <w:rPr>
          <w:sz w:val="20"/>
          <w:szCs w:val="20"/>
          <w:color w:val="auto"/>
        </w:rPr>
        <w:tab/>
      </w:r>
      <w:r>
        <w:rPr>
          <w:rFonts w:ascii="Arial" w:cs="Arial" w:eastAsia="Arial" w:hAnsi="Arial"/>
          <w:sz w:val="16"/>
          <w:szCs w:val="16"/>
          <w:color w:val="auto"/>
        </w:rPr>
        <w:t>Underwriting Agreement dated January 16, 2013.</w:t>
      </w:r>
    </w:p>
    <w:p>
      <w:pPr>
        <w:spacing w:after="0" w:line="225" w:lineRule="exact"/>
        <w:rPr>
          <w:sz w:val="20"/>
          <w:szCs w:val="20"/>
          <w:color w:val="auto"/>
        </w:rPr>
      </w:pPr>
    </w:p>
    <w:p>
      <w:pPr>
        <w:ind w:left="880" w:right="580" w:hanging="656"/>
        <w:spacing w:after="0" w:line="268"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86"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6"/>
          <w:szCs w:val="16"/>
          <w:color w:val="auto"/>
        </w:rPr>
        <w:t>(k)(1)</w:t>
      </w:r>
      <w:r>
        <w:rPr>
          <w:sz w:val="20"/>
          <w:szCs w:val="20"/>
          <w:color w:val="auto"/>
        </w:rPr>
        <w:tab/>
      </w:r>
      <w:r>
        <w:rPr>
          <w:rFonts w:ascii="Arial" w:cs="Arial" w:eastAsia="Arial" w:hAnsi="Arial"/>
          <w:sz w:val="16"/>
          <w:szCs w:val="16"/>
          <w:color w:val="auto"/>
        </w:rPr>
        <w:t>Administration Agreement between the Registrant and PennantPark Investment Administration, LLC (Incorporated by reference to Exhibit 99.(K)</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to the Registrant’s Registration Statement on Form N-2 (File No. 333-150033), filed on April 2, 2008).</w:t>
      </w:r>
    </w:p>
    <w:p>
      <w:pPr>
        <w:spacing w:after="0" w:line="219" w:lineRule="exact"/>
        <w:rPr>
          <w:sz w:val="20"/>
          <w:szCs w:val="20"/>
          <w:color w:val="auto"/>
        </w:rPr>
      </w:pPr>
    </w:p>
    <w:p>
      <w:pPr>
        <w:ind w:left="880" w:hanging="779"/>
        <w:spacing w:after="0" w:line="332" w:lineRule="auto"/>
        <w:tabs>
          <w:tab w:leader="none" w:pos="86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99.(K)(2) to the Registrant’s Registration Statement on Form N-2 (File No. 333-150033), filed on April 2, 2008).</w:t>
      </w:r>
    </w:p>
    <w:p>
      <w:pPr>
        <w:spacing w:after="0" w:line="139"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6"/>
          <w:szCs w:val="16"/>
          <w:color w:val="auto"/>
        </w:rPr>
        <w:t>(k)(3)</w:t>
      </w:r>
      <w:r>
        <w:rPr>
          <w:sz w:val="20"/>
          <w:szCs w:val="20"/>
          <w:color w:val="auto"/>
        </w:rPr>
        <w:tab/>
      </w:r>
      <w:r>
        <w:rPr>
          <w:rFonts w:ascii="Arial" w:cs="Arial" w:eastAsia="Arial" w:hAnsi="Arial"/>
          <w:sz w:val="16"/>
          <w:szCs w:val="16"/>
          <w:color w:val="auto"/>
        </w:rPr>
        <w:t>Trademark License Agreement (Incorporated by reference to Exhibit 99.(K)(3) to the Registrant’s Registration Statement on Form N-2 (File No.</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333-150033), filed on April 2, 2008).</w:t>
      </w:r>
    </w:p>
    <w:p>
      <w:pPr>
        <w:spacing w:after="0" w:line="219" w:lineRule="exact"/>
        <w:rPr>
          <w:sz w:val="20"/>
          <w:szCs w:val="20"/>
          <w:color w:val="auto"/>
        </w:rPr>
      </w:pPr>
    </w:p>
    <w:p>
      <w:pPr>
        <w:ind w:left="880" w:right="180" w:hanging="779"/>
        <w:spacing w:after="0" w:line="259" w:lineRule="auto"/>
        <w:tabs>
          <w:tab w:leader="none" w:pos="860" w:val="left"/>
        </w:tabs>
        <w:rPr>
          <w:sz w:val="20"/>
          <w:szCs w:val="20"/>
          <w:color w:val="auto"/>
        </w:rPr>
      </w:pPr>
      <w:r>
        <w:rPr>
          <w:rFonts w:ascii="Arial" w:cs="Arial" w:eastAsia="Arial" w:hAnsi="Arial"/>
          <w:sz w:val="18"/>
          <w:szCs w:val="18"/>
          <w:color w:val="auto"/>
        </w:rPr>
        <w:t>(k)(4)</w:t>
      </w:r>
      <w:r>
        <w:rPr>
          <w:sz w:val="20"/>
          <w:szCs w:val="20"/>
          <w:color w:val="auto"/>
        </w:rPr>
        <w:tab/>
      </w:r>
      <w:r>
        <w:rPr>
          <w:rFonts w:ascii="Arial" w:cs="Arial" w:eastAsia="Arial" w:hAnsi="Arial"/>
          <w:sz w:val="18"/>
          <w:szCs w:val="18"/>
          <w:color w:val="auto"/>
        </w:rPr>
        <w:t>Amended and Restated Senior Secured Revolving Credit Agreement, among PennantPark Investment Corporation, as the borrower, the Lenders party hereto, SunTrust Bank, as administrative agent and JPMorgan Chase Bank, N.A., as syndication agent (Incorporated by reference to the Report on Form 10-Q Exhibit 10.1 (File No. 814-00736), filed on May 2, 2012).</w:t>
      </w:r>
    </w:p>
    <w:p>
      <w:pPr>
        <w:spacing w:after="0" w:line="194" w:lineRule="exact"/>
        <w:rPr>
          <w:sz w:val="20"/>
          <w:szCs w:val="20"/>
          <w:color w:val="auto"/>
        </w:rPr>
      </w:pPr>
    </w:p>
    <w:p>
      <w:pPr>
        <w:ind w:left="880" w:right="780" w:hanging="759"/>
        <w:spacing w:after="0" w:line="268" w:lineRule="auto"/>
        <w:tabs>
          <w:tab w:leader="none" w:pos="86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Venable LLP (Incorporated by reference to Exhibit 2.(s)(1) to the Registrant’s Pre-Effective Amendment to the Registration Statement on Form N-2/A (File No. 333-172524), filed on August 22, 2011).</w:t>
      </w:r>
    </w:p>
    <w:p>
      <w:pPr>
        <w:spacing w:after="0" w:line="186" w:lineRule="exact"/>
        <w:rPr>
          <w:sz w:val="20"/>
          <w:szCs w:val="20"/>
          <w:color w:val="auto"/>
        </w:rPr>
      </w:pPr>
    </w:p>
    <w:p>
      <w:pPr>
        <w:ind w:left="880" w:right="780" w:hanging="759"/>
        <w:spacing w:after="0" w:line="268" w:lineRule="auto"/>
        <w:tabs>
          <w:tab w:leader="none" w:pos="860" w:val="left"/>
        </w:tabs>
        <w:rPr>
          <w:sz w:val="20"/>
          <w:szCs w:val="20"/>
          <w:color w:val="auto"/>
        </w:rPr>
      </w:pPr>
      <w:r>
        <w:rPr>
          <w:rFonts w:ascii="Arial" w:cs="Arial" w:eastAsia="Arial" w:hAnsi="Arial"/>
          <w:sz w:val="18"/>
          <w:szCs w:val="18"/>
          <w:color w:val="auto"/>
        </w:rPr>
        <w:t>(l)(2)</w:t>
      </w:r>
      <w:r>
        <w:rPr>
          <w:sz w:val="20"/>
          <w:szCs w:val="20"/>
          <w:color w:val="auto"/>
        </w:rPr>
        <w:tab/>
      </w:r>
      <w:r>
        <w:rPr>
          <w:rFonts w:ascii="Arial" w:cs="Arial" w:eastAsia="Arial" w:hAnsi="Arial"/>
          <w:sz w:val="18"/>
          <w:szCs w:val="18"/>
          <w:color w:val="auto"/>
        </w:rPr>
        <w:t>Opinion and Consent of Dechert LLP (Incorporated by reference to Exhibit 2.(s)(1) to the Registrant’s Pre-Effective Amendment to the Registration Statement on Form N-2/A (File No. 333-172524), filed on August 22, 2011).</w:t>
      </w:r>
    </w:p>
    <w:p>
      <w:pPr>
        <w:spacing w:after="0" w:line="1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80"/>
          </w:cols>
          <w:pgMar w:left="400" w:top="280" w:right="319" w:bottom="1440" w:gutter="0" w:footer="0" w:header="0"/>
        </w:sectPr>
      </w:pPr>
    </w:p>
    <w:bookmarkStart w:id="4" w:name="page5"/>
    <w:bookmarkEnd w:id="4"/>
    <w:p>
      <w:pPr>
        <w:ind w:left="1160" w:right="80" w:hanging="879"/>
        <w:spacing w:after="0" w:line="268" w:lineRule="auto"/>
        <w:tabs>
          <w:tab w:leader="none" w:pos="1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(l)(3)</w:t>
      </w:r>
      <w:r>
        <w:rPr>
          <w:sz w:val="20"/>
          <w:szCs w:val="20"/>
          <w:color w:val="auto"/>
        </w:rPr>
        <w:tab/>
      </w:r>
      <w:r>
        <w:rPr>
          <w:rFonts w:ascii="Arial" w:cs="Arial" w:eastAsia="Arial" w:hAnsi="Arial"/>
          <w:sz w:val="18"/>
          <w:szCs w:val="18"/>
          <w:color w:val="auto"/>
        </w:rPr>
        <w:t>Opinion and Consent of Venable LLP (Incorporated by reference to Exhibit 99.2(l)(3) to the Registrant’s Post-Effective Amendment No. 2 to the Registration Statement on Form N-2/A (File No. 333-172524), filed on January 24, 2012).</w:t>
      </w:r>
    </w:p>
    <w:p>
      <w:pPr>
        <w:spacing w:after="0" w:line="186" w:lineRule="exact"/>
        <w:rPr>
          <w:sz w:val="20"/>
          <w:szCs w:val="20"/>
          <w:color w:val="auto"/>
        </w:rPr>
      </w:pPr>
    </w:p>
    <w:p>
      <w:pPr>
        <w:ind w:left="1160" w:right="120" w:hanging="879"/>
        <w:spacing w:after="0" w:line="268" w:lineRule="auto"/>
        <w:tabs>
          <w:tab w:leader="none" w:pos="1140" w:val="left"/>
        </w:tabs>
        <w:rPr>
          <w:sz w:val="20"/>
          <w:szCs w:val="20"/>
          <w:color w:val="auto"/>
        </w:rPr>
      </w:pPr>
      <w:r>
        <w:rPr>
          <w:rFonts w:ascii="Arial" w:cs="Arial" w:eastAsia="Arial" w:hAnsi="Arial"/>
          <w:sz w:val="18"/>
          <w:szCs w:val="18"/>
          <w:color w:val="auto"/>
        </w:rPr>
        <w:t>(l)(4)</w:t>
      </w:r>
      <w:r>
        <w:rPr>
          <w:sz w:val="20"/>
          <w:szCs w:val="20"/>
          <w:color w:val="auto"/>
        </w:rPr>
        <w:tab/>
      </w:r>
      <w:r>
        <w:rPr>
          <w:rFonts w:ascii="Arial" w:cs="Arial" w:eastAsia="Arial" w:hAnsi="Arial"/>
          <w:sz w:val="18"/>
          <w:szCs w:val="18"/>
          <w:color w:val="auto"/>
        </w:rPr>
        <w:t>Opinion and Consent of Venable LLP (Incorporated by reference to Exhibit 99.(L)(4) to the Registrant’s Post-Effective Amendment No. 3 to the Registration Statement on Form N-2/A (File No. 333-172524), filed on September 26, 2012).</w:t>
      </w:r>
    </w:p>
    <w:p>
      <w:pPr>
        <w:spacing w:after="0" w:line="186"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(l)(5) **</w:t>
      </w:r>
      <w:r>
        <w:rPr>
          <w:sz w:val="20"/>
          <w:szCs w:val="20"/>
          <w:color w:val="auto"/>
        </w:rPr>
        <w:tab/>
      </w:r>
      <w:r>
        <w:rPr>
          <w:rFonts w:ascii="Arial" w:cs="Arial" w:eastAsia="Arial" w:hAnsi="Arial"/>
          <w:sz w:val="15"/>
          <w:szCs w:val="15"/>
          <w:color w:val="auto"/>
        </w:rPr>
        <w:t>Opinion and Consent of Venable LLP.</w:t>
      </w:r>
    </w:p>
    <w:p>
      <w:pPr>
        <w:spacing w:after="0" w:line="225"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(l)(6) **</w:t>
      </w:r>
      <w:r>
        <w:rPr>
          <w:sz w:val="20"/>
          <w:szCs w:val="20"/>
          <w:color w:val="auto"/>
        </w:rPr>
        <w:tab/>
      </w:r>
      <w:r>
        <w:rPr>
          <w:rFonts w:ascii="Arial" w:cs="Arial" w:eastAsia="Arial" w:hAnsi="Arial"/>
          <w:sz w:val="16"/>
          <w:szCs w:val="16"/>
          <w:color w:val="auto"/>
        </w:rPr>
        <w:t>Opinion and Consent of Dechert LLP.</w:t>
      </w:r>
    </w:p>
    <w:p>
      <w:pPr>
        <w:spacing w:after="0" w:line="225"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Independent Registered Public Accounting Firm (Previously filed).</w:t>
      </w:r>
    </w:p>
    <w:p>
      <w:pPr>
        <w:spacing w:after="0" w:line="225" w:lineRule="exact"/>
        <w:rPr>
          <w:sz w:val="20"/>
          <w:szCs w:val="20"/>
          <w:color w:val="auto"/>
        </w:rPr>
      </w:pPr>
    </w:p>
    <w:p>
      <w:pPr>
        <w:ind w:left="1160" w:right="160" w:hanging="879"/>
        <w:spacing w:after="0" w:line="268" w:lineRule="auto"/>
        <w:tabs>
          <w:tab w:leader="none" w:pos="114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November 14, 2012).</w:t>
      </w:r>
    </w:p>
    <w:p>
      <w:pPr>
        <w:spacing w:after="0" w:line="186" w:lineRule="exact"/>
        <w:rPr>
          <w:sz w:val="20"/>
          <w:szCs w:val="20"/>
          <w:color w:val="auto"/>
        </w:rPr>
      </w:pPr>
    </w:p>
    <w:p>
      <w:pPr>
        <w:ind w:left="1160" w:right="340" w:hanging="879"/>
        <w:spacing w:after="0" w:line="332" w:lineRule="auto"/>
        <w:tabs>
          <w:tab w:leader="none" w:pos="114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2.(s)(1) to the Registrant’s Pre-Effective Amendment to the Registration Statement on Form N-2/A (File No. 333-172524), filed on August 22, 2011).</w:t>
      </w:r>
    </w:p>
    <w:p>
      <w:pPr>
        <w:spacing w:after="0" w:line="139" w:lineRule="exact"/>
        <w:rPr>
          <w:sz w:val="20"/>
          <w:szCs w:val="20"/>
          <w:color w:val="auto"/>
        </w:rPr>
      </w:pPr>
    </w:p>
    <w:p>
      <w:pPr>
        <w:ind w:left="1160" w:right="340" w:hanging="879"/>
        <w:spacing w:after="0" w:line="332" w:lineRule="auto"/>
        <w:tabs>
          <w:tab w:leader="none" w:pos="1140" w:val="left"/>
        </w:tabs>
        <w:rPr>
          <w:sz w:val="20"/>
          <w:szCs w:val="20"/>
          <w:color w:val="auto"/>
        </w:rPr>
      </w:pPr>
      <w:r>
        <w:rPr>
          <w:rFonts w:ascii="Arial" w:cs="Arial" w:eastAsia="Arial" w:hAnsi="Arial"/>
          <w:sz w:val="16"/>
          <w:szCs w:val="16"/>
          <w:color w:val="auto"/>
        </w:rPr>
        <w:t>(s)(2)</w:t>
      </w:r>
      <w:r>
        <w:rPr>
          <w:sz w:val="20"/>
          <w:szCs w:val="20"/>
          <w:color w:val="auto"/>
        </w:rPr>
        <w:tab/>
      </w:r>
      <w:r>
        <w:rPr>
          <w:rFonts w:ascii="Arial" w:cs="Arial" w:eastAsia="Arial" w:hAnsi="Arial"/>
          <w:sz w:val="16"/>
          <w:szCs w:val="16"/>
          <w:color w:val="auto"/>
        </w:rPr>
        <w:t>Form of Prospectus Supplement For Preferred Stock Offerings (Incorporated by reference to Exhibit 2.(s)(2) to the Registrant’s Pre-Effective Amendment to the Registration Statement on Form N-2/A (File No. 333-172524), filed on August 22, 2011).</w:t>
      </w:r>
    </w:p>
    <w:p>
      <w:pPr>
        <w:spacing w:after="0" w:line="139" w:lineRule="exact"/>
        <w:rPr>
          <w:sz w:val="20"/>
          <w:szCs w:val="20"/>
          <w:color w:val="auto"/>
        </w:rPr>
      </w:pPr>
    </w:p>
    <w:p>
      <w:pPr>
        <w:ind w:left="1160" w:hanging="879"/>
        <w:spacing w:after="0" w:line="268" w:lineRule="auto"/>
        <w:tabs>
          <w:tab w:leader="none" w:pos="114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2.(s)(3) to the Registrant’s Pre-Effective Amendment to the Registration Statement on Form N-2/A (File No. 333-172524), filed on August 22, 2011).</w:t>
      </w:r>
    </w:p>
    <w:p>
      <w:pPr>
        <w:spacing w:after="0" w:line="186" w:lineRule="exact"/>
        <w:rPr>
          <w:sz w:val="20"/>
          <w:szCs w:val="20"/>
          <w:color w:val="auto"/>
        </w:rPr>
      </w:pPr>
    </w:p>
    <w:p>
      <w:pPr>
        <w:ind w:left="1160" w:right="80" w:hanging="879"/>
        <w:spacing w:after="0" w:line="268" w:lineRule="auto"/>
        <w:tabs>
          <w:tab w:leader="none" w:pos="114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Form of Prospectus Supplement For Rights Offerings (Incorporated by reference to Exhibit 2.(s)(4) to the Registrant’s Pre-Effective Amendment to the Registration Statement on Form N-2/A (File No. 333-172524), filed on August 22, 2011).</w:t>
      </w:r>
    </w:p>
    <w:p>
      <w:pPr>
        <w:spacing w:after="0" w:line="186" w:lineRule="exact"/>
        <w:rPr>
          <w:sz w:val="20"/>
          <w:szCs w:val="20"/>
          <w:color w:val="auto"/>
        </w:rPr>
      </w:pPr>
    </w:p>
    <w:p>
      <w:pPr>
        <w:ind w:left="1160" w:right="880" w:hanging="879"/>
        <w:spacing w:after="0" w:line="332" w:lineRule="auto"/>
        <w:tabs>
          <w:tab w:leader="none" w:pos="1140" w:val="left"/>
        </w:tabs>
        <w:rPr>
          <w:sz w:val="20"/>
          <w:szCs w:val="20"/>
          <w:color w:val="auto"/>
        </w:rPr>
      </w:pPr>
      <w:r>
        <w:rPr>
          <w:rFonts w:ascii="Arial" w:cs="Arial" w:eastAsia="Arial" w:hAnsi="Arial"/>
          <w:sz w:val="16"/>
          <w:szCs w:val="16"/>
          <w:color w:val="auto"/>
        </w:rPr>
        <w:t>(s)(5)</w:t>
      </w:r>
      <w:r>
        <w:rPr>
          <w:sz w:val="20"/>
          <w:szCs w:val="20"/>
          <w:color w:val="auto"/>
        </w:rPr>
        <w:tab/>
      </w:r>
      <w:r>
        <w:rPr>
          <w:rFonts w:ascii="Arial" w:cs="Arial" w:eastAsia="Arial" w:hAnsi="Arial"/>
          <w:sz w:val="16"/>
          <w:szCs w:val="16"/>
          <w:color w:val="auto"/>
        </w:rPr>
        <w:t>Form of Prospectus Supplement For Warrant Offerings (Incorporated by reference to Exhibit 2.(s)(5) to the Registrant’s Pre-Effective Amendment to the Registration Statement on Form N-2/A (File No. 333-172524), filed on August 22, 2011).</w:t>
      </w:r>
    </w:p>
    <w:p>
      <w:pPr>
        <w:spacing w:after="0" w:line="12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27. 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289" w:lineRule="exact"/>
        <w:rPr>
          <w:sz w:val="20"/>
          <w:szCs w:val="20"/>
          <w:color w:val="auto"/>
        </w:rPr>
      </w:pPr>
    </w:p>
    <w:tbl>
      <w:tblPr>
        <w:tblLayout w:type="fixed"/>
        <w:tblInd w:w="354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116,100</w:t>
            </w:r>
          </w:p>
        </w:tc>
      </w:tr>
      <w:tr>
        <w:trPr>
          <w:trHeight w:val="472"/>
        </w:trPr>
        <w:tc>
          <w:tcPr>
            <w:tcW w:w="1760" w:type="dxa"/>
            <w:vAlign w:val="bottom"/>
          </w:tcPr>
          <w:p>
            <w:pPr>
              <w:spacing w:after="0"/>
              <w:rPr>
                <w:sz w:val="20"/>
                <w:szCs w:val="20"/>
                <w:color w:val="auto"/>
              </w:rPr>
            </w:pPr>
            <w:r>
              <w:rPr>
                <w:rFonts w:ascii="Arial" w:cs="Arial" w:eastAsia="Arial" w:hAnsi="Arial"/>
                <w:sz w:val="18"/>
                <w:szCs w:val="18"/>
                <w:color w:val="auto"/>
              </w:rPr>
              <w:t>NASDAQ listing fee</w:t>
            </w:r>
          </w:p>
        </w:tc>
        <w:tc>
          <w:tcPr>
            <w:tcW w:w="1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195,000</w:t>
            </w:r>
          </w:p>
        </w:tc>
      </w:tr>
      <w:tr>
        <w:trPr>
          <w:trHeight w:val="36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101,500</w:t>
            </w:r>
          </w:p>
        </w:tc>
      </w:tr>
      <w:tr>
        <w:trPr>
          <w:trHeight w:val="363"/>
        </w:trPr>
        <w:tc>
          <w:tcPr>
            <w:tcW w:w="1760" w:type="dxa"/>
            <w:vAlign w:val="bottom"/>
          </w:tcPr>
          <w:p>
            <w:pPr>
              <w:spacing w:after="0"/>
              <w:rPr>
                <w:sz w:val="24"/>
                <w:szCs w:val="24"/>
                <w:color w:val="auto"/>
              </w:rPr>
            </w:pPr>
          </w:p>
        </w:tc>
        <w:tc>
          <w:tcPr>
            <w:tcW w:w="1840" w:type="dxa"/>
            <w:vAlign w:val="bottom"/>
          </w:tcPr>
          <w:p>
            <w:pPr>
              <w:jc w:val="right"/>
              <w:ind w:right="1212"/>
              <w:spacing w:after="0"/>
              <w:rPr>
                <w:sz w:val="20"/>
                <w:szCs w:val="20"/>
                <w:color w:val="auto"/>
              </w:rPr>
            </w:pPr>
            <w:r>
              <w:rPr>
                <w:rFonts w:ascii="Arial" w:cs="Arial" w:eastAsia="Arial" w:hAnsi="Arial"/>
                <w:sz w:val="18"/>
                <w:szCs w:val="18"/>
                <w:color w:val="auto"/>
              </w:rPr>
              <w:t>C-3</w:t>
            </w:r>
          </w:p>
        </w:tc>
        <w:tc>
          <w:tcPr>
            <w:tcW w:w="7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ind w:left="33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-111125</wp:posOffset>
            </wp:positionV>
            <wp:extent cx="303593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137160"/>
                    </a:xfrm>
                    <a:prstGeom prst="rect">
                      <a:avLst/>
                    </a:prstGeom>
                    <a:noFill/>
                  </pic:spPr>
                </pic:pic>
              </a:graphicData>
            </a:graphic>
          </wp:anchor>
        </w:drawing>
      </w:r>
    </w:p>
    <w:p>
      <w:pPr>
        <w:spacing w:after="0" w:line="16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Legal fees and expenses</w:t>
      </w:r>
    </w:p>
    <w:p>
      <w:pPr>
        <w:spacing w:after="0" w:line="15"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-114935</wp:posOffset>
            </wp:positionV>
            <wp:extent cx="303593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137160"/>
                    </a:xfrm>
                    <a:prstGeom prst="rect">
                      <a:avLst/>
                    </a:prstGeom>
                    <a:noFill/>
                  </pic:spPr>
                </pic:pic>
              </a:graphicData>
            </a:graphic>
          </wp:anchor>
        </w:drawing>
      </w:r>
    </w:p>
    <w:p>
      <w:pPr>
        <w:spacing w:after="0" w:line="12"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Miscellaneous fees and expenses</w:t>
      </w:r>
    </w:p>
    <w:p>
      <w:pPr>
        <w:spacing w:after="0" w:line="200" w:lineRule="exact"/>
        <w:rPr>
          <w:sz w:val="20"/>
          <w:szCs w:val="20"/>
          <w:color w:val="auto"/>
        </w:rPr>
      </w:pPr>
    </w:p>
    <w:p>
      <w:pPr>
        <w:spacing w:after="0" w:line="217" w:lineRule="exact"/>
        <w:rPr>
          <w:sz w:val="20"/>
          <w:szCs w:val="20"/>
          <w:color w:val="auto"/>
        </w:rPr>
      </w:pPr>
    </w:p>
    <w:p>
      <w:pPr>
        <w:jc w:val="center"/>
        <w:ind w:left="858"/>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-125730</wp:posOffset>
            </wp:positionV>
            <wp:extent cx="303593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13716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expenses set forth above shall be borne by the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28. Persons controlled by or under common control with the Registrant</w:t>
      </w:r>
    </w:p>
    <w:p>
      <w:pPr>
        <w:spacing w:after="0" w:line="20" w:lineRule="exact"/>
        <w:rPr>
          <w:sz w:val="20"/>
          <w:szCs w:val="20"/>
          <w:color w:val="auto"/>
        </w:rPr>
      </w:pPr>
      <w:r>
        <w:rPr>
          <w:sz w:val="20"/>
          <w:szCs w:val="20"/>
          <w:color w:val="auto"/>
        </w:rPr>
        <w:br w:type="column"/>
      </w:r>
    </w:p>
    <w:p>
      <w:pPr>
        <w:ind w:left="578" w:hanging="578"/>
        <w:spacing w:after="0"/>
        <w:tabs>
          <w:tab w:leader="none" w:pos="578" w:val="left"/>
        </w:tabs>
        <w:numPr>
          <w:ilvl w:val="0"/>
          <w:numId w:val="9"/>
        </w:numPr>
        <w:rPr>
          <w:rFonts w:ascii="Arial" w:cs="Arial" w:eastAsia="Arial" w:hAnsi="Arial"/>
          <w:sz w:val="15"/>
          <w:szCs w:val="15"/>
          <w:color w:val="auto"/>
        </w:rPr>
      </w:pPr>
      <w:r>
        <w:rPr>
          <w:rFonts w:ascii="Arial" w:cs="Arial" w:eastAsia="Arial" w:hAnsi="Arial"/>
          <w:sz w:val="15"/>
          <w:szCs w:val="15"/>
          <w:color w:val="auto"/>
        </w:rPr>
        <w:t>270,000</w:t>
      </w:r>
    </w:p>
    <w:p>
      <w:pPr>
        <w:spacing w:after="0" w:line="192" w:lineRule="exact"/>
        <w:rPr>
          <w:sz w:val="20"/>
          <w:szCs w:val="20"/>
          <w:color w:val="auto"/>
        </w:rPr>
      </w:pPr>
    </w:p>
    <w:p>
      <w:pPr>
        <w:ind w:left="578" w:hanging="578"/>
        <w:spacing w:after="0"/>
        <w:tabs>
          <w:tab w:leader="none" w:pos="578" w:val="left"/>
        </w:tabs>
        <w:numPr>
          <w:ilvl w:val="0"/>
          <w:numId w:val="10"/>
        </w:numPr>
        <w:rPr>
          <w:rFonts w:ascii="Arial" w:cs="Arial" w:eastAsia="Arial" w:hAnsi="Arial"/>
          <w:sz w:val="15"/>
          <w:szCs w:val="15"/>
          <w:color w:val="auto"/>
        </w:rPr>
      </w:pPr>
      <w:r>
        <w:rPr>
          <w:rFonts w:ascii="Arial" w:cs="Arial" w:eastAsia="Arial" w:hAnsi="Arial"/>
          <w:sz w:val="15"/>
          <w:szCs w:val="15"/>
          <w:color w:val="auto"/>
        </w:rPr>
        <w:t>550,000</w:t>
      </w:r>
    </w:p>
    <w:p>
      <w:pPr>
        <w:spacing w:after="0" w:line="50" w:lineRule="exact"/>
        <w:rPr>
          <w:sz w:val="20"/>
          <w:szCs w:val="20"/>
          <w:color w:val="auto"/>
        </w:rPr>
      </w:pPr>
    </w:p>
    <w:p>
      <w:pPr>
        <w:ind w:left="578" w:hanging="578"/>
        <w:spacing w:after="0"/>
        <w:tabs>
          <w:tab w:leader="none" w:pos="578" w:val="left"/>
        </w:tabs>
        <w:numPr>
          <w:ilvl w:val="0"/>
          <w:numId w:val="11"/>
        </w:numPr>
        <w:rPr>
          <w:rFonts w:ascii="Arial" w:cs="Arial" w:eastAsia="Arial" w:hAnsi="Arial"/>
          <w:sz w:val="15"/>
          <w:szCs w:val="15"/>
          <w:color w:val="auto"/>
        </w:rPr>
      </w:pPr>
      <w:r>
        <w:rPr>
          <w:rFonts w:ascii="Arial" w:cs="Arial" w:eastAsia="Arial" w:hAnsi="Arial"/>
          <w:sz w:val="15"/>
          <w:szCs w:val="15"/>
          <w:color w:val="auto"/>
        </w:rPr>
        <w:t>250,000</w:t>
      </w:r>
    </w:p>
    <w:p>
      <w:pPr>
        <w:spacing w:after="0" w:line="43" w:lineRule="exact"/>
        <w:rPr>
          <w:rFonts w:ascii="Arial" w:cs="Arial" w:eastAsia="Arial" w:hAnsi="Arial"/>
          <w:sz w:val="15"/>
          <w:szCs w:val="15"/>
          <w:color w:val="auto"/>
        </w:rPr>
      </w:pPr>
    </w:p>
    <w:p>
      <w:pPr>
        <w:ind w:left="658" w:hanging="658"/>
        <w:spacing w:after="0"/>
        <w:tabs>
          <w:tab w:leader="none" w:pos="658" w:val="left"/>
        </w:tabs>
        <w:numPr>
          <w:ilvl w:val="0"/>
          <w:numId w:val="11"/>
        </w:numPr>
        <w:rPr>
          <w:rFonts w:ascii="Arial" w:cs="Arial" w:eastAsia="Arial" w:hAnsi="Arial"/>
          <w:sz w:val="15"/>
          <w:szCs w:val="15"/>
          <w:color w:val="auto"/>
        </w:rPr>
      </w:pPr>
      <w:r>
        <w:rPr>
          <w:rFonts w:ascii="Arial" w:cs="Arial" w:eastAsia="Arial" w:hAnsi="Arial"/>
          <w:sz w:val="15"/>
          <w:szCs w:val="15"/>
          <w:color w:val="auto"/>
        </w:rPr>
        <w:t>17,400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38" w:hanging="438"/>
        <w:spacing w:after="0"/>
        <w:tabs>
          <w:tab w:leader="none" w:pos="438" w:val="left"/>
        </w:tabs>
        <w:numPr>
          <w:ilvl w:val="0"/>
          <w:numId w:val="12"/>
        </w:numPr>
        <w:rPr>
          <w:rFonts w:ascii="Arial" w:cs="Arial" w:eastAsia="Arial" w:hAnsi="Arial"/>
          <w:sz w:val="15"/>
          <w:szCs w:val="15"/>
          <w:color w:val="auto"/>
        </w:rPr>
      </w:pPr>
      <w:r>
        <w:rPr>
          <w:rFonts w:ascii="Arial" w:cs="Arial" w:eastAsia="Arial" w:hAnsi="Arial"/>
          <w:sz w:val="15"/>
          <w:szCs w:val="15"/>
          <w:color w:val="auto"/>
        </w:rPr>
        <w:t>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5" w:lineRule="exact"/>
        <w:rPr>
          <w:sz w:val="20"/>
          <w:szCs w:val="20"/>
          <w:color w:val="auto"/>
        </w:rPr>
      </w:pPr>
    </w:p>
    <w:p>
      <w:pPr>
        <w:sectPr>
          <w:pgSz w:w="11900" w:h="16838" w:orient="portrait"/>
          <w:cols w:equalWidth="0" w:num="2">
            <w:col w:w="6142" w:space="720"/>
            <w:col w:w="4418"/>
          </w:cols>
          <w:pgMar w:left="240" w:top="334" w:right="379" w:bottom="1440" w:gutter="0" w:footer="0" w:header="0"/>
        </w:sectPr>
      </w:pPr>
    </w:p>
    <w:p>
      <w:pPr>
        <w:ind w:firstLine="456"/>
        <w:spacing w:after="0" w:line="268" w:lineRule="auto"/>
        <w:rPr>
          <w:sz w:val="20"/>
          <w:szCs w:val="20"/>
          <w:color w:val="auto"/>
        </w:rPr>
      </w:pPr>
      <w:r>
        <w:rPr>
          <w:rFonts w:ascii="Arial" w:cs="Arial" w:eastAsia="Arial" w:hAnsi="Arial"/>
          <w:sz w:val="18"/>
          <w:szCs w:val="18"/>
          <w:color w:val="auto"/>
        </w:rPr>
        <w:t>The following lists sets forth each of the companies considered to be controlled by us as defined by the Investment Company Act of 1940, as amended, or the 1940 Act.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of entity and place of jurisdiction</w:t>
            </w:r>
          </w:p>
        </w:tc>
        <w:tc>
          <w:tcPr>
            <w:tcW w:w="1940" w:type="dxa"/>
            <w:vAlign w:val="bottom"/>
          </w:tcPr>
          <w:p>
            <w:pPr>
              <w:jc w:val="right"/>
              <w:ind w:right="172"/>
              <w:spacing w:after="0"/>
              <w:rPr>
                <w:sz w:val="20"/>
                <w:szCs w:val="20"/>
                <w:color w:val="auto"/>
              </w:rPr>
            </w:pPr>
            <w:r>
              <w:rPr>
                <w:rFonts w:ascii="Arial" w:cs="Arial" w:eastAsia="Arial" w:hAnsi="Arial"/>
                <w:sz w:val="18"/>
                <w:szCs w:val="18"/>
                <w:b w:val="1"/>
                <w:bCs w:val="1"/>
                <w:color w:val="auto"/>
              </w:rPr>
              <w:t>Voting Securities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40" w:type="dxa"/>
            <w:vAlign w:val="bottom"/>
            <w:gridSpan w:val="3"/>
            <w:vMerge w:val="continue"/>
          </w:tcPr>
          <w:p>
            <w:pPr>
              <w:spacing w:after="0"/>
              <w:rPr>
                <w:sz w:val="20"/>
                <w:szCs w:val="20"/>
                <w:color w:val="auto"/>
              </w:rPr>
            </w:pPr>
          </w:p>
        </w:tc>
        <w:tc>
          <w:tcPr>
            <w:tcW w:w="1940" w:type="dxa"/>
            <w:vAlign w:val="bottom"/>
          </w:tcPr>
          <w:p>
            <w:pPr>
              <w:jc w:val="right"/>
              <w:ind w:right="92"/>
              <w:spacing w:after="0"/>
              <w:rPr>
                <w:sz w:val="20"/>
                <w:szCs w:val="20"/>
                <w:color w:val="auto"/>
              </w:rPr>
            </w:pPr>
            <w:r>
              <w:rPr>
                <w:rFonts w:ascii="Arial" w:cs="Arial" w:eastAsia="Arial" w:hAnsi="Arial"/>
                <w:sz w:val="18"/>
                <w:szCs w:val="18"/>
                <w:b w:val="1"/>
                <w:bCs w:val="1"/>
                <w:color w:val="auto"/>
              </w:rPr>
              <w:t>Owned Percentage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PennantPark SBIC GP, LLC (Delaware)</w:t>
            </w:r>
          </w:p>
        </w:tc>
        <w:tc>
          <w:tcPr>
            <w:tcW w:w="35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6540" w:type="dxa"/>
            <w:vAlign w:val="bottom"/>
            <w:gridSpan w:val="3"/>
          </w:tcPr>
          <w:p>
            <w:pPr>
              <w:spacing w:after="0"/>
              <w:rPr>
                <w:sz w:val="20"/>
                <w:szCs w:val="20"/>
                <w:color w:val="auto"/>
              </w:rPr>
            </w:pPr>
            <w:r>
              <w:rPr>
                <w:rFonts w:ascii="Arial" w:cs="Arial" w:eastAsia="Arial" w:hAnsi="Arial"/>
                <w:sz w:val="18"/>
                <w:szCs w:val="18"/>
                <w:color w:val="auto"/>
              </w:rPr>
              <w:t>PennantPark SBIC GP II, LLC (Delaware)</w:t>
            </w:r>
          </w:p>
        </w:tc>
        <w:tc>
          <w:tcPr>
            <w:tcW w:w="19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SBIC LP (Delaware)</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322"/>
        </w:trPr>
        <w:tc>
          <w:tcPr>
            <w:tcW w:w="6540" w:type="dxa"/>
            <w:vAlign w:val="bottom"/>
            <w:gridSpan w:val="3"/>
          </w:tcPr>
          <w:p>
            <w:pPr>
              <w:spacing w:after="0"/>
              <w:rPr>
                <w:sz w:val="20"/>
                <w:szCs w:val="20"/>
                <w:color w:val="auto"/>
              </w:rPr>
            </w:pPr>
            <w:r>
              <w:rPr>
                <w:rFonts w:ascii="Arial" w:cs="Arial" w:eastAsia="Arial" w:hAnsi="Arial"/>
                <w:sz w:val="18"/>
                <w:szCs w:val="18"/>
                <w:color w:val="auto"/>
              </w:rPr>
              <w:t>PennantPark SBIC II LP (Delaware)</w:t>
            </w:r>
          </w:p>
        </w:tc>
        <w:tc>
          <w:tcPr>
            <w:tcW w:w="19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Acentia, LLC (Delaware)</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40" w:type="dxa"/>
            <w:vAlign w:val="bottom"/>
            <w:gridSpan w:val="3"/>
          </w:tcPr>
          <w:p>
            <w:pPr>
              <w:spacing w:after="0"/>
              <w:rPr>
                <w:sz w:val="20"/>
                <w:szCs w:val="20"/>
                <w:color w:val="auto"/>
              </w:rPr>
            </w:pPr>
            <w:r>
              <w:rPr>
                <w:rFonts w:ascii="Arial" w:cs="Arial" w:eastAsia="Arial" w:hAnsi="Arial"/>
                <w:sz w:val="18"/>
                <w:szCs w:val="18"/>
                <w:color w:val="auto"/>
              </w:rPr>
              <w:t>PNNT Alabama Holdings Inc. (Delaware)</w:t>
            </w:r>
          </w:p>
        </w:tc>
        <w:tc>
          <w:tcPr>
            <w:tcW w:w="19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40" w:type="dxa"/>
            <w:vAlign w:val="bottom"/>
            <w:gridSpan w:val="3"/>
          </w:tcPr>
          <w:p>
            <w:pPr>
              <w:spacing w:after="0"/>
              <w:rPr>
                <w:sz w:val="20"/>
                <w:szCs w:val="20"/>
                <w:color w:val="auto"/>
              </w:rPr>
            </w:pPr>
            <w:r>
              <w:rPr>
                <w:rFonts w:ascii="Arial" w:cs="Arial" w:eastAsia="Arial" w:hAnsi="Arial"/>
                <w:sz w:val="18"/>
                <w:szCs w:val="18"/>
                <w:color w:val="auto"/>
              </w:rPr>
              <w:t>PNNT Transportation 100 Holdco, LLC (Delaware)</w:t>
            </w:r>
          </w:p>
        </w:tc>
        <w:tc>
          <w:tcPr>
            <w:tcW w:w="19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 (Delaware)</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22"/>
        </w:trPr>
        <w:tc>
          <w:tcPr>
            <w:tcW w:w="6540" w:type="dxa"/>
            <w:vAlign w:val="bottom"/>
            <w:gridSpan w:val="3"/>
          </w:tcPr>
          <w:p>
            <w:pPr>
              <w:spacing w:after="0"/>
              <w:rPr>
                <w:sz w:val="20"/>
                <w:szCs w:val="20"/>
                <w:color w:val="auto"/>
              </w:rPr>
            </w:pPr>
            <w:r>
              <w:rPr>
                <w:rFonts w:ascii="Arial" w:cs="Arial" w:eastAsia="Arial" w:hAnsi="Arial"/>
                <w:sz w:val="18"/>
                <w:szCs w:val="18"/>
                <w:color w:val="auto"/>
              </w:rPr>
              <w:t>SuttonPark Capital LLC (Delaware)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LLC, which is effectively wholly-owned by us.</w:t>
      </w:r>
    </w:p>
    <w:p>
      <w:pPr>
        <w:spacing w:after="0" w:line="15"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II, LLC, which is effectively wholly-owned by us.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entity is non-operational.</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80"/>
          </w:cols>
          <w:pgMar w:left="240" w:top="334" w:right="379" w:bottom="1440" w:gutter="0" w:footer="0" w:header="0"/>
          <w:type w:val="continuous"/>
        </w:sectPr>
      </w:pPr>
    </w:p>
    <w:bookmarkStart w:id="6" w:name="page7"/>
    <w:bookmarkEnd w:id="6"/>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a controlled investment.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entity is indirectly owned by us and directly owned by SuttonPark Holdings, Inc.</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2"/>
              </w:rPr>
              <w:t>Item 29.</w:t>
            </w:r>
          </w:p>
        </w:tc>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 of holders of shares</w:t>
            </w: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7640" w:type="dxa"/>
            <w:vAlign w:val="bottom"/>
            <w:gridSpan w:val="3"/>
          </w:tcPr>
          <w:p>
            <w:pPr>
              <w:ind w:left="440"/>
              <w:spacing w:after="0"/>
              <w:rPr>
                <w:sz w:val="20"/>
                <w:szCs w:val="20"/>
                <w:color w:val="auto"/>
              </w:rPr>
            </w:pPr>
            <w:r>
              <w:rPr>
                <w:rFonts w:ascii="Arial" w:cs="Arial" w:eastAsia="Arial" w:hAnsi="Arial"/>
                <w:sz w:val="18"/>
                <w:szCs w:val="18"/>
                <w:color w:val="auto"/>
              </w:rPr>
              <w:t>As of January 18, 2013</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21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Title of Class</w:t>
            </w:r>
          </w:p>
        </w:tc>
        <w:tc>
          <w:tcPr>
            <w:tcW w:w="5500" w:type="dxa"/>
            <w:vAlign w:val="bottom"/>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Number of Record Holders</w:t>
            </w:r>
          </w:p>
        </w:tc>
        <w:tc>
          <w:tcPr>
            <w:tcW w:w="17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198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11</w:t>
            </w:r>
          </w:p>
        </w:tc>
        <w:tc>
          <w:tcPr>
            <w:tcW w:w="1780" w:type="dxa"/>
            <w:vAlign w:val="bottom"/>
            <w:shd w:val="clear" w:color="auto" w:fill="CCEEFF"/>
          </w:tcPr>
          <w:p>
            <w:pPr>
              <w:spacing w:after="0"/>
              <w:rPr>
                <w:sz w:val="18"/>
                <w:szCs w:val="18"/>
                <w:color w:val="auto"/>
              </w:rPr>
            </w:pPr>
          </w:p>
        </w:tc>
      </w:tr>
      <w:tr>
        <w:trPr>
          <w:trHeight w:val="376"/>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2"/>
              </w:rPr>
              <w:t>Item 30.</w:t>
            </w:r>
          </w:p>
        </w:tc>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Indemnification</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Adviser</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59 Maiden Lane, New York, NY 10038;</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240" w:firstLine="464"/>
        <w:spacing w:after="0" w:line="259"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280" w:right="239" w:bottom="1440" w:gutter="0" w:footer="0" w:header="0"/>
        </w:sectPr>
      </w:pPr>
    </w:p>
    <w:bookmarkStart w:id="7" w:name="page8"/>
    <w:bookmarkEnd w:id="7"/>
    <w:p>
      <w:pPr>
        <w:ind w:left="-20" w:right="40" w:firstLine="464"/>
        <w:spacing w:after="0" w:line="294" w:lineRule="auto"/>
        <w:tabs>
          <w:tab w:leader="none" w:pos="685"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640" w:hanging="20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220" w:firstLine="220"/>
        <w:spacing w:after="0" w:line="332" w:lineRule="auto"/>
        <w:tabs>
          <w:tab w:leader="none" w:pos="7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4" w:lineRule="exact"/>
        <w:rPr>
          <w:rFonts w:ascii="Arial" w:cs="Arial" w:eastAsia="Arial" w:hAnsi="Arial"/>
          <w:sz w:val="16"/>
          <w:szCs w:val="16"/>
          <w:color w:val="auto"/>
        </w:rPr>
      </w:pPr>
    </w:p>
    <w:p>
      <w:pPr>
        <w:ind w:left="220" w:right="20" w:firstLine="220"/>
        <w:spacing w:after="0" w:line="268" w:lineRule="auto"/>
        <w:tabs>
          <w:tab w:leader="none" w:pos="7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220" w:right="40" w:firstLine="220"/>
        <w:spacing w:after="0" w:line="268" w:lineRule="auto"/>
        <w:tabs>
          <w:tab w:leader="none" w:pos="6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220" w:right="80" w:firstLine="220"/>
        <w:spacing w:after="0" w:line="357" w:lineRule="auto"/>
        <w:tabs>
          <w:tab w:leader="none" w:pos="682"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ind w:left="220" w:firstLine="220"/>
        <w:spacing w:after="0" w:line="268" w:lineRule="auto"/>
        <w:tabs>
          <w:tab w:leader="none" w:pos="6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220" w:right="140" w:firstLine="220"/>
        <w:spacing w:after="0" w:line="290" w:lineRule="auto"/>
        <w:tabs>
          <w:tab w:leader="none" w:pos="6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left="220" w:right="240" w:firstLine="220"/>
        <w:spacing w:after="0" w:line="323" w:lineRule="auto"/>
        <w:tabs>
          <w:tab w:leader="none" w:pos="663"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7" w:lineRule="exact"/>
        <w:rPr>
          <w:sz w:val="20"/>
          <w:szCs w:val="20"/>
          <w:color w:val="auto"/>
        </w:rPr>
      </w:pPr>
    </w:p>
    <w:p>
      <w:pPr>
        <w:ind w:left="220" w:right="500" w:firstLine="220"/>
        <w:spacing w:after="0" w:line="268" w:lineRule="auto"/>
        <w:tabs>
          <w:tab w:leader="none" w:pos="6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220" w:right="560" w:firstLine="220"/>
        <w:spacing w:after="0" w:line="268" w:lineRule="auto"/>
        <w:tabs>
          <w:tab w:leader="none" w:pos="7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740" w:hanging="30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60" w:top="280" w:right="259" w:bottom="1440" w:gutter="0" w:footer="0" w:header="0"/>
        </w:sectPr>
      </w:pPr>
    </w:p>
    <w:bookmarkStart w:id="8" w:name="page9"/>
    <w:bookmarkEnd w:id="8"/>
    <w:p>
      <w:pPr>
        <w:jc w:val="both"/>
        <w:ind w:left="240" w:right="180" w:firstLine="220"/>
        <w:spacing w:after="0" w:line="305" w:lineRule="auto"/>
        <w:tabs>
          <w:tab w:leader="none" w:pos="712" w:val="left"/>
        </w:tabs>
        <w:numPr>
          <w:ilvl w:val="1"/>
          <w:numId w:val="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w:t>
      </w:r>
    </w:p>
    <w:p>
      <w:pPr>
        <w:ind w:left="480" w:hanging="244"/>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 receives, or has been advised by its independent registered accounting firm that it will receive, an audit report reflecting substantial doubt</w:t>
      </w:r>
    </w:p>
    <w:p>
      <w:pPr>
        <w:spacing w:after="0" w:line="32" w:lineRule="exact"/>
        <w:rPr>
          <w:rFonts w:ascii="Arial" w:cs="Arial" w:eastAsia="Arial" w:hAnsi="Arial"/>
          <w:sz w:val="16"/>
          <w:szCs w:val="16"/>
          <w:color w:val="auto"/>
        </w:rPr>
      </w:pPr>
    </w:p>
    <w:p>
      <w:pPr>
        <w:ind w:left="240"/>
        <w:spacing w:after="0" w:line="255" w:lineRule="auto"/>
        <w:rPr>
          <w:rFonts w:ascii="Arial" w:cs="Arial" w:eastAsia="Arial" w:hAnsi="Arial"/>
          <w:sz w:val="16"/>
          <w:szCs w:val="16"/>
          <w:color w:val="auto"/>
        </w:rPr>
      </w:pPr>
      <w:r>
        <w:rPr>
          <w:rFonts w:ascii="Arial" w:cs="Arial" w:eastAsia="Arial" w:hAnsi="Arial"/>
          <w:sz w:val="18"/>
          <w:szCs w:val="18"/>
          <w:color w:val="auto"/>
        </w:rPr>
        <w:t>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107" w:lineRule="exact"/>
        <w:rPr>
          <w:sz w:val="20"/>
          <w:szCs w:val="20"/>
          <w:color w:val="auto"/>
        </w:rPr>
      </w:pPr>
    </w:p>
    <w:p>
      <w:pPr>
        <w:ind w:left="240" w:right="40" w:firstLine="220"/>
        <w:spacing w:after="0" w:line="259" w:lineRule="auto"/>
        <w:tabs>
          <w:tab w:leader="none" w:pos="7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80" w:firstLine="464"/>
        <w:spacing w:after="0" w:line="291" w:lineRule="auto"/>
        <w:tabs>
          <w:tab w:leader="none" w:pos="705"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80"/>
          </w:cols>
          <w:pgMar w:left="240" w:top="280" w:right="27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4 to the Registration Statement on Form N-2 to be signed on its behalf by the undersigned, thereunto duly authorized, in the City of New York, and State of New York, on the 22nd day of January, 2013.</w:t>
      </w: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ARTHUR H. PENN</w:t>
            </w:r>
          </w:p>
        </w:tc>
      </w:tr>
      <w:tr>
        <w:trPr>
          <w:trHeight w:val="211"/>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Name: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Chief Executive Officer and Chairman</w:t>
            </w:r>
          </w:p>
        </w:tc>
      </w:tr>
      <w:tr>
        <w:trPr>
          <w:trHeight w:val="228"/>
        </w:trPr>
        <w:tc>
          <w:tcPr>
            <w:tcW w:w="6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of the Board</w:t>
            </w:r>
          </w:p>
        </w:tc>
      </w:tr>
    </w:tbl>
    <w:p>
      <w:pPr>
        <w:spacing w:after="0" w:line="16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4 to the Registration Statement on Form N-2 has been signed by the following persons in the capacities set forth below on the 22nd day of January, 2013.</w:t>
      </w:r>
    </w:p>
    <w:p>
      <w:pPr>
        <w:sectPr>
          <w:pgSz w:w="11900" w:h="16838" w:orient="portrait"/>
          <w:cols w:equalWidth="0" w:num="1">
            <w:col w:w="11380"/>
          </w:cols>
          <w:pgMar w:left="240" w:top="274" w:right="279" w:bottom="1440" w:gutter="0" w:footer="0" w:header="0"/>
        </w:sectPr>
      </w:pPr>
    </w:p>
    <w:p>
      <w:pPr>
        <w:spacing w:after="0" w:line="16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96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06"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ARTHUR H. PENN</w:t>
      </w:r>
    </w:p>
    <w:p>
      <w:pPr>
        <w:spacing w:after="0" w:line="40"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9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AVIV EFRAT</w:t>
      </w:r>
    </w:p>
    <w:p>
      <w:pPr>
        <w:spacing w:after="0" w:line="1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Adam K. Bernstein</w:t>
      </w:r>
    </w:p>
    <w:p>
      <w:pPr>
        <w:spacing w:after="0" w:line="21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Jeffrey Flug</w:t>
      </w:r>
    </w:p>
    <w:p>
      <w:pPr>
        <w:spacing w:after="0" w:line="21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Marshall Brozost</w:t>
      </w:r>
    </w:p>
    <w:p>
      <w:pPr>
        <w:spacing w:after="0" w:line="21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Samuel L. Katz</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23495</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Chairman of the Board of Directors and Chief Executive Officer (Principal</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Chief Financial Officer and Treasurer (Principal Financial and Accounting</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23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Director</w:t>
      </w:r>
    </w:p>
    <w:p>
      <w:pPr>
        <w:spacing w:after="0" w:line="625" w:lineRule="exact"/>
        <w:rPr>
          <w:sz w:val="20"/>
          <w:szCs w:val="20"/>
          <w:color w:val="auto"/>
        </w:rPr>
      </w:pPr>
    </w:p>
    <w:p>
      <w:pPr>
        <w:sectPr>
          <w:pgSz w:w="11900" w:h="16838" w:orient="portrait"/>
          <w:cols w:equalWidth="0" w:num="2">
            <w:col w:w="5380" w:space="720"/>
            <w:col w:w="5280"/>
          </w:cols>
          <w:pgMar w:left="240" w:top="274" w:right="279" w:bottom="1440" w:gutter="0" w:footer="0" w:header="0"/>
          <w:type w:val="continuous"/>
        </w:sectPr>
      </w:pPr>
    </w:p>
    <w:p>
      <w:pPr>
        <w:spacing w:after="0" w:line="19" w:lineRule="exact"/>
        <w:rPr>
          <w:sz w:val="20"/>
          <w:szCs w:val="20"/>
          <w:color w:val="auto"/>
        </w:rPr>
      </w:pPr>
    </w:p>
    <w:p>
      <w:pPr>
        <w:ind w:left="5580" w:right="1500" w:hanging="5572"/>
        <w:spacing w:after="0" w:line="440" w:lineRule="auto"/>
        <w:tabs>
          <w:tab w:leader="none" w:pos="2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February 28, 2011. C-8</w:t>
      </w:r>
    </w:p>
    <w:p>
      <w:pPr>
        <w:sectPr>
          <w:pgSz w:w="11900" w:h="16838" w:orient="portrait"/>
          <w:cols w:equalWidth="0" w:num="1">
            <w:col w:w="11380"/>
          </w:cols>
          <w:pgMar w:left="240" w:top="274" w:right="27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(d)(8)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PENNANTPARK INVESTMENT CORPORATION,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AMERICAN STOCK TRANSFER &amp; TRUST COMPANY, LLC,</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January 22, 2013</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Providing for the Issuance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Debt Securities</w:t>
      </w:r>
    </w:p>
    <w:p>
      <w:pPr>
        <w:sectPr>
          <w:pgSz w:w="11900" w:h="16838" w:orient="portrait"/>
          <w:cols w:equalWidth="0" w:num="1">
            <w:col w:w="10220"/>
          </w:cols>
          <w:pgMar w:left="14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60" w:type="dxa"/>
            <w:vAlign w:val="bottom"/>
            <w:gridSpan w:val="3"/>
          </w:tcPr>
          <w:p>
            <w:pPr>
              <w:jc w:val="center"/>
              <w:ind w:right="3459"/>
              <w:spacing w:after="0"/>
              <w:rPr>
                <w:sz w:val="20"/>
                <w:szCs w:val="20"/>
                <w:color w:val="auto"/>
              </w:rPr>
            </w:pPr>
            <w:r>
              <w:rPr>
                <w:rFonts w:ascii="Arial" w:cs="Arial" w:eastAsia="Arial" w:hAnsi="Arial"/>
                <w:sz w:val="18"/>
                <w:szCs w:val="18"/>
                <w:b w:val="1"/>
                <w:bCs w:val="1"/>
                <w:color w:val="auto"/>
                <w:w w:val="98"/>
              </w:rPr>
              <w:t>PENNANTPARK INVESTMENT CORPORATION</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860" w:type="dxa"/>
            <w:vAlign w:val="bottom"/>
            <w:gridSpan w:val="3"/>
          </w:tcPr>
          <w:p>
            <w:pPr>
              <w:jc w:val="center"/>
              <w:ind w:right="3479"/>
              <w:spacing w:after="0"/>
              <w:rPr>
                <w:sz w:val="20"/>
                <w:szCs w:val="20"/>
                <w:color w:val="auto"/>
              </w:rPr>
            </w:pPr>
            <w:r>
              <w:rPr>
                <w:rFonts w:ascii="Arial" w:cs="Arial" w:eastAsia="Arial" w:hAnsi="Arial"/>
                <w:sz w:val="18"/>
                <w:szCs w:val="18"/>
                <w:color w:val="auto"/>
                <w:w w:val="89"/>
              </w:rPr>
              <w:t>Reconciliation and tie between Trust Indenture Act of 1939</w:t>
            </w: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60" w:type="dxa"/>
            <w:vAlign w:val="bottom"/>
            <w:gridSpan w:val="3"/>
          </w:tcPr>
          <w:p>
            <w:pPr>
              <w:jc w:val="center"/>
              <w:ind w:right="3479"/>
              <w:spacing w:after="0"/>
              <w:rPr>
                <w:sz w:val="20"/>
                <w:szCs w:val="20"/>
                <w:color w:val="auto"/>
              </w:rPr>
            </w:pPr>
            <w:r>
              <w:rPr>
                <w:rFonts w:ascii="Arial" w:cs="Arial" w:eastAsia="Arial" w:hAnsi="Arial"/>
                <w:sz w:val="18"/>
                <w:szCs w:val="18"/>
                <w:color w:val="auto"/>
                <w:w w:val="86"/>
              </w:rPr>
              <w:t>and Indenture, dated as of January 22, 2013</w:t>
            </w:r>
          </w:p>
        </w:tc>
      </w:tr>
      <w:tr>
        <w:trPr>
          <w:trHeight w:val="366"/>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w w:val="89"/>
              </w:rPr>
              <w:t>Trust Indenture Act Section</w:t>
            </w:r>
          </w:p>
        </w:tc>
        <w:tc>
          <w:tcPr>
            <w:tcW w:w="184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502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Indenture Section</w:t>
            </w:r>
          </w:p>
        </w:tc>
      </w:tr>
      <w:tr>
        <w:trPr>
          <w:trHeight w:val="201"/>
        </w:trPr>
        <w:tc>
          <w:tcPr>
            <w:tcW w:w="20" w:type="dxa"/>
            <w:vAlign w:val="bottom"/>
          </w:tcPr>
          <w:p>
            <w:pPr>
              <w:spacing w:after="0"/>
              <w:rPr>
                <w:sz w:val="17"/>
                <w:szCs w:val="17"/>
                <w:color w:val="auto"/>
              </w:rPr>
            </w:pPr>
          </w:p>
        </w:tc>
        <w:tc>
          <w:tcPr>
            <w:tcW w:w="1100" w:type="dxa"/>
            <w:vAlign w:val="bottom"/>
          </w:tcPr>
          <w:p>
            <w:pPr>
              <w:jc w:val="right"/>
              <w:ind w:right="672"/>
              <w:spacing w:after="0" w:line="201" w:lineRule="exact"/>
              <w:rPr>
                <w:sz w:val="20"/>
                <w:szCs w:val="20"/>
                <w:color w:val="auto"/>
              </w:rPr>
            </w:pPr>
            <w:r>
              <w:rPr>
                <w:rFonts w:ascii="Arial" w:cs="Arial" w:eastAsia="Arial" w:hAnsi="Arial"/>
                <w:sz w:val="18"/>
                <w:szCs w:val="18"/>
                <w:color w:val="auto"/>
                <w:w w:val="79"/>
              </w:rPr>
              <w:t>§310</w:t>
            </w:r>
          </w:p>
        </w:tc>
        <w:tc>
          <w:tcPr>
            <w:tcW w:w="2440" w:type="dxa"/>
            <w:vAlign w:val="bottom"/>
          </w:tcPr>
          <w:p>
            <w:pPr>
              <w:ind w:left="1080"/>
              <w:spacing w:after="0" w:line="201" w:lineRule="exact"/>
              <w:rPr>
                <w:sz w:val="20"/>
                <w:szCs w:val="20"/>
                <w:color w:val="auto"/>
              </w:rPr>
            </w:pPr>
            <w:r>
              <w:rPr>
                <w:rFonts w:ascii="Arial" w:cs="Arial" w:eastAsia="Arial" w:hAnsi="Arial"/>
                <w:sz w:val="18"/>
                <w:szCs w:val="18"/>
                <w:color w:val="auto"/>
              </w:rPr>
              <w:t>(a)(1)</w:t>
            </w: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(a)(2)</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(b)</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609</w:t>
            </w:r>
          </w:p>
        </w:tc>
      </w:tr>
      <w:tr>
        <w:trPr>
          <w:trHeight w:val="216"/>
        </w:trPr>
        <w:tc>
          <w:tcPr>
            <w:tcW w:w="1120" w:type="dxa"/>
            <w:vAlign w:val="bottom"/>
            <w:gridSpan w:val="2"/>
          </w:tcPr>
          <w:p>
            <w:pPr>
              <w:jc w:val="right"/>
              <w:ind w:right="672"/>
              <w:spacing w:after="0"/>
              <w:rPr>
                <w:sz w:val="20"/>
                <w:szCs w:val="20"/>
                <w:color w:val="auto"/>
              </w:rPr>
            </w:pPr>
            <w:r>
              <w:rPr>
                <w:rFonts w:ascii="Arial" w:cs="Arial" w:eastAsia="Arial" w:hAnsi="Arial"/>
                <w:sz w:val="18"/>
                <w:szCs w:val="18"/>
                <w:color w:val="auto"/>
                <w:w w:val="84"/>
              </w:rPr>
              <w:t>§312</w:t>
            </w:r>
          </w:p>
        </w:tc>
        <w:tc>
          <w:tcPr>
            <w:tcW w:w="2440" w:type="dxa"/>
            <w:vAlign w:val="bottom"/>
          </w:tcPr>
          <w:p>
            <w:pPr>
              <w:ind w:left="1080"/>
              <w:spacing w:after="0"/>
              <w:rPr>
                <w:sz w:val="20"/>
                <w:szCs w:val="20"/>
                <w:color w:val="auto"/>
              </w:rPr>
            </w:pPr>
            <w:r>
              <w:rPr>
                <w:rFonts w:ascii="Arial" w:cs="Arial" w:eastAsia="Arial" w:hAnsi="Arial"/>
                <w:sz w:val="18"/>
                <w:szCs w:val="18"/>
                <w:color w:val="auto"/>
              </w:rPr>
              <w:t>(c)</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701</w:t>
            </w:r>
          </w:p>
        </w:tc>
      </w:tr>
      <w:tr>
        <w:trPr>
          <w:trHeight w:val="216"/>
        </w:trPr>
        <w:tc>
          <w:tcPr>
            <w:tcW w:w="1120" w:type="dxa"/>
            <w:vAlign w:val="bottom"/>
            <w:gridSpan w:val="2"/>
          </w:tcPr>
          <w:p>
            <w:pPr>
              <w:jc w:val="right"/>
              <w:ind w:right="672"/>
              <w:spacing w:after="0"/>
              <w:rPr>
                <w:sz w:val="20"/>
                <w:szCs w:val="20"/>
                <w:color w:val="auto"/>
              </w:rPr>
            </w:pPr>
            <w:r>
              <w:rPr>
                <w:rFonts w:ascii="Arial" w:cs="Arial" w:eastAsia="Arial" w:hAnsi="Arial"/>
                <w:sz w:val="18"/>
                <w:szCs w:val="18"/>
                <w:color w:val="auto"/>
                <w:w w:val="84"/>
              </w:rPr>
              <w:t>§314</w:t>
            </w:r>
          </w:p>
        </w:tc>
        <w:tc>
          <w:tcPr>
            <w:tcW w:w="2440" w:type="dxa"/>
            <w:vAlign w:val="bottom"/>
          </w:tcPr>
          <w:p>
            <w:pPr>
              <w:ind w:left="1080"/>
              <w:spacing w:after="0"/>
              <w:rPr>
                <w:sz w:val="20"/>
                <w:szCs w:val="20"/>
                <w:color w:val="auto"/>
              </w:rPr>
            </w:pPr>
            <w:r>
              <w:rPr>
                <w:rFonts w:ascii="Arial" w:cs="Arial" w:eastAsia="Arial" w:hAnsi="Arial"/>
                <w:sz w:val="18"/>
                <w:szCs w:val="18"/>
                <w:color w:val="auto"/>
              </w:rPr>
              <w:t>(a)</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704</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(a)(4)</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1005</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(c)(1)</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(c)(2)</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(e)</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102</w:t>
            </w:r>
          </w:p>
        </w:tc>
      </w:tr>
      <w:tr>
        <w:trPr>
          <w:trHeight w:val="216"/>
        </w:trPr>
        <w:tc>
          <w:tcPr>
            <w:tcW w:w="1120" w:type="dxa"/>
            <w:vAlign w:val="bottom"/>
            <w:gridSpan w:val="2"/>
          </w:tcPr>
          <w:p>
            <w:pPr>
              <w:jc w:val="right"/>
              <w:ind w:right="672"/>
              <w:spacing w:after="0"/>
              <w:rPr>
                <w:sz w:val="20"/>
                <w:szCs w:val="20"/>
                <w:color w:val="auto"/>
              </w:rPr>
            </w:pPr>
            <w:r>
              <w:rPr>
                <w:rFonts w:ascii="Arial" w:cs="Arial" w:eastAsia="Arial" w:hAnsi="Arial"/>
                <w:sz w:val="18"/>
                <w:szCs w:val="18"/>
                <w:color w:val="auto"/>
                <w:w w:val="84"/>
              </w:rPr>
              <w:t>§315</w:t>
            </w:r>
          </w:p>
        </w:tc>
        <w:tc>
          <w:tcPr>
            <w:tcW w:w="2440" w:type="dxa"/>
            <w:vAlign w:val="bottom"/>
          </w:tcPr>
          <w:p>
            <w:pPr>
              <w:ind w:left="1080"/>
              <w:spacing w:after="0"/>
              <w:rPr>
                <w:sz w:val="20"/>
                <w:szCs w:val="20"/>
                <w:color w:val="auto"/>
              </w:rPr>
            </w:pPr>
            <w:r>
              <w:rPr>
                <w:rFonts w:ascii="Arial" w:cs="Arial" w:eastAsia="Arial" w:hAnsi="Arial"/>
                <w:sz w:val="18"/>
                <w:szCs w:val="18"/>
                <w:color w:val="auto"/>
              </w:rPr>
              <w:t>(b)</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601</w:t>
            </w:r>
          </w:p>
        </w:tc>
      </w:tr>
      <w:tr>
        <w:trPr>
          <w:trHeight w:val="216"/>
        </w:trPr>
        <w:tc>
          <w:tcPr>
            <w:tcW w:w="1120" w:type="dxa"/>
            <w:vAlign w:val="bottom"/>
            <w:gridSpan w:val="2"/>
          </w:tcPr>
          <w:p>
            <w:pPr>
              <w:jc w:val="right"/>
              <w:ind w:right="672"/>
              <w:spacing w:after="0"/>
              <w:rPr>
                <w:sz w:val="20"/>
                <w:szCs w:val="20"/>
                <w:color w:val="auto"/>
              </w:rPr>
            </w:pPr>
            <w:r>
              <w:rPr>
                <w:rFonts w:ascii="Arial" w:cs="Arial" w:eastAsia="Arial" w:hAnsi="Arial"/>
                <w:sz w:val="18"/>
                <w:szCs w:val="18"/>
                <w:color w:val="auto"/>
                <w:w w:val="84"/>
              </w:rPr>
              <w:t>§316</w:t>
            </w:r>
          </w:p>
        </w:tc>
        <w:tc>
          <w:tcPr>
            <w:tcW w:w="2440" w:type="dxa"/>
            <w:vAlign w:val="bottom"/>
          </w:tcPr>
          <w:p>
            <w:pPr>
              <w:ind w:left="1080"/>
              <w:spacing w:after="0"/>
              <w:rPr>
                <w:sz w:val="20"/>
                <w:szCs w:val="20"/>
                <w:color w:val="auto"/>
              </w:rPr>
            </w:pPr>
            <w:r>
              <w:rPr>
                <w:rFonts w:ascii="Arial" w:cs="Arial" w:eastAsia="Arial" w:hAnsi="Arial"/>
                <w:sz w:val="18"/>
                <w:szCs w:val="18"/>
                <w:color w:val="auto"/>
                <w:w w:val="92"/>
              </w:rPr>
              <w:t>(a) (last sentence)</w:t>
            </w: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101 (“Outstanding”)</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(a)(1)(A)</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502, 512</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(a)(1)(B)</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513</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(b)</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508</w:t>
            </w:r>
          </w:p>
        </w:tc>
      </w:tr>
      <w:tr>
        <w:trPr>
          <w:trHeight w:val="216"/>
        </w:trPr>
        <w:tc>
          <w:tcPr>
            <w:tcW w:w="1120" w:type="dxa"/>
            <w:vAlign w:val="bottom"/>
            <w:gridSpan w:val="2"/>
          </w:tcPr>
          <w:p>
            <w:pPr>
              <w:jc w:val="right"/>
              <w:ind w:right="672"/>
              <w:spacing w:after="0"/>
              <w:rPr>
                <w:sz w:val="20"/>
                <w:szCs w:val="20"/>
                <w:color w:val="auto"/>
              </w:rPr>
            </w:pPr>
            <w:r>
              <w:rPr>
                <w:rFonts w:ascii="Arial" w:cs="Arial" w:eastAsia="Arial" w:hAnsi="Arial"/>
                <w:sz w:val="18"/>
                <w:szCs w:val="18"/>
                <w:color w:val="auto"/>
                <w:w w:val="84"/>
              </w:rPr>
              <w:t>§317</w:t>
            </w:r>
          </w:p>
        </w:tc>
        <w:tc>
          <w:tcPr>
            <w:tcW w:w="2440" w:type="dxa"/>
            <w:vAlign w:val="bottom"/>
          </w:tcPr>
          <w:p>
            <w:pPr>
              <w:ind w:left="1080"/>
              <w:spacing w:after="0"/>
              <w:rPr>
                <w:sz w:val="20"/>
                <w:szCs w:val="20"/>
                <w:color w:val="auto"/>
              </w:rPr>
            </w:pPr>
            <w:r>
              <w:rPr>
                <w:rFonts w:ascii="Arial" w:cs="Arial" w:eastAsia="Arial" w:hAnsi="Arial"/>
                <w:sz w:val="18"/>
                <w:szCs w:val="18"/>
                <w:color w:val="auto"/>
              </w:rPr>
              <w:t>(a)(1)</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(a)(2)</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504</w:t>
            </w:r>
          </w:p>
        </w:tc>
      </w:tr>
      <w:tr>
        <w:trPr>
          <w:trHeight w:val="216"/>
        </w:trPr>
        <w:tc>
          <w:tcPr>
            <w:tcW w:w="1120" w:type="dxa"/>
            <w:vAlign w:val="bottom"/>
            <w:gridSpan w:val="2"/>
          </w:tcPr>
          <w:p>
            <w:pPr>
              <w:jc w:val="right"/>
              <w:ind w:right="672"/>
              <w:spacing w:after="0"/>
              <w:rPr>
                <w:sz w:val="20"/>
                <w:szCs w:val="20"/>
                <w:color w:val="auto"/>
              </w:rPr>
            </w:pPr>
            <w:r>
              <w:rPr>
                <w:rFonts w:ascii="Arial" w:cs="Arial" w:eastAsia="Arial" w:hAnsi="Arial"/>
                <w:sz w:val="18"/>
                <w:szCs w:val="18"/>
                <w:color w:val="auto"/>
                <w:w w:val="84"/>
              </w:rPr>
              <w:t>§318</w:t>
            </w:r>
          </w:p>
        </w:tc>
        <w:tc>
          <w:tcPr>
            <w:tcW w:w="2440" w:type="dxa"/>
            <w:vAlign w:val="bottom"/>
          </w:tcPr>
          <w:p>
            <w:pPr>
              <w:ind w:left="1080"/>
              <w:spacing w:after="0"/>
              <w:rPr>
                <w:sz w:val="20"/>
                <w:szCs w:val="20"/>
                <w:color w:val="auto"/>
              </w:rPr>
            </w:pPr>
            <w:r>
              <w:rPr>
                <w:rFonts w:ascii="Arial" w:cs="Arial" w:eastAsia="Arial" w:hAnsi="Arial"/>
                <w:sz w:val="18"/>
                <w:szCs w:val="18"/>
                <w:color w:val="auto"/>
              </w:rPr>
              <w:t>(a)</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111</w:t>
            </w: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40" w:type="dxa"/>
            <w:vAlign w:val="bottom"/>
          </w:tcPr>
          <w:p>
            <w:pPr>
              <w:ind w:left="1080"/>
              <w:spacing w:after="0"/>
              <w:rPr>
                <w:sz w:val="20"/>
                <w:szCs w:val="20"/>
                <w:color w:val="auto"/>
              </w:rPr>
            </w:pPr>
            <w:r>
              <w:rPr>
                <w:rFonts w:ascii="Arial" w:cs="Arial" w:eastAsia="Arial" w:hAnsi="Arial"/>
                <w:sz w:val="18"/>
                <w:szCs w:val="18"/>
                <w:color w:val="auto"/>
              </w:rPr>
              <w:t>(c)</w:t>
            </w:r>
          </w:p>
        </w:tc>
        <w:tc>
          <w:tcPr>
            <w:tcW w:w="7860" w:type="dxa"/>
            <w:vAlign w:val="bottom"/>
            <w:gridSpan w:val="3"/>
          </w:tcPr>
          <w:p>
            <w:pPr>
              <w:ind w:left="2840"/>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420"/>
          </w:cols>
          <w:pgMar w:left="240" w:top="2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19"/>
                <w:szCs w:val="19"/>
                <w:color w:val="auto"/>
              </w:rPr>
            </w:pPr>
          </w:p>
        </w:tc>
        <w:tc>
          <w:tcPr>
            <w:tcW w:w="846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19"/>
                <w:szCs w:val="19"/>
                <w:color w:val="auto"/>
              </w:rPr>
            </w:pPr>
          </w:p>
        </w:tc>
      </w:tr>
      <w:tr>
        <w:trPr>
          <w:trHeight w:val="366"/>
        </w:trPr>
        <w:tc>
          <w:tcPr>
            <w:tcW w:w="12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1"/>
        </w:trPr>
        <w:tc>
          <w:tcPr>
            <w:tcW w:w="1280" w:type="dxa"/>
            <w:vAlign w:val="bottom"/>
          </w:tcPr>
          <w:p>
            <w:pPr>
              <w:spacing w:after="0"/>
              <w:rPr>
                <w:sz w:val="24"/>
                <w:szCs w:val="24"/>
                <w:color w:val="auto"/>
              </w:rPr>
            </w:pPr>
          </w:p>
        </w:tc>
        <w:tc>
          <w:tcPr>
            <w:tcW w:w="8460" w:type="dxa"/>
            <w:vAlign w:val="bottom"/>
          </w:tcPr>
          <w:p>
            <w:pPr>
              <w:jc w:val="center"/>
              <w:ind w:left="232"/>
              <w:spacing w:after="0"/>
              <w:rPr>
                <w:sz w:val="20"/>
                <w:szCs w:val="20"/>
                <w:color w:val="auto"/>
              </w:rPr>
            </w:pPr>
            <w:r>
              <w:rPr>
                <w:rFonts w:ascii="Arial" w:cs="Arial" w:eastAsia="Arial" w:hAnsi="Arial"/>
                <w:sz w:val="18"/>
                <w:szCs w:val="18"/>
                <w:color w:val="auto"/>
                <w:w w:val="94"/>
              </w:rPr>
              <w:t>ARTICLE ONE</w:t>
            </w:r>
          </w:p>
        </w:tc>
        <w:tc>
          <w:tcPr>
            <w:tcW w:w="158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8460" w:type="dxa"/>
            <w:vAlign w:val="bottom"/>
          </w:tcPr>
          <w:p>
            <w:pPr>
              <w:jc w:val="center"/>
              <w:ind w:left="232"/>
              <w:spacing w:after="0"/>
              <w:rPr>
                <w:sz w:val="20"/>
                <w:szCs w:val="20"/>
                <w:color w:val="auto"/>
              </w:rPr>
            </w:pPr>
            <w:r>
              <w:rPr>
                <w:rFonts w:ascii="Arial" w:cs="Arial" w:eastAsia="Arial" w:hAnsi="Arial"/>
                <w:sz w:val="18"/>
                <w:szCs w:val="18"/>
                <w:color w:val="auto"/>
                <w:w w:val="94"/>
              </w:rPr>
              <w:t>DEFINITIONS AND OTHER PROVISIONS OF GENERAL APPLICATION</w:t>
            </w:r>
          </w:p>
        </w:tc>
        <w:tc>
          <w:tcPr>
            <w:tcW w:w="1580" w:type="dxa"/>
            <w:vAlign w:val="bottom"/>
          </w:tcPr>
          <w:p>
            <w:pPr>
              <w:spacing w:after="0"/>
              <w:rPr>
                <w:sz w:val="19"/>
                <w:szCs w:val="19"/>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8460" w:type="dxa"/>
            <w:vAlign w:val="bottom"/>
          </w:tcPr>
          <w:p>
            <w:pPr>
              <w:ind w:left="380"/>
              <w:spacing w:after="0"/>
              <w:rPr>
                <w:sz w:val="20"/>
                <w:szCs w:val="20"/>
                <w:color w:val="auto"/>
              </w:rPr>
            </w:pPr>
            <w:r>
              <w:rPr>
                <w:rFonts w:ascii="Arial" w:cs="Arial" w:eastAsia="Arial" w:hAnsi="Arial"/>
                <w:sz w:val="18"/>
                <w:szCs w:val="18"/>
                <w:color w:val="auto"/>
              </w:rPr>
              <w:t>Definitions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102.</w:t>
            </w:r>
          </w:p>
        </w:tc>
        <w:tc>
          <w:tcPr>
            <w:tcW w:w="8460" w:type="dxa"/>
            <w:vAlign w:val="bottom"/>
          </w:tcPr>
          <w:p>
            <w:pPr>
              <w:ind w:left="380"/>
              <w:spacing w:after="0"/>
              <w:rPr>
                <w:sz w:val="20"/>
                <w:szCs w:val="20"/>
                <w:color w:val="auto"/>
              </w:rPr>
            </w:pPr>
            <w:r>
              <w:rPr>
                <w:rFonts w:ascii="Arial" w:cs="Arial" w:eastAsia="Arial" w:hAnsi="Arial"/>
                <w:sz w:val="18"/>
                <w:szCs w:val="18"/>
                <w:color w:val="auto"/>
              </w:rPr>
              <w:t>Compliance Certificates and Opinions</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103.</w:t>
            </w:r>
          </w:p>
        </w:tc>
        <w:tc>
          <w:tcPr>
            <w:tcW w:w="8460" w:type="dxa"/>
            <w:vAlign w:val="bottom"/>
          </w:tcPr>
          <w:p>
            <w:pPr>
              <w:ind w:left="380"/>
              <w:spacing w:after="0"/>
              <w:rPr>
                <w:sz w:val="20"/>
                <w:szCs w:val="20"/>
                <w:color w:val="auto"/>
              </w:rPr>
            </w:pPr>
            <w:r>
              <w:rPr>
                <w:rFonts w:ascii="Arial" w:cs="Arial" w:eastAsia="Arial" w:hAnsi="Arial"/>
                <w:sz w:val="18"/>
                <w:szCs w:val="18"/>
                <w:color w:val="auto"/>
              </w:rPr>
              <w:t>Form of Documents Delivered to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104.</w:t>
            </w:r>
          </w:p>
        </w:tc>
        <w:tc>
          <w:tcPr>
            <w:tcW w:w="8460" w:type="dxa"/>
            <w:vAlign w:val="bottom"/>
          </w:tcPr>
          <w:p>
            <w:pPr>
              <w:ind w:left="380"/>
              <w:spacing w:after="0"/>
              <w:rPr>
                <w:sz w:val="20"/>
                <w:szCs w:val="20"/>
                <w:color w:val="auto"/>
              </w:rPr>
            </w:pPr>
            <w:r>
              <w:rPr>
                <w:rFonts w:ascii="Arial" w:cs="Arial" w:eastAsia="Arial" w:hAnsi="Arial"/>
                <w:sz w:val="18"/>
                <w:szCs w:val="18"/>
                <w:color w:val="auto"/>
              </w:rPr>
              <w:t>Acts of 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105.</w:t>
            </w:r>
          </w:p>
        </w:tc>
        <w:tc>
          <w:tcPr>
            <w:tcW w:w="8460" w:type="dxa"/>
            <w:vAlign w:val="bottom"/>
          </w:tcPr>
          <w:p>
            <w:pPr>
              <w:ind w:left="380"/>
              <w:spacing w:after="0"/>
              <w:rPr>
                <w:sz w:val="20"/>
                <w:szCs w:val="20"/>
                <w:color w:val="auto"/>
              </w:rPr>
            </w:pPr>
            <w:r>
              <w:rPr>
                <w:rFonts w:ascii="Arial" w:cs="Arial" w:eastAsia="Arial" w:hAnsi="Arial"/>
                <w:sz w:val="18"/>
                <w:szCs w:val="18"/>
                <w:color w:val="auto"/>
              </w:rPr>
              <w:t>Notices, Etc., to Trustee and Company</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106.</w:t>
            </w:r>
          </w:p>
        </w:tc>
        <w:tc>
          <w:tcPr>
            <w:tcW w:w="8460" w:type="dxa"/>
            <w:vAlign w:val="bottom"/>
          </w:tcPr>
          <w:p>
            <w:pPr>
              <w:ind w:left="380"/>
              <w:spacing w:after="0"/>
              <w:rPr>
                <w:sz w:val="20"/>
                <w:szCs w:val="20"/>
                <w:color w:val="auto"/>
              </w:rPr>
            </w:pPr>
            <w:r>
              <w:rPr>
                <w:rFonts w:ascii="Arial" w:cs="Arial" w:eastAsia="Arial" w:hAnsi="Arial"/>
                <w:sz w:val="18"/>
                <w:szCs w:val="18"/>
                <w:color w:val="auto"/>
              </w:rPr>
              <w:t>Notice to Holders; Waiver</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107.</w:t>
            </w:r>
          </w:p>
        </w:tc>
        <w:tc>
          <w:tcPr>
            <w:tcW w:w="8460" w:type="dxa"/>
            <w:vAlign w:val="bottom"/>
          </w:tcPr>
          <w:p>
            <w:pPr>
              <w:ind w:left="380"/>
              <w:spacing w:after="0"/>
              <w:rPr>
                <w:sz w:val="20"/>
                <w:szCs w:val="20"/>
                <w:color w:val="auto"/>
              </w:rPr>
            </w:pPr>
            <w:r>
              <w:rPr>
                <w:rFonts w:ascii="Arial" w:cs="Arial" w:eastAsia="Arial" w:hAnsi="Arial"/>
                <w:sz w:val="18"/>
                <w:szCs w:val="18"/>
                <w:color w:val="auto"/>
              </w:rPr>
              <w:t>Effect of Headings and Table of Contents</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108.</w:t>
            </w:r>
          </w:p>
        </w:tc>
        <w:tc>
          <w:tcPr>
            <w:tcW w:w="8460" w:type="dxa"/>
            <w:vAlign w:val="bottom"/>
          </w:tcPr>
          <w:p>
            <w:pPr>
              <w:ind w:left="380"/>
              <w:spacing w:after="0"/>
              <w:rPr>
                <w:sz w:val="20"/>
                <w:szCs w:val="20"/>
                <w:color w:val="auto"/>
              </w:rPr>
            </w:pPr>
            <w:r>
              <w:rPr>
                <w:rFonts w:ascii="Arial" w:cs="Arial" w:eastAsia="Arial" w:hAnsi="Arial"/>
                <w:sz w:val="18"/>
                <w:szCs w:val="18"/>
                <w:color w:val="auto"/>
              </w:rPr>
              <w:t>Successors and Assigns</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109.</w:t>
            </w:r>
          </w:p>
        </w:tc>
        <w:tc>
          <w:tcPr>
            <w:tcW w:w="8460" w:type="dxa"/>
            <w:vAlign w:val="bottom"/>
          </w:tcPr>
          <w:p>
            <w:pPr>
              <w:ind w:left="380"/>
              <w:spacing w:after="0"/>
              <w:rPr>
                <w:sz w:val="20"/>
                <w:szCs w:val="20"/>
                <w:color w:val="auto"/>
              </w:rPr>
            </w:pPr>
            <w:r>
              <w:rPr>
                <w:rFonts w:ascii="Arial" w:cs="Arial" w:eastAsia="Arial" w:hAnsi="Arial"/>
                <w:sz w:val="18"/>
                <w:szCs w:val="18"/>
                <w:color w:val="auto"/>
              </w:rPr>
              <w:t>Separability Clause</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110.</w:t>
            </w:r>
          </w:p>
        </w:tc>
        <w:tc>
          <w:tcPr>
            <w:tcW w:w="8460" w:type="dxa"/>
            <w:vAlign w:val="bottom"/>
          </w:tcPr>
          <w:p>
            <w:pPr>
              <w:ind w:left="380"/>
              <w:spacing w:after="0"/>
              <w:rPr>
                <w:sz w:val="20"/>
                <w:szCs w:val="20"/>
                <w:color w:val="auto"/>
              </w:rPr>
            </w:pPr>
            <w:r>
              <w:rPr>
                <w:rFonts w:ascii="Arial" w:cs="Arial" w:eastAsia="Arial" w:hAnsi="Arial"/>
                <w:sz w:val="18"/>
                <w:szCs w:val="18"/>
                <w:color w:val="auto"/>
              </w:rPr>
              <w:t>Benefits of Indenture</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111.</w:t>
            </w:r>
          </w:p>
        </w:tc>
        <w:tc>
          <w:tcPr>
            <w:tcW w:w="846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112.</w:t>
            </w:r>
          </w:p>
        </w:tc>
        <w:tc>
          <w:tcPr>
            <w:tcW w:w="8460" w:type="dxa"/>
            <w:vAlign w:val="bottom"/>
          </w:tcPr>
          <w:p>
            <w:pPr>
              <w:ind w:left="380"/>
              <w:spacing w:after="0"/>
              <w:rPr>
                <w:sz w:val="20"/>
                <w:szCs w:val="20"/>
                <w:color w:val="auto"/>
              </w:rPr>
            </w:pPr>
            <w:r>
              <w:rPr>
                <w:rFonts w:ascii="Arial" w:cs="Arial" w:eastAsia="Arial" w:hAnsi="Arial"/>
                <w:sz w:val="18"/>
                <w:szCs w:val="18"/>
                <w:color w:val="auto"/>
              </w:rPr>
              <w:t>Legal Holidays</w:t>
            </w: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113.</w:t>
            </w:r>
          </w:p>
        </w:tc>
        <w:tc>
          <w:tcPr>
            <w:tcW w:w="8460" w:type="dxa"/>
            <w:vAlign w:val="bottom"/>
          </w:tcPr>
          <w:p>
            <w:pPr>
              <w:ind w:left="380"/>
              <w:spacing w:after="0"/>
              <w:rPr>
                <w:sz w:val="20"/>
                <w:szCs w:val="20"/>
                <w:color w:val="auto"/>
              </w:rPr>
            </w:pPr>
            <w:r>
              <w:rPr>
                <w:rFonts w:ascii="Arial" w:cs="Arial" w:eastAsia="Arial" w:hAnsi="Arial"/>
                <w:sz w:val="18"/>
                <w:szCs w:val="18"/>
                <w:color w:val="auto"/>
              </w:rPr>
              <w:t>Submission to Jurisdiction</w:t>
            </w: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280" w:type="dxa"/>
            <w:vAlign w:val="bottom"/>
          </w:tcPr>
          <w:p>
            <w:pPr>
              <w:spacing w:after="0"/>
              <w:rPr>
                <w:sz w:val="24"/>
                <w:szCs w:val="24"/>
                <w:color w:val="auto"/>
              </w:rPr>
            </w:pPr>
          </w:p>
        </w:tc>
        <w:tc>
          <w:tcPr>
            <w:tcW w:w="8460" w:type="dxa"/>
            <w:vAlign w:val="bottom"/>
          </w:tcPr>
          <w:p>
            <w:pPr>
              <w:jc w:val="center"/>
              <w:ind w:left="232"/>
              <w:spacing w:after="0"/>
              <w:rPr>
                <w:sz w:val="20"/>
                <w:szCs w:val="20"/>
                <w:color w:val="auto"/>
              </w:rPr>
            </w:pPr>
            <w:r>
              <w:rPr>
                <w:rFonts w:ascii="Arial" w:cs="Arial" w:eastAsia="Arial" w:hAnsi="Arial"/>
                <w:sz w:val="18"/>
                <w:szCs w:val="18"/>
                <w:color w:val="auto"/>
                <w:w w:val="95"/>
              </w:rPr>
              <w:t>ARTICLE TWO</w:t>
            </w:r>
          </w:p>
        </w:tc>
        <w:tc>
          <w:tcPr>
            <w:tcW w:w="1580" w:type="dxa"/>
            <w:vAlign w:val="bottom"/>
          </w:tcPr>
          <w:p>
            <w:pPr>
              <w:spacing w:after="0"/>
              <w:rPr>
                <w:sz w:val="24"/>
                <w:szCs w:val="24"/>
                <w:color w:val="auto"/>
              </w:rPr>
            </w:pPr>
          </w:p>
        </w:tc>
      </w:tr>
      <w:tr>
        <w:trPr>
          <w:trHeight w:val="230"/>
        </w:trPr>
        <w:tc>
          <w:tcPr>
            <w:tcW w:w="1280" w:type="dxa"/>
            <w:vAlign w:val="bottom"/>
          </w:tcPr>
          <w:p>
            <w:pPr>
              <w:spacing w:after="0"/>
              <w:rPr>
                <w:sz w:val="19"/>
                <w:szCs w:val="19"/>
                <w:color w:val="auto"/>
              </w:rPr>
            </w:pPr>
          </w:p>
        </w:tc>
        <w:tc>
          <w:tcPr>
            <w:tcW w:w="8460" w:type="dxa"/>
            <w:vAlign w:val="bottom"/>
          </w:tcPr>
          <w:p>
            <w:pPr>
              <w:jc w:val="center"/>
              <w:ind w:left="212"/>
              <w:spacing w:after="0"/>
              <w:rPr>
                <w:sz w:val="20"/>
                <w:szCs w:val="20"/>
                <w:color w:val="auto"/>
              </w:rPr>
            </w:pPr>
            <w:r>
              <w:rPr>
                <w:rFonts w:ascii="Arial" w:cs="Arial" w:eastAsia="Arial" w:hAnsi="Arial"/>
                <w:sz w:val="18"/>
                <w:szCs w:val="18"/>
                <w:color w:val="auto"/>
                <w:w w:val="92"/>
              </w:rPr>
              <w:t>SECURITIES FORMS</w:t>
            </w:r>
          </w:p>
        </w:tc>
        <w:tc>
          <w:tcPr>
            <w:tcW w:w="1580" w:type="dxa"/>
            <w:vAlign w:val="bottom"/>
          </w:tcPr>
          <w:p>
            <w:pPr>
              <w:spacing w:after="0"/>
              <w:rPr>
                <w:sz w:val="19"/>
                <w:szCs w:val="19"/>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201.</w:t>
            </w:r>
          </w:p>
        </w:tc>
        <w:tc>
          <w:tcPr>
            <w:tcW w:w="8460" w:type="dxa"/>
            <w:vAlign w:val="bottom"/>
          </w:tcPr>
          <w:p>
            <w:pPr>
              <w:ind w:left="380"/>
              <w:spacing w:after="0"/>
              <w:rPr>
                <w:sz w:val="20"/>
                <w:szCs w:val="20"/>
                <w:color w:val="auto"/>
              </w:rPr>
            </w:pPr>
            <w:r>
              <w:rPr>
                <w:rFonts w:ascii="Arial" w:cs="Arial" w:eastAsia="Arial" w:hAnsi="Arial"/>
                <w:sz w:val="18"/>
                <w:szCs w:val="18"/>
                <w:color w:val="auto"/>
              </w:rPr>
              <w:t>Forms of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202.</w:t>
            </w:r>
          </w:p>
        </w:tc>
        <w:tc>
          <w:tcPr>
            <w:tcW w:w="8460" w:type="dxa"/>
            <w:vAlign w:val="bottom"/>
          </w:tcPr>
          <w:p>
            <w:pPr>
              <w:ind w:left="380"/>
              <w:spacing w:after="0"/>
              <w:rPr>
                <w:sz w:val="20"/>
                <w:szCs w:val="20"/>
                <w:color w:val="auto"/>
              </w:rPr>
            </w:pPr>
            <w:r>
              <w:rPr>
                <w:rFonts w:ascii="Arial" w:cs="Arial" w:eastAsia="Arial" w:hAnsi="Arial"/>
                <w:sz w:val="18"/>
                <w:szCs w:val="18"/>
                <w:color w:val="auto"/>
              </w:rPr>
              <w:t>Form of Trustee’s Certificate of Authentication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203.</w:t>
            </w:r>
          </w:p>
        </w:tc>
        <w:tc>
          <w:tcPr>
            <w:tcW w:w="8460" w:type="dxa"/>
            <w:vAlign w:val="bottom"/>
          </w:tcPr>
          <w:p>
            <w:pPr>
              <w:ind w:left="380"/>
              <w:spacing w:after="0"/>
              <w:rPr>
                <w:sz w:val="20"/>
                <w:szCs w:val="20"/>
                <w:color w:val="auto"/>
              </w:rPr>
            </w:pPr>
            <w:r>
              <w:rPr>
                <w:rFonts w:ascii="Arial" w:cs="Arial" w:eastAsia="Arial" w:hAnsi="Arial"/>
                <w:sz w:val="18"/>
                <w:szCs w:val="18"/>
                <w:color w:val="auto"/>
              </w:rPr>
              <w:t>Securities Issuable in Global Form</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6"/>
        </w:trPr>
        <w:tc>
          <w:tcPr>
            <w:tcW w:w="1280" w:type="dxa"/>
            <w:vAlign w:val="bottom"/>
          </w:tcPr>
          <w:p>
            <w:pPr>
              <w:spacing w:after="0"/>
              <w:rPr>
                <w:sz w:val="24"/>
                <w:szCs w:val="24"/>
                <w:color w:val="auto"/>
              </w:rPr>
            </w:pPr>
          </w:p>
        </w:tc>
        <w:tc>
          <w:tcPr>
            <w:tcW w:w="8460" w:type="dxa"/>
            <w:vAlign w:val="bottom"/>
          </w:tcPr>
          <w:p>
            <w:pPr>
              <w:jc w:val="center"/>
              <w:ind w:left="232"/>
              <w:spacing w:after="0"/>
              <w:rPr>
                <w:sz w:val="20"/>
                <w:szCs w:val="20"/>
                <w:color w:val="auto"/>
              </w:rPr>
            </w:pPr>
            <w:r>
              <w:rPr>
                <w:rFonts w:ascii="Arial" w:cs="Arial" w:eastAsia="Arial" w:hAnsi="Arial"/>
                <w:sz w:val="18"/>
                <w:szCs w:val="18"/>
                <w:color w:val="auto"/>
                <w:w w:val="94"/>
              </w:rPr>
              <w:t>ARTICLE THREE</w:t>
            </w:r>
          </w:p>
        </w:tc>
        <w:tc>
          <w:tcPr>
            <w:tcW w:w="158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8460" w:type="dxa"/>
            <w:vAlign w:val="bottom"/>
          </w:tcPr>
          <w:p>
            <w:pPr>
              <w:jc w:val="center"/>
              <w:ind w:left="232"/>
              <w:spacing w:after="0"/>
              <w:rPr>
                <w:sz w:val="20"/>
                <w:szCs w:val="20"/>
                <w:color w:val="auto"/>
              </w:rPr>
            </w:pPr>
            <w:r>
              <w:rPr>
                <w:rFonts w:ascii="Arial" w:cs="Arial" w:eastAsia="Arial" w:hAnsi="Arial"/>
                <w:sz w:val="18"/>
                <w:szCs w:val="18"/>
                <w:color w:val="auto"/>
                <w:w w:val="92"/>
              </w:rPr>
              <w:t>THE SECURITIES</w:t>
            </w:r>
          </w:p>
        </w:tc>
        <w:tc>
          <w:tcPr>
            <w:tcW w:w="1580" w:type="dxa"/>
            <w:vAlign w:val="bottom"/>
          </w:tcPr>
          <w:p>
            <w:pPr>
              <w:spacing w:after="0"/>
              <w:rPr>
                <w:sz w:val="19"/>
                <w:szCs w:val="19"/>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301.</w:t>
            </w:r>
          </w:p>
        </w:tc>
        <w:tc>
          <w:tcPr>
            <w:tcW w:w="8460" w:type="dxa"/>
            <w:vAlign w:val="bottom"/>
          </w:tcPr>
          <w:p>
            <w:pPr>
              <w:ind w:left="380"/>
              <w:spacing w:after="0"/>
              <w:rPr>
                <w:sz w:val="20"/>
                <w:szCs w:val="20"/>
                <w:color w:val="auto"/>
              </w:rPr>
            </w:pPr>
            <w:r>
              <w:rPr>
                <w:rFonts w:ascii="Arial" w:cs="Arial" w:eastAsia="Arial" w:hAnsi="Arial"/>
                <w:sz w:val="18"/>
                <w:szCs w:val="18"/>
                <w:color w:val="auto"/>
              </w:rPr>
              <w:t>Amount Unlimited; Issuable in Series</w:t>
            </w: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302.</w:t>
            </w:r>
          </w:p>
        </w:tc>
        <w:tc>
          <w:tcPr>
            <w:tcW w:w="8460" w:type="dxa"/>
            <w:vAlign w:val="bottom"/>
          </w:tcPr>
          <w:p>
            <w:pPr>
              <w:ind w:left="380"/>
              <w:spacing w:after="0"/>
              <w:rPr>
                <w:sz w:val="20"/>
                <w:szCs w:val="20"/>
                <w:color w:val="auto"/>
              </w:rPr>
            </w:pPr>
            <w:r>
              <w:rPr>
                <w:rFonts w:ascii="Arial" w:cs="Arial" w:eastAsia="Arial" w:hAnsi="Arial"/>
                <w:sz w:val="18"/>
                <w:szCs w:val="18"/>
                <w:color w:val="auto"/>
              </w:rPr>
              <w:t>Denominations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303.</w:t>
            </w:r>
          </w:p>
        </w:tc>
        <w:tc>
          <w:tcPr>
            <w:tcW w:w="8460" w:type="dxa"/>
            <w:vAlign w:val="bottom"/>
          </w:tcPr>
          <w:p>
            <w:pPr>
              <w:ind w:left="380"/>
              <w:spacing w:after="0"/>
              <w:rPr>
                <w:sz w:val="20"/>
                <w:szCs w:val="20"/>
                <w:color w:val="auto"/>
              </w:rPr>
            </w:pPr>
            <w:r>
              <w:rPr>
                <w:rFonts w:ascii="Arial" w:cs="Arial" w:eastAsia="Arial" w:hAnsi="Arial"/>
                <w:sz w:val="18"/>
                <w:szCs w:val="18"/>
                <w:color w:val="auto"/>
              </w:rPr>
              <w:t>Execution, Authentication, Delivery and Dating</w:t>
            </w: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304.</w:t>
            </w:r>
          </w:p>
        </w:tc>
        <w:tc>
          <w:tcPr>
            <w:tcW w:w="8460" w:type="dxa"/>
            <w:vAlign w:val="bottom"/>
          </w:tcPr>
          <w:p>
            <w:pPr>
              <w:ind w:left="380"/>
              <w:spacing w:after="0"/>
              <w:rPr>
                <w:sz w:val="20"/>
                <w:szCs w:val="20"/>
                <w:color w:val="auto"/>
              </w:rPr>
            </w:pPr>
            <w:r>
              <w:rPr>
                <w:rFonts w:ascii="Arial" w:cs="Arial" w:eastAsia="Arial" w:hAnsi="Arial"/>
                <w:sz w:val="18"/>
                <w:szCs w:val="18"/>
                <w:color w:val="auto"/>
              </w:rPr>
              <w:t>Temporary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305.</w:t>
            </w:r>
          </w:p>
        </w:tc>
        <w:tc>
          <w:tcPr>
            <w:tcW w:w="8460" w:type="dxa"/>
            <w:vAlign w:val="bottom"/>
          </w:tcPr>
          <w:p>
            <w:pPr>
              <w:ind w:left="380"/>
              <w:spacing w:after="0"/>
              <w:rPr>
                <w:sz w:val="20"/>
                <w:szCs w:val="20"/>
                <w:color w:val="auto"/>
              </w:rPr>
            </w:pPr>
            <w:r>
              <w:rPr>
                <w:rFonts w:ascii="Arial" w:cs="Arial" w:eastAsia="Arial" w:hAnsi="Arial"/>
                <w:sz w:val="18"/>
                <w:szCs w:val="18"/>
                <w:color w:val="auto"/>
              </w:rPr>
              <w:t>Registration, Registration of Transfer and Exchange</w:t>
            </w: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306.</w:t>
            </w:r>
          </w:p>
        </w:tc>
        <w:tc>
          <w:tcPr>
            <w:tcW w:w="8460" w:type="dxa"/>
            <w:vAlign w:val="bottom"/>
          </w:tcPr>
          <w:p>
            <w:pPr>
              <w:ind w:left="380"/>
              <w:spacing w:after="0"/>
              <w:rPr>
                <w:sz w:val="20"/>
                <w:szCs w:val="20"/>
                <w:color w:val="auto"/>
              </w:rPr>
            </w:pPr>
            <w:r>
              <w:rPr>
                <w:rFonts w:ascii="Arial" w:cs="Arial" w:eastAsia="Arial" w:hAnsi="Arial"/>
                <w:sz w:val="18"/>
                <w:szCs w:val="18"/>
                <w:color w:val="auto"/>
              </w:rPr>
              <w:t>Mutilated, Destroyed, Lost and Stolen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307.</w:t>
            </w:r>
          </w:p>
        </w:tc>
        <w:tc>
          <w:tcPr>
            <w:tcW w:w="8460" w:type="dxa"/>
            <w:vAlign w:val="bottom"/>
          </w:tcPr>
          <w:p>
            <w:pPr>
              <w:ind w:left="380"/>
              <w:spacing w:after="0"/>
              <w:rPr>
                <w:sz w:val="20"/>
                <w:szCs w:val="20"/>
                <w:color w:val="auto"/>
              </w:rPr>
            </w:pPr>
            <w:r>
              <w:rPr>
                <w:rFonts w:ascii="Arial" w:cs="Arial" w:eastAsia="Arial" w:hAnsi="Arial"/>
                <w:sz w:val="18"/>
                <w:szCs w:val="18"/>
                <w:color w:val="auto"/>
              </w:rPr>
              <w:t>Payment of Interest; Interest Rights Preserved; Optional Interest Reset</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308.</w:t>
            </w:r>
          </w:p>
        </w:tc>
        <w:tc>
          <w:tcPr>
            <w:tcW w:w="8460" w:type="dxa"/>
            <w:vAlign w:val="bottom"/>
          </w:tcPr>
          <w:p>
            <w:pPr>
              <w:ind w:left="380"/>
              <w:spacing w:after="0"/>
              <w:rPr>
                <w:sz w:val="20"/>
                <w:szCs w:val="20"/>
                <w:color w:val="auto"/>
              </w:rPr>
            </w:pPr>
            <w:r>
              <w:rPr>
                <w:rFonts w:ascii="Arial" w:cs="Arial" w:eastAsia="Arial" w:hAnsi="Arial"/>
                <w:sz w:val="18"/>
                <w:szCs w:val="18"/>
                <w:color w:val="auto"/>
              </w:rPr>
              <w:t>Optional Extension of Maturity</w:t>
            </w: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309.</w:t>
            </w:r>
          </w:p>
        </w:tc>
        <w:tc>
          <w:tcPr>
            <w:tcW w:w="8460" w:type="dxa"/>
            <w:vAlign w:val="bottom"/>
          </w:tcPr>
          <w:p>
            <w:pPr>
              <w:ind w:left="380"/>
              <w:spacing w:after="0"/>
              <w:rPr>
                <w:sz w:val="20"/>
                <w:szCs w:val="20"/>
                <w:color w:val="auto"/>
              </w:rPr>
            </w:pPr>
            <w:r>
              <w:rPr>
                <w:rFonts w:ascii="Arial" w:cs="Arial" w:eastAsia="Arial" w:hAnsi="Arial"/>
                <w:sz w:val="18"/>
                <w:szCs w:val="18"/>
                <w:color w:val="auto"/>
              </w:rPr>
              <w:t>Persons Deemed Owners</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310.</w:t>
            </w:r>
          </w:p>
        </w:tc>
        <w:tc>
          <w:tcPr>
            <w:tcW w:w="8460" w:type="dxa"/>
            <w:vAlign w:val="bottom"/>
          </w:tcPr>
          <w:p>
            <w:pPr>
              <w:ind w:left="380"/>
              <w:spacing w:after="0"/>
              <w:rPr>
                <w:sz w:val="20"/>
                <w:szCs w:val="20"/>
                <w:color w:val="auto"/>
              </w:rPr>
            </w:pPr>
            <w:r>
              <w:rPr>
                <w:rFonts w:ascii="Arial" w:cs="Arial" w:eastAsia="Arial" w:hAnsi="Arial"/>
                <w:sz w:val="18"/>
                <w:szCs w:val="18"/>
                <w:color w:val="auto"/>
              </w:rPr>
              <w:t>Cancellation</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311.</w:t>
            </w:r>
          </w:p>
        </w:tc>
        <w:tc>
          <w:tcPr>
            <w:tcW w:w="8460" w:type="dxa"/>
            <w:vAlign w:val="bottom"/>
          </w:tcPr>
          <w:p>
            <w:pPr>
              <w:ind w:left="380"/>
              <w:spacing w:after="0"/>
              <w:rPr>
                <w:sz w:val="20"/>
                <w:szCs w:val="20"/>
                <w:color w:val="auto"/>
              </w:rPr>
            </w:pPr>
            <w:r>
              <w:rPr>
                <w:rFonts w:ascii="Arial" w:cs="Arial" w:eastAsia="Arial" w:hAnsi="Arial"/>
                <w:sz w:val="18"/>
                <w:szCs w:val="18"/>
                <w:color w:val="auto"/>
              </w:rPr>
              <w:t>Computation of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1280" w:type="dxa"/>
            <w:vAlign w:val="bottom"/>
          </w:tcPr>
          <w:p>
            <w:pPr>
              <w:spacing w:after="0"/>
              <w:rPr>
                <w:sz w:val="24"/>
                <w:szCs w:val="24"/>
                <w:color w:val="auto"/>
              </w:rPr>
            </w:pPr>
          </w:p>
        </w:tc>
        <w:tc>
          <w:tcPr>
            <w:tcW w:w="8460" w:type="dxa"/>
            <w:vAlign w:val="bottom"/>
          </w:tcPr>
          <w:p>
            <w:pPr>
              <w:ind w:left="4360"/>
              <w:spacing w:after="0"/>
              <w:rPr>
                <w:sz w:val="20"/>
                <w:szCs w:val="20"/>
                <w:color w:val="auto"/>
              </w:rPr>
            </w:pPr>
            <w:r>
              <w:rPr>
                <w:rFonts w:ascii="Arial" w:cs="Arial" w:eastAsia="Arial" w:hAnsi="Arial"/>
                <w:sz w:val="18"/>
                <w:szCs w:val="18"/>
                <w:color w:val="auto"/>
              </w:rPr>
              <w:t>-i-</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8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1280" w:type="dxa"/>
            <w:vAlign w:val="bottom"/>
          </w:tcPr>
          <w:p>
            <w:pPr>
              <w:spacing w:after="0"/>
              <w:rPr>
                <w:sz w:val="20"/>
                <w:szCs w:val="20"/>
                <w:color w:val="auto"/>
              </w:rPr>
            </w:pPr>
            <w:r>
              <w:rPr>
                <w:rFonts w:ascii="Arial" w:cs="Arial" w:eastAsia="Arial" w:hAnsi="Arial"/>
                <w:sz w:val="18"/>
                <w:szCs w:val="18"/>
                <w:color w:val="auto"/>
              </w:rPr>
              <w:t>Section 312.</w:t>
            </w:r>
          </w:p>
        </w:tc>
        <w:tc>
          <w:tcPr>
            <w:tcW w:w="7740" w:type="dxa"/>
            <w:vAlign w:val="bottom"/>
          </w:tcPr>
          <w:p>
            <w:pPr>
              <w:ind w:left="380"/>
              <w:spacing w:after="0"/>
              <w:rPr>
                <w:sz w:val="20"/>
                <w:szCs w:val="20"/>
                <w:color w:val="auto"/>
              </w:rPr>
            </w:pPr>
            <w:r>
              <w:rPr>
                <w:rFonts w:ascii="Arial" w:cs="Arial" w:eastAsia="Arial" w:hAnsi="Arial"/>
                <w:sz w:val="18"/>
                <w:szCs w:val="18"/>
                <w:color w:val="auto"/>
              </w:rPr>
              <w:t>Currency and Manner of Payments in Respect of Securities</w:t>
            </w:r>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313.</w:t>
            </w:r>
          </w:p>
        </w:tc>
        <w:tc>
          <w:tcPr>
            <w:tcW w:w="7740" w:type="dxa"/>
            <w:vAlign w:val="bottom"/>
          </w:tcPr>
          <w:p>
            <w:pPr>
              <w:ind w:left="380"/>
              <w:spacing w:after="0"/>
              <w:rPr>
                <w:sz w:val="20"/>
                <w:szCs w:val="20"/>
                <w:color w:val="auto"/>
              </w:rPr>
            </w:pPr>
            <w:r>
              <w:rPr>
                <w:rFonts w:ascii="Arial" w:cs="Arial" w:eastAsia="Arial" w:hAnsi="Arial"/>
                <w:sz w:val="18"/>
                <w:szCs w:val="18"/>
                <w:color w:val="auto"/>
              </w:rPr>
              <w:t>Appointment and Resignation of Successor Exchange Rate Agent</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314.</w:t>
            </w:r>
          </w:p>
        </w:tc>
        <w:tc>
          <w:tcPr>
            <w:tcW w:w="7740" w:type="dxa"/>
            <w:vAlign w:val="bottom"/>
          </w:tcPr>
          <w:p>
            <w:pPr>
              <w:ind w:left="380"/>
              <w:spacing w:after="0"/>
              <w:rPr>
                <w:sz w:val="20"/>
                <w:szCs w:val="20"/>
                <w:color w:val="auto"/>
              </w:rPr>
            </w:pPr>
            <w:r>
              <w:rPr>
                <w:rFonts w:ascii="Arial" w:cs="Arial" w:eastAsia="Arial" w:hAnsi="Arial"/>
                <w:sz w:val="18"/>
                <w:szCs w:val="18"/>
                <w:color w:val="auto"/>
              </w:rPr>
              <w:t>CUSIP Numbers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26"/>
        </w:trPr>
        <w:tc>
          <w:tcPr>
            <w:tcW w:w="1280" w:type="dxa"/>
            <w:vAlign w:val="bottom"/>
          </w:tcPr>
          <w:p>
            <w:pPr>
              <w:spacing w:after="0"/>
              <w:rPr>
                <w:sz w:val="24"/>
                <w:szCs w:val="24"/>
                <w:color w:val="auto"/>
              </w:rPr>
            </w:pPr>
          </w:p>
        </w:tc>
        <w:tc>
          <w:tcPr>
            <w:tcW w:w="7740" w:type="dxa"/>
            <w:vAlign w:val="bottom"/>
          </w:tcPr>
          <w:p>
            <w:pPr>
              <w:jc w:val="center"/>
              <w:ind w:left="932"/>
              <w:spacing w:after="0"/>
              <w:rPr>
                <w:sz w:val="20"/>
                <w:szCs w:val="20"/>
                <w:color w:val="auto"/>
              </w:rPr>
            </w:pPr>
            <w:r>
              <w:rPr>
                <w:rFonts w:ascii="Arial" w:cs="Arial" w:eastAsia="Arial" w:hAnsi="Arial"/>
                <w:sz w:val="18"/>
                <w:szCs w:val="18"/>
                <w:color w:val="auto"/>
                <w:w w:val="93"/>
              </w:rPr>
              <w:t>ARTICLE FOUR</w:t>
            </w:r>
          </w:p>
        </w:tc>
        <w:tc>
          <w:tcPr>
            <w:tcW w:w="230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7740" w:type="dxa"/>
            <w:vAlign w:val="bottom"/>
          </w:tcPr>
          <w:p>
            <w:pPr>
              <w:jc w:val="center"/>
              <w:ind w:left="952"/>
              <w:spacing w:after="0"/>
              <w:rPr>
                <w:sz w:val="20"/>
                <w:szCs w:val="20"/>
                <w:color w:val="auto"/>
              </w:rPr>
            </w:pPr>
            <w:r>
              <w:rPr>
                <w:rFonts w:ascii="Arial" w:cs="Arial" w:eastAsia="Arial" w:hAnsi="Arial"/>
                <w:sz w:val="18"/>
                <w:szCs w:val="18"/>
                <w:color w:val="auto"/>
                <w:w w:val="94"/>
              </w:rPr>
              <w:t>SATISFACTION AND DISCHARGE</w:t>
            </w:r>
          </w:p>
        </w:tc>
        <w:tc>
          <w:tcPr>
            <w:tcW w:w="2300" w:type="dxa"/>
            <w:vAlign w:val="bottom"/>
          </w:tcPr>
          <w:p>
            <w:pPr>
              <w:spacing w:after="0"/>
              <w:rPr>
                <w:sz w:val="19"/>
                <w:szCs w:val="19"/>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401.</w:t>
            </w:r>
          </w:p>
        </w:tc>
        <w:tc>
          <w:tcPr>
            <w:tcW w:w="7740" w:type="dxa"/>
            <w:vAlign w:val="bottom"/>
          </w:tcPr>
          <w:p>
            <w:pPr>
              <w:ind w:left="380"/>
              <w:spacing w:after="0"/>
              <w:rPr>
                <w:sz w:val="20"/>
                <w:szCs w:val="20"/>
                <w:color w:val="auto"/>
              </w:rPr>
            </w:pPr>
            <w:r>
              <w:rPr>
                <w:rFonts w:ascii="Arial" w:cs="Arial" w:eastAsia="Arial" w:hAnsi="Arial"/>
                <w:sz w:val="18"/>
                <w:szCs w:val="18"/>
                <w:color w:val="auto"/>
              </w:rPr>
              <w:t>Satisfaction and Discharge of Indenture</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402.</w:t>
            </w:r>
          </w:p>
        </w:tc>
        <w:tc>
          <w:tcPr>
            <w:tcW w:w="7740" w:type="dxa"/>
            <w:vAlign w:val="bottom"/>
          </w:tcPr>
          <w:p>
            <w:pPr>
              <w:ind w:left="380"/>
              <w:spacing w:after="0"/>
              <w:rPr>
                <w:sz w:val="20"/>
                <w:szCs w:val="20"/>
                <w:color w:val="auto"/>
              </w:rPr>
            </w:pPr>
            <w:r>
              <w:rPr>
                <w:rFonts w:ascii="Arial" w:cs="Arial" w:eastAsia="Arial" w:hAnsi="Arial"/>
                <w:sz w:val="18"/>
                <w:szCs w:val="18"/>
                <w:color w:val="auto"/>
              </w:rPr>
              <w:t>Application of Trust Funds</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6"/>
        </w:trPr>
        <w:tc>
          <w:tcPr>
            <w:tcW w:w="1280" w:type="dxa"/>
            <w:vAlign w:val="bottom"/>
          </w:tcPr>
          <w:p>
            <w:pPr>
              <w:spacing w:after="0"/>
              <w:rPr>
                <w:sz w:val="24"/>
                <w:szCs w:val="24"/>
                <w:color w:val="auto"/>
              </w:rPr>
            </w:pPr>
          </w:p>
        </w:tc>
        <w:tc>
          <w:tcPr>
            <w:tcW w:w="7740" w:type="dxa"/>
            <w:vAlign w:val="bottom"/>
          </w:tcPr>
          <w:p>
            <w:pPr>
              <w:jc w:val="center"/>
              <w:ind w:left="932"/>
              <w:spacing w:after="0"/>
              <w:rPr>
                <w:sz w:val="20"/>
                <w:szCs w:val="20"/>
                <w:color w:val="auto"/>
              </w:rPr>
            </w:pPr>
            <w:r>
              <w:rPr>
                <w:rFonts w:ascii="Arial" w:cs="Arial" w:eastAsia="Arial" w:hAnsi="Arial"/>
                <w:sz w:val="18"/>
                <w:szCs w:val="18"/>
                <w:color w:val="auto"/>
                <w:w w:val="95"/>
              </w:rPr>
              <w:t>ARTICLE FIVE</w:t>
            </w:r>
          </w:p>
        </w:tc>
        <w:tc>
          <w:tcPr>
            <w:tcW w:w="230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7740" w:type="dxa"/>
            <w:vAlign w:val="bottom"/>
          </w:tcPr>
          <w:p>
            <w:pPr>
              <w:jc w:val="center"/>
              <w:ind w:left="932"/>
              <w:spacing w:after="0"/>
              <w:rPr>
                <w:sz w:val="20"/>
                <w:szCs w:val="20"/>
                <w:color w:val="auto"/>
              </w:rPr>
            </w:pPr>
            <w:r>
              <w:rPr>
                <w:rFonts w:ascii="Arial" w:cs="Arial" w:eastAsia="Arial" w:hAnsi="Arial"/>
                <w:sz w:val="18"/>
                <w:szCs w:val="18"/>
                <w:color w:val="auto"/>
                <w:w w:val="93"/>
              </w:rPr>
              <w:t>REMEDIES</w:t>
            </w:r>
          </w:p>
        </w:tc>
        <w:tc>
          <w:tcPr>
            <w:tcW w:w="2300" w:type="dxa"/>
            <w:vAlign w:val="bottom"/>
          </w:tcPr>
          <w:p>
            <w:pPr>
              <w:spacing w:after="0"/>
              <w:rPr>
                <w:sz w:val="19"/>
                <w:szCs w:val="19"/>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501.</w:t>
            </w:r>
          </w:p>
        </w:tc>
        <w:tc>
          <w:tcPr>
            <w:tcW w:w="7740" w:type="dxa"/>
            <w:vAlign w:val="bottom"/>
          </w:tcPr>
          <w:p>
            <w:pPr>
              <w:ind w:left="380"/>
              <w:spacing w:after="0"/>
              <w:rPr>
                <w:sz w:val="20"/>
                <w:szCs w:val="20"/>
                <w:color w:val="auto"/>
              </w:rPr>
            </w:pPr>
            <w:r>
              <w:rPr>
                <w:rFonts w:ascii="Arial" w:cs="Arial" w:eastAsia="Arial" w:hAnsi="Arial"/>
                <w:sz w:val="18"/>
                <w:szCs w:val="18"/>
                <w:color w:val="auto"/>
              </w:rPr>
              <w:t>Events of Default</w:t>
            </w:r>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502.</w:t>
            </w:r>
          </w:p>
        </w:tc>
        <w:tc>
          <w:tcPr>
            <w:tcW w:w="7740" w:type="dxa"/>
            <w:vAlign w:val="bottom"/>
          </w:tcPr>
          <w:p>
            <w:pPr>
              <w:ind w:left="380"/>
              <w:spacing w:after="0"/>
              <w:rPr>
                <w:sz w:val="20"/>
                <w:szCs w:val="20"/>
                <w:color w:val="auto"/>
              </w:rPr>
            </w:pPr>
            <w:r>
              <w:rPr>
                <w:rFonts w:ascii="Arial" w:cs="Arial" w:eastAsia="Arial" w:hAnsi="Arial"/>
                <w:sz w:val="18"/>
                <w:szCs w:val="18"/>
                <w:color w:val="auto"/>
              </w:rPr>
              <w:t>Acceleration of Maturity; Rescission and Annulment</w:t>
            </w:r>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503.</w:t>
            </w:r>
          </w:p>
        </w:tc>
        <w:tc>
          <w:tcPr>
            <w:tcW w:w="7740" w:type="dxa"/>
            <w:vAlign w:val="bottom"/>
          </w:tcPr>
          <w:p>
            <w:pPr>
              <w:ind w:left="380"/>
              <w:spacing w:after="0"/>
              <w:rPr>
                <w:sz w:val="20"/>
                <w:szCs w:val="20"/>
                <w:color w:val="auto"/>
              </w:rPr>
            </w:pPr>
            <w:r>
              <w:rPr>
                <w:rFonts w:ascii="Arial" w:cs="Arial" w:eastAsia="Arial" w:hAnsi="Arial"/>
                <w:sz w:val="18"/>
                <w:szCs w:val="18"/>
                <w:color w:val="auto"/>
              </w:rPr>
              <w:t>Collection of Indebtedness and Suits for Enforcement by Trustee</w:t>
            </w:r>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504.</w:t>
            </w:r>
          </w:p>
        </w:tc>
        <w:tc>
          <w:tcPr>
            <w:tcW w:w="7740" w:type="dxa"/>
            <w:vAlign w:val="bottom"/>
          </w:tcPr>
          <w:p>
            <w:pPr>
              <w:ind w:left="380"/>
              <w:spacing w:after="0"/>
              <w:rPr>
                <w:sz w:val="20"/>
                <w:szCs w:val="20"/>
                <w:color w:val="auto"/>
              </w:rPr>
            </w:pPr>
            <w:r>
              <w:rPr>
                <w:rFonts w:ascii="Arial" w:cs="Arial" w:eastAsia="Arial" w:hAnsi="Arial"/>
                <w:sz w:val="18"/>
                <w:szCs w:val="18"/>
                <w:color w:val="auto"/>
              </w:rPr>
              <w:t>Trustee May File Proofs of Claim</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505.</w:t>
            </w:r>
          </w:p>
        </w:tc>
        <w:tc>
          <w:tcPr>
            <w:tcW w:w="7740" w:type="dxa"/>
            <w:vAlign w:val="bottom"/>
          </w:tcPr>
          <w:p>
            <w:pPr>
              <w:ind w:left="38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506.</w:t>
            </w:r>
          </w:p>
        </w:tc>
        <w:tc>
          <w:tcPr>
            <w:tcW w:w="7740" w:type="dxa"/>
            <w:vAlign w:val="bottom"/>
          </w:tcPr>
          <w:p>
            <w:pPr>
              <w:ind w:left="380"/>
              <w:spacing w:after="0"/>
              <w:rPr>
                <w:sz w:val="20"/>
                <w:szCs w:val="20"/>
                <w:color w:val="auto"/>
              </w:rPr>
            </w:pPr>
            <w:r>
              <w:rPr>
                <w:rFonts w:ascii="Arial" w:cs="Arial" w:eastAsia="Arial" w:hAnsi="Arial"/>
                <w:sz w:val="18"/>
                <w:szCs w:val="18"/>
                <w:color w:val="auto"/>
              </w:rPr>
              <w:t>Application of Money Collected</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507.</w:t>
            </w:r>
          </w:p>
        </w:tc>
        <w:tc>
          <w:tcPr>
            <w:tcW w:w="7740" w:type="dxa"/>
            <w:vAlign w:val="bottom"/>
          </w:tcPr>
          <w:p>
            <w:pPr>
              <w:ind w:left="380"/>
              <w:spacing w:after="0"/>
              <w:rPr>
                <w:sz w:val="20"/>
                <w:szCs w:val="20"/>
                <w:color w:val="auto"/>
              </w:rPr>
            </w:pPr>
            <w:r>
              <w:rPr>
                <w:rFonts w:ascii="Arial" w:cs="Arial" w:eastAsia="Arial" w:hAnsi="Arial"/>
                <w:sz w:val="18"/>
                <w:szCs w:val="18"/>
                <w:color w:val="auto"/>
              </w:rPr>
              <w:t>Limitation on Suits</w:t>
            </w:r>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508.</w:t>
            </w:r>
          </w:p>
        </w:tc>
        <w:tc>
          <w:tcPr>
            <w:tcW w:w="7740" w:type="dxa"/>
            <w:vAlign w:val="bottom"/>
          </w:tcPr>
          <w:p>
            <w:pPr>
              <w:ind w:left="38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509.</w:t>
            </w:r>
          </w:p>
        </w:tc>
        <w:tc>
          <w:tcPr>
            <w:tcW w:w="7740" w:type="dxa"/>
            <w:vAlign w:val="bottom"/>
          </w:tcPr>
          <w:p>
            <w:pPr>
              <w:ind w:left="380"/>
              <w:spacing w:after="0"/>
              <w:rPr>
                <w:sz w:val="20"/>
                <w:szCs w:val="20"/>
                <w:color w:val="auto"/>
              </w:rPr>
            </w:pPr>
            <w:r>
              <w:rPr>
                <w:rFonts w:ascii="Arial" w:cs="Arial" w:eastAsia="Arial" w:hAnsi="Arial"/>
                <w:sz w:val="18"/>
                <w:szCs w:val="18"/>
                <w:color w:val="auto"/>
              </w:rPr>
              <w:t>Restoration of Rights and Remedies</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510.</w:t>
            </w:r>
          </w:p>
        </w:tc>
        <w:tc>
          <w:tcPr>
            <w:tcW w:w="7740" w:type="dxa"/>
            <w:vAlign w:val="bottom"/>
          </w:tcPr>
          <w:p>
            <w:pPr>
              <w:ind w:left="380"/>
              <w:spacing w:after="0"/>
              <w:rPr>
                <w:sz w:val="20"/>
                <w:szCs w:val="20"/>
                <w:color w:val="auto"/>
              </w:rPr>
            </w:pPr>
            <w:r>
              <w:rPr>
                <w:rFonts w:ascii="Arial" w:cs="Arial" w:eastAsia="Arial" w:hAnsi="Arial"/>
                <w:sz w:val="18"/>
                <w:szCs w:val="18"/>
                <w:color w:val="auto"/>
              </w:rPr>
              <w:t>Rights and Remedies Cumulative</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511.</w:t>
            </w:r>
          </w:p>
        </w:tc>
        <w:tc>
          <w:tcPr>
            <w:tcW w:w="7740" w:type="dxa"/>
            <w:vAlign w:val="bottom"/>
          </w:tcPr>
          <w:p>
            <w:pPr>
              <w:ind w:left="380"/>
              <w:spacing w:after="0"/>
              <w:rPr>
                <w:sz w:val="20"/>
                <w:szCs w:val="20"/>
                <w:color w:val="auto"/>
              </w:rPr>
            </w:pPr>
            <w:r>
              <w:rPr>
                <w:rFonts w:ascii="Arial" w:cs="Arial" w:eastAsia="Arial" w:hAnsi="Arial"/>
                <w:sz w:val="18"/>
                <w:szCs w:val="18"/>
                <w:color w:val="auto"/>
              </w:rPr>
              <w:t>Delay or Omission Not Waiver</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512.</w:t>
            </w:r>
          </w:p>
        </w:tc>
        <w:tc>
          <w:tcPr>
            <w:tcW w:w="7740" w:type="dxa"/>
            <w:vAlign w:val="bottom"/>
          </w:tcPr>
          <w:p>
            <w:pPr>
              <w:ind w:left="380"/>
              <w:spacing w:after="0"/>
              <w:rPr>
                <w:sz w:val="20"/>
                <w:szCs w:val="20"/>
                <w:color w:val="auto"/>
              </w:rPr>
            </w:pPr>
            <w:r>
              <w:rPr>
                <w:rFonts w:ascii="Arial" w:cs="Arial" w:eastAsia="Arial" w:hAnsi="Arial"/>
                <w:sz w:val="18"/>
                <w:szCs w:val="18"/>
                <w:color w:val="auto"/>
              </w:rPr>
              <w:t>Control by Holders of Securities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513.</w:t>
            </w:r>
          </w:p>
        </w:tc>
        <w:tc>
          <w:tcPr>
            <w:tcW w:w="7740" w:type="dxa"/>
            <w:vAlign w:val="bottom"/>
          </w:tcPr>
          <w:p>
            <w:pPr>
              <w:ind w:left="380"/>
              <w:spacing w:after="0"/>
              <w:rPr>
                <w:sz w:val="20"/>
                <w:szCs w:val="20"/>
                <w:color w:val="auto"/>
              </w:rPr>
            </w:pPr>
            <w:r>
              <w:rPr>
                <w:rFonts w:ascii="Arial" w:cs="Arial" w:eastAsia="Arial" w:hAnsi="Arial"/>
                <w:sz w:val="18"/>
                <w:szCs w:val="18"/>
                <w:color w:val="auto"/>
              </w:rPr>
              <w:t>Waiver of Past Defaults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514.</w:t>
            </w:r>
          </w:p>
        </w:tc>
        <w:tc>
          <w:tcPr>
            <w:tcW w:w="7740" w:type="dxa"/>
            <w:vAlign w:val="bottom"/>
          </w:tcPr>
          <w:p>
            <w:pPr>
              <w:ind w:left="380"/>
              <w:spacing w:after="0"/>
              <w:rPr>
                <w:sz w:val="20"/>
                <w:szCs w:val="20"/>
                <w:color w:val="auto"/>
              </w:rPr>
            </w:pPr>
            <w:r>
              <w:rPr>
                <w:rFonts w:ascii="Arial" w:cs="Arial" w:eastAsia="Arial" w:hAnsi="Arial"/>
                <w:sz w:val="18"/>
                <w:szCs w:val="18"/>
                <w:color w:val="auto"/>
              </w:rPr>
              <w:t>Waiver of Stay or Extension Laws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280" w:type="dxa"/>
            <w:vAlign w:val="bottom"/>
          </w:tcPr>
          <w:p>
            <w:pPr>
              <w:spacing w:after="0"/>
              <w:rPr>
                <w:sz w:val="24"/>
                <w:szCs w:val="24"/>
                <w:color w:val="auto"/>
              </w:rPr>
            </w:pPr>
          </w:p>
        </w:tc>
        <w:tc>
          <w:tcPr>
            <w:tcW w:w="7740" w:type="dxa"/>
            <w:vAlign w:val="bottom"/>
          </w:tcPr>
          <w:p>
            <w:pPr>
              <w:jc w:val="center"/>
              <w:ind w:left="952"/>
              <w:spacing w:after="0"/>
              <w:rPr>
                <w:sz w:val="20"/>
                <w:szCs w:val="20"/>
                <w:color w:val="auto"/>
              </w:rPr>
            </w:pPr>
            <w:r>
              <w:rPr>
                <w:rFonts w:ascii="Arial" w:cs="Arial" w:eastAsia="Arial" w:hAnsi="Arial"/>
                <w:sz w:val="18"/>
                <w:szCs w:val="18"/>
                <w:color w:val="auto"/>
                <w:w w:val="96"/>
              </w:rPr>
              <w:t>ARTICLE SIX</w:t>
            </w:r>
          </w:p>
        </w:tc>
        <w:tc>
          <w:tcPr>
            <w:tcW w:w="2300" w:type="dxa"/>
            <w:vAlign w:val="bottom"/>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7740" w:type="dxa"/>
            <w:vAlign w:val="bottom"/>
          </w:tcPr>
          <w:p>
            <w:pPr>
              <w:jc w:val="center"/>
              <w:ind w:left="932"/>
              <w:spacing w:after="0"/>
              <w:rPr>
                <w:sz w:val="20"/>
                <w:szCs w:val="20"/>
                <w:color w:val="auto"/>
              </w:rPr>
            </w:pPr>
            <w:r>
              <w:rPr>
                <w:rFonts w:ascii="Arial" w:cs="Arial" w:eastAsia="Arial" w:hAnsi="Arial"/>
                <w:sz w:val="18"/>
                <w:szCs w:val="18"/>
                <w:color w:val="auto"/>
                <w:w w:val="92"/>
              </w:rPr>
              <w:t>THE TRUSTEE</w:t>
            </w:r>
          </w:p>
        </w:tc>
        <w:tc>
          <w:tcPr>
            <w:tcW w:w="2300" w:type="dxa"/>
            <w:vAlign w:val="bottom"/>
          </w:tcPr>
          <w:p>
            <w:pPr>
              <w:spacing w:after="0"/>
              <w:rPr>
                <w:sz w:val="19"/>
                <w:szCs w:val="19"/>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601.</w:t>
            </w:r>
          </w:p>
        </w:tc>
        <w:tc>
          <w:tcPr>
            <w:tcW w:w="7740" w:type="dxa"/>
            <w:vAlign w:val="bottom"/>
          </w:tcPr>
          <w:p>
            <w:pPr>
              <w:ind w:left="380"/>
              <w:spacing w:after="0"/>
              <w:rPr>
                <w:sz w:val="20"/>
                <w:szCs w:val="20"/>
                <w:color w:val="auto"/>
              </w:rPr>
            </w:pPr>
            <w:r>
              <w:rPr>
                <w:rFonts w:ascii="Arial" w:cs="Arial" w:eastAsia="Arial" w:hAnsi="Arial"/>
                <w:sz w:val="18"/>
                <w:szCs w:val="18"/>
                <w:color w:val="auto"/>
              </w:rPr>
              <w:t>Notice of Defaults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602.</w:t>
            </w:r>
          </w:p>
        </w:tc>
        <w:tc>
          <w:tcPr>
            <w:tcW w:w="7740" w:type="dxa"/>
            <w:vAlign w:val="bottom"/>
          </w:tcPr>
          <w:p>
            <w:pPr>
              <w:ind w:left="380"/>
              <w:spacing w:after="0"/>
              <w:rPr>
                <w:sz w:val="20"/>
                <w:szCs w:val="20"/>
                <w:color w:val="auto"/>
              </w:rPr>
            </w:pPr>
            <w:r>
              <w:rPr>
                <w:rFonts w:ascii="Arial" w:cs="Arial" w:eastAsia="Arial" w:hAnsi="Arial"/>
                <w:sz w:val="18"/>
                <w:szCs w:val="18"/>
                <w:color w:val="auto"/>
              </w:rPr>
              <w:t>Certain Rights of Trustee</w:t>
            </w:r>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603.</w:t>
            </w:r>
          </w:p>
        </w:tc>
        <w:tc>
          <w:tcPr>
            <w:tcW w:w="7740" w:type="dxa"/>
            <w:vAlign w:val="bottom"/>
          </w:tcPr>
          <w:p>
            <w:pPr>
              <w:ind w:left="380"/>
              <w:spacing w:after="0"/>
              <w:rPr>
                <w:sz w:val="20"/>
                <w:szCs w:val="20"/>
                <w:color w:val="auto"/>
              </w:rPr>
            </w:pPr>
            <w:r>
              <w:rPr>
                <w:rFonts w:ascii="Arial" w:cs="Arial" w:eastAsia="Arial" w:hAnsi="Arial"/>
                <w:sz w:val="18"/>
                <w:szCs w:val="18"/>
                <w:color w:val="auto"/>
              </w:rPr>
              <w:t>Not Responsible for Recitals or Issuance of Securities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604.</w:t>
            </w:r>
          </w:p>
        </w:tc>
        <w:tc>
          <w:tcPr>
            <w:tcW w:w="7740" w:type="dxa"/>
            <w:vAlign w:val="bottom"/>
          </w:tcPr>
          <w:p>
            <w:pPr>
              <w:ind w:left="380"/>
              <w:spacing w:after="0"/>
              <w:rPr>
                <w:sz w:val="20"/>
                <w:szCs w:val="20"/>
                <w:color w:val="auto"/>
              </w:rPr>
            </w:pPr>
            <w:r>
              <w:rPr>
                <w:rFonts w:ascii="Arial" w:cs="Arial" w:eastAsia="Arial" w:hAnsi="Arial"/>
                <w:sz w:val="18"/>
                <w:szCs w:val="18"/>
                <w:color w:val="auto"/>
              </w:rPr>
              <w:t>May Hold Securities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605.</w:t>
            </w:r>
          </w:p>
        </w:tc>
        <w:tc>
          <w:tcPr>
            <w:tcW w:w="7740" w:type="dxa"/>
            <w:vAlign w:val="bottom"/>
          </w:tcPr>
          <w:p>
            <w:pPr>
              <w:ind w:left="380"/>
              <w:spacing w:after="0"/>
              <w:rPr>
                <w:sz w:val="20"/>
                <w:szCs w:val="20"/>
                <w:color w:val="auto"/>
              </w:rPr>
            </w:pPr>
            <w:r>
              <w:rPr>
                <w:rFonts w:ascii="Arial" w:cs="Arial" w:eastAsia="Arial" w:hAnsi="Arial"/>
                <w:sz w:val="18"/>
                <w:szCs w:val="18"/>
                <w:color w:val="auto"/>
              </w:rPr>
              <w:t>Money Held in Trust</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606.</w:t>
            </w:r>
          </w:p>
        </w:tc>
        <w:tc>
          <w:tcPr>
            <w:tcW w:w="7740" w:type="dxa"/>
            <w:vAlign w:val="bottom"/>
          </w:tcPr>
          <w:p>
            <w:pPr>
              <w:ind w:left="380"/>
              <w:spacing w:after="0"/>
              <w:rPr>
                <w:sz w:val="20"/>
                <w:szCs w:val="20"/>
                <w:color w:val="auto"/>
              </w:rPr>
            </w:pPr>
            <w:r>
              <w:rPr>
                <w:rFonts w:ascii="Arial" w:cs="Arial" w:eastAsia="Arial" w:hAnsi="Arial"/>
                <w:sz w:val="18"/>
                <w:szCs w:val="18"/>
                <w:color w:val="auto"/>
              </w:rPr>
              <w:t>Compensation and Reimbursement and Indemnification of Trustee</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607.</w:t>
            </w:r>
          </w:p>
        </w:tc>
        <w:tc>
          <w:tcPr>
            <w:tcW w:w="7740" w:type="dxa"/>
            <w:vAlign w:val="bottom"/>
          </w:tcPr>
          <w:p>
            <w:pPr>
              <w:ind w:left="380"/>
              <w:spacing w:after="0"/>
              <w:rPr>
                <w:sz w:val="20"/>
                <w:szCs w:val="20"/>
                <w:color w:val="auto"/>
              </w:rPr>
            </w:pPr>
            <w:r>
              <w:rPr>
                <w:rFonts w:ascii="Arial" w:cs="Arial" w:eastAsia="Arial" w:hAnsi="Arial"/>
                <w:sz w:val="18"/>
                <w:szCs w:val="18"/>
                <w:color w:val="auto"/>
              </w:rPr>
              <w:t>Corporate Trustee Required; Eligibility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608.</w:t>
            </w:r>
          </w:p>
        </w:tc>
        <w:tc>
          <w:tcPr>
            <w:tcW w:w="7740" w:type="dxa"/>
            <w:vAlign w:val="bottom"/>
          </w:tcPr>
          <w:p>
            <w:pPr>
              <w:ind w:left="380"/>
              <w:spacing w:after="0"/>
              <w:rPr>
                <w:sz w:val="20"/>
                <w:szCs w:val="20"/>
                <w:color w:val="auto"/>
              </w:rPr>
            </w:pPr>
            <w:r>
              <w:rPr>
                <w:rFonts w:ascii="Arial" w:cs="Arial" w:eastAsia="Arial" w:hAnsi="Arial"/>
                <w:sz w:val="18"/>
                <w:szCs w:val="18"/>
                <w:color w:val="auto"/>
              </w:rPr>
              <w:t>Disqualification; Conflicting Interests</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5"/>
        </w:trPr>
        <w:tc>
          <w:tcPr>
            <w:tcW w:w="1280" w:type="dxa"/>
            <w:vAlign w:val="bottom"/>
          </w:tcPr>
          <w:p>
            <w:pPr>
              <w:spacing w:after="0"/>
              <w:rPr>
                <w:sz w:val="24"/>
                <w:szCs w:val="24"/>
                <w:color w:val="auto"/>
              </w:rPr>
            </w:pPr>
          </w:p>
        </w:tc>
        <w:tc>
          <w:tcPr>
            <w:tcW w:w="7740" w:type="dxa"/>
            <w:vAlign w:val="bottom"/>
          </w:tcPr>
          <w:p>
            <w:pPr>
              <w:ind w:left="4320"/>
              <w:spacing w:after="0"/>
              <w:rPr>
                <w:sz w:val="20"/>
                <w:szCs w:val="20"/>
                <w:color w:val="auto"/>
              </w:rPr>
            </w:pPr>
            <w:r>
              <w:rPr>
                <w:rFonts w:ascii="Arial" w:cs="Arial" w:eastAsia="Arial" w:hAnsi="Arial"/>
                <w:sz w:val="18"/>
                <w:szCs w:val="18"/>
                <w:color w:val="auto"/>
              </w:rPr>
              <w:t>-ii-</w:t>
            </w:r>
          </w:p>
        </w:tc>
        <w:tc>
          <w:tcPr>
            <w:tcW w:w="230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1320" w:type="dxa"/>
            <w:vAlign w:val="bottom"/>
          </w:tcPr>
          <w:p>
            <w:pPr>
              <w:spacing w:after="0"/>
              <w:rPr>
                <w:sz w:val="20"/>
                <w:szCs w:val="20"/>
                <w:color w:val="auto"/>
              </w:rPr>
            </w:pPr>
            <w:r>
              <w:rPr>
                <w:rFonts w:ascii="Arial" w:cs="Arial" w:eastAsia="Arial" w:hAnsi="Arial"/>
                <w:sz w:val="18"/>
                <w:szCs w:val="18"/>
                <w:color w:val="auto"/>
              </w:rPr>
              <w:t>Section 609.</w:t>
            </w:r>
          </w:p>
        </w:tc>
        <w:tc>
          <w:tcPr>
            <w:tcW w:w="8300" w:type="dxa"/>
            <w:vAlign w:val="bottom"/>
          </w:tcPr>
          <w:p>
            <w:pPr>
              <w:ind w:left="340"/>
              <w:spacing w:after="0"/>
              <w:rPr>
                <w:sz w:val="20"/>
                <w:szCs w:val="20"/>
                <w:color w:val="auto"/>
              </w:rPr>
            </w:pPr>
            <w:r>
              <w:rPr>
                <w:rFonts w:ascii="Arial" w:cs="Arial" w:eastAsia="Arial" w:hAnsi="Arial"/>
                <w:sz w:val="18"/>
                <w:szCs w:val="18"/>
                <w:color w:val="auto"/>
              </w:rPr>
              <w:t>Resignation and Removal; Appointment of Successor</w:t>
            </w:r>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610.</w:t>
            </w:r>
          </w:p>
        </w:tc>
        <w:tc>
          <w:tcPr>
            <w:tcW w:w="8300" w:type="dxa"/>
            <w:vAlign w:val="bottom"/>
          </w:tcPr>
          <w:p>
            <w:pPr>
              <w:ind w:left="340"/>
              <w:spacing w:after="0"/>
              <w:rPr>
                <w:sz w:val="20"/>
                <w:szCs w:val="20"/>
                <w:color w:val="auto"/>
              </w:rPr>
            </w:pPr>
            <w:r>
              <w:rPr>
                <w:rFonts w:ascii="Arial" w:cs="Arial" w:eastAsia="Arial" w:hAnsi="Arial"/>
                <w:sz w:val="18"/>
                <w:szCs w:val="18"/>
                <w:color w:val="auto"/>
              </w:rPr>
              <w:t>Acceptance of Appointment by Successor</w:t>
            </w: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611.</w:t>
            </w:r>
          </w:p>
        </w:tc>
        <w:tc>
          <w:tcPr>
            <w:tcW w:w="8300" w:type="dxa"/>
            <w:vAlign w:val="bottom"/>
          </w:tcPr>
          <w:p>
            <w:pPr>
              <w:ind w:left="340"/>
              <w:spacing w:after="0"/>
              <w:rPr>
                <w:sz w:val="20"/>
                <w:szCs w:val="20"/>
                <w:color w:val="auto"/>
              </w:rPr>
            </w:pPr>
            <w:r>
              <w:rPr>
                <w:rFonts w:ascii="Arial" w:cs="Arial" w:eastAsia="Arial" w:hAnsi="Arial"/>
                <w:sz w:val="18"/>
                <w:szCs w:val="18"/>
                <w:color w:val="auto"/>
              </w:rPr>
              <w:t>Merger, Conversion, Consolidation or Succession to Business</w:t>
            </w:r>
          </w:p>
        </w:tc>
        <w:tc>
          <w:tcPr>
            <w:tcW w:w="1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612.</w:t>
            </w:r>
          </w:p>
        </w:tc>
        <w:tc>
          <w:tcPr>
            <w:tcW w:w="8300" w:type="dxa"/>
            <w:vAlign w:val="bottom"/>
          </w:tcPr>
          <w:p>
            <w:pPr>
              <w:ind w:left="340"/>
              <w:spacing w:after="0"/>
              <w:rPr>
                <w:sz w:val="20"/>
                <w:szCs w:val="20"/>
                <w:color w:val="auto"/>
              </w:rPr>
            </w:pPr>
            <w:r>
              <w:rPr>
                <w:rFonts w:ascii="Arial" w:cs="Arial" w:eastAsia="Arial" w:hAnsi="Arial"/>
                <w:sz w:val="18"/>
                <w:szCs w:val="18"/>
                <w:color w:val="auto"/>
              </w:rPr>
              <w:t>Appointment of Authenticating Agent</w:t>
            </w:r>
          </w:p>
        </w:tc>
        <w:tc>
          <w:tcPr>
            <w:tcW w:w="1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26"/>
        </w:trPr>
        <w:tc>
          <w:tcPr>
            <w:tcW w:w="1320" w:type="dxa"/>
            <w:vAlign w:val="bottom"/>
          </w:tcPr>
          <w:p>
            <w:pPr>
              <w:spacing w:after="0"/>
              <w:rPr>
                <w:sz w:val="24"/>
                <w:szCs w:val="24"/>
                <w:color w:val="auto"/>
              </w:rPr>
            </w:pPr>
          </w:p>
        </w:tc>
        <w:tc>
          <w:tcPr>
            <w:tcW w:w="8300" w:type="dxa"/>
            <w:vAlign w:val="bottom"/>
          </w:tcPr>
          <w:p>
            <w:pPr>
              <w:jc w:val="center"/>
              <w:ind w:left="312"/>
              <w:spacing w:after="0"/>
              <w:rPr>
                <w:sz w:val="20"/>
                <w:szCs w:val="20"/>
                <w:color w:val="auto"/>
              </w:rPr>
            </w:pPr>
            <w:r>
              <w:rPr>
                <w:rFonts w:ascii="Arial" w:cs="Arial" w:eastAsia="Arial" w:hAnsi="Arial"/>
                <w:sz w:val="18"/>
                <w:szCs w:val="18"/>
                <w:color w:val="auto"/>
                <w:w w:val="94"/>
              </w:rPr>
              <w:t>ARTICLE SEVEN</w:t>
            </w:r>
          </w:p>
        </w:tc>
        <w:tc>
          <w:tcPr>
            <w:tcW w:w="1700" w:type="dxa"/>
            <w:vAlign w:val="bottom"/>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8300" w:type="dxa"/>
            <w:vAlign w:val="bottom"/>
          </w:tcPr>
          <w:p>
            <w:pPr>
              <w:jc w:val="center"/>
              <w:ind w:left="292"/>
              <w:spacing w:after="0"/>
              <w:rPr>
                <w:sz w:val="20"/>
                <w:szCs w:val="20"/>
                <w:color w:val="auto"/>
              </w:rPr>
            </w:pPr>
            <w:r>
              <w:rPr>
                <w:rFonts w:ascii="Arial" w:cs="Arial" w:eastAsia="Arial" w:hAnsi="Arial"/>
                <w:sz w:val="18"/>
                <w:szCs w:val="18"/>
                <w:color w:val="auto"/>
                <w:w w:val="93"/>
              </w:rPr>
              <w:t>HOLDERS’ LISTS AND REPORTS BY TRUSTEE AND COMPANY</w:t>
            </w:r>
          </w:p>
        </w:tc>
        <w:tc>
          <w:tcPr>
            <w:tcW w:w="1700" w:type="dxa"/>
            <w:vAlign w:val="bottom"/>
          </w:tcPr>
          <w:p>
            <w:pPr>
              <w:spacing w:after="0"/>
              <w:rPr>
                <w:sz w:val="19"/>
                <w:szCs w:val="19"/>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Section 701.</w:t>
            </w:r>
          </w:p>
        </w:tc>
        <w:tc>
          <w:tcPr>
            <w:tcW w:w="8300" w:type="dxa"/>
            <w:vAlign w:val="bottom"/>
          </w:tcPr>
          <w:p>
            <w:pPr>
              <w:ind w:left="340"/>
              <w:spacing w:after="0"/>
              <w:rPr>
                <w:sz w:val="20"/>
                <w:szCs w:val="20"/>
                <w:color w:val="auto"/>
              </w:rPr>
            </w:pPr>
            <w:r>
              <w:rPr>
                <w:rFonts w:ascii="Arial" w:cs="Arial" w:eastAsia="Arial" w:hAnsi="Arial"/>
                <w:sz w:val="18"/>
                <w:szCs w:val="18"/>
                <w:color w:val="auto"/>
              </w:rPr>
              <w:t>Disclosure of Names and Addresses of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702.</w:t>
            </w:r>
          </w:p>
        </w:tc>
        <w:tc>
          <w:tcPr>
            <w:tcW w:w="8300" w:type="dxa"/>
            <w:vAlign w:val="bottom"/>
          </w:tcPr>
          <w:p>
            <w:pPr>
              <w:ind w:left="340"/>
              <w:spacing w:after="0"/>
              <w:rPr>
                <w:sz w:val="20"/>
                <w:szCs w:val="20"/>
                <w:color w:val="auto"/>
              </w:rPr>
            </w:pPr>
            <w:r>
              <w:rPr>
                <w:rFonts w:ascii="Arial" w:cs="Arial" w:eastAsia="Arial" w:hAnsi="Arial"/>
                <w:sz w:val="18"/>
                <w:szCs w:val="18"/>
                <w:color w:val="auto"/>
              </w:rPr>
              <w:t>Preservation of Information; Communications to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703.</w:t>
            </w:r>
          </w:p>
        </w:tc>
        <w:tc>
          <w:tcPr>
            <w:tcW w:w="8300" w:type="dxa"/>
            <w:vAlign w:val="bottom"/>
          </w:tcPr>
          <w:p>
            <w:pPr>
              <w:ind w:left="340"/>
              <w:spacing w:after="0"/>
              <w:rPr>
                <w:sz w:val="20"/>
                <w:szCs w:val="20"/>
                <w:color w:val="auto"/>
              </w:rPr>
            </w:pPr>
            <w:r>
              <w:rPr>
                <w:rFonts w:ascii="Arial" w:cs="Arial" w:eastAsia="Arial" w:hAnsi="Arial"/>
                <w:sz w:val="18"/>
                <w:szCs w:val="18"/>
                <w:color w:val="auto"/>
              </w:rPr>
              <w:t>Reports by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704.</w:t>
            </w:r>
          </w:p>
        </w:tc>
        <w:tc>
          <w:tcPr>
            <w:tcW w:w="8300" w:type="dxa"/>
            <w:vAlign w:val="bottom"/>
          </w:tcPr>
          <w:p>
            <w:pPr>
              <w:ind w:left="340"/>
              <w:spacing w:after="0"/>
              <w:rPr>
                <w:sz w:val="20"/>
                <w:szCs w:val="20"/>
                <w:color w:val="auto"/>
              </w:rPr>
            </w:pPr>
            <w:r>
              <w:rPr>
                <w:rFonts w:ascii="Arial" w:cs="Arial" w:eastAsia="Arial" w:hAnsi="Arial"/>
                <w:sz w:val="18"/>
                <w:szCs w:val="18"/>
                <w:color w:val="auto"/>
              </w:rPr>
              <w:t>Reports by Company</w:t>
            </w: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705.</w:t>
            </w:r>
          </w:p>
        </w:tc>
        <w:tc>
          <w:tcPr>
            <w:tcW w:w="8300" w:type="dxa"/>
            <w:vAlign w:val="bottom"/>
          </w:tcPr>
          <w:p>
            <w:pPr>
              <w:ind w:left="340"/>
              <w:spacing w:after="0"/>
              <w:rPr>
                <w:sz w:val="20"/>
                <w:szCs w:val="20"/>
                <w:color w:val="auto"/>
              </w:rPr>
            </w:pPr>
            <w:r>
              <w:rPr>
                <w:rFonts w:ascii="Arial" w:cs="Arial" w:eastAsia="Arial" w:hAnsi="Arial"/>
                <w:sz w:val="18"/>
                <w:szCs w:val="18"/>
                <w:color w:val="auto"/>
              </w:rPr>
              <w:t>Calculation of Original Issue Discount</w:t>
            </w: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6"/>
        </w:trPr>
        <w:tc>
          <w:tcPr>
            <w:tcW w:w="1320" w:type="dxa"/>
            <w:vAlign w:val="bottom"/>
          </w:tcPr>
          <w:p>
            <w:pPr>
              <w:spacing w:after="0"/>
              <w:rPr>
                <w:sz w:val="24"/>
                <w:szCs w:val="24"/>
                <w:color w:val="auto"/>
              </w:rPr>
            </w:pPr>
          </w:p>
        </w:tc>
        <w:tc>
          <w:tcPr>
            <w:tcW w:w="8300" w:type="dxa"/>
            <w:vAlign w:val="bottom"/>
          </w:tcPr>
          <w:p>
            <w:pPr>
              <w:jc w:val="center"/>
              <w:ind w:left="312"/>
              <w:spacing w:after="0"/>
              <w:rPr>
                <w:sz w:val="20"/>
                <w:szCs w:val="20"/>
                <w:color w:val="auto"/>
              </w:rPr>
            </w:pPr>
            <w:r>
              <w:rPr>
                <w:rFonts w:ascii="Arial" w:cs="Arial" w:eastAsia="Arial" w:hAnsi="Arial"/>
                <w:sz w:val="18"/>
                <w:szCs w:val="18"/>
                <w:color w:val="auto"/>
                <w:w w:val="95"/>
              </w:rPr>
              <w:t>ARTICLE EIGHT</w:t>
            </w:r>
          </w:p>
        </w:tc>
        <w:tc>
          <w:tcPr>
            <w:tcW w:w="1700" w:type="dxa"/>
            <w:vAlign w:val="bottom"/>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8300" w:type="dxa"/>
            <w:vAlign w:val="bottom"/>
          </w:tcPr>
          <w:p>
            <w:pPr>
              <w:jc w:val="center"/>
              <w:ind w:left="312"/>
              <w:spacing w:after="0"/>
              <w:rPr>
                <w:sz w:val="20"/>
                <w:szCs w:val="20"/>
                <w:color w:val="auto"/>
              </w:rPr>
            </w:pPr>
            <w:r>
              <w:rPr>
                <w:rFonts w:ascii="Arial" w:cs="Arial" w:eastAsia="Arial" w:hAnsi="Arial"/>
                <w:sz w:val="18"/>
                <w:szCs w:val="18"/>
                <w:color w:val="auto"/>
                <w:w w:val="93"/>
              </w:rPr>
              <w:t>CONSOLIDATION, MERGER, CONVEYANCE OR TRANSFER</w:t>
            </w:r>
          </w:p>
        </w:tc>
        <w:tc>
          <w:tcPr>
            <w:tcW w:w="1700" w:type="dxa"/>
            <w:vAlign w:val="bottom"/>
          </w:tcPr>
          <w:p>
            <w:pPr>
              <w:spacing w:after="0"/>
              <w:rPr>
                <w:sz w:val="19"/>
                <w:szCs w:val="19"/>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Section 801.</w:t>
            </w:r>
          </w:p>
        </w:tc>
        <w:tc>
          <w:tcPr>
            <w:tcW w:w="8300" w:type="dxa"/>
            <w:vAlign w:val="bottom"/>
          </w:tcPr>
          <w:p>
            <w:pPr>
              <w:ind w:left="340"/>
              <w:spacing w:after="0"/>
              <w:rPr>
                <w:sz w:val="20"/>
                <w:szCs w:val="20"/>
                <w:color w:val="auto"/>
              </w:rPr>
            </w:pPr>
            <w:r>
              <w:rPr>
                <w:rFonts w:ascii="Arial" w:cs="Arial" w:eastAsia="Arial" w:hAnsi="Arial"/>
                <w:sz w:val="18"/>
                <w:szCs w:val="18"/>
                <w:color w:val="auto"/>
              </w:rPr>
              <w:t>Company May Consolidate, Etc., Only on Certain Terms</w:t>
            </w: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802.</w:t>
            </w:r>
          </w:p>
        </w:tc>
        <w:tc>
          <w:tcPr>
            <w:tcW w:w="8300" w:type="dxa"/>
            <w:vAlign w:val="bottom"/>
          </w:tcPr>
          <w:p>
            <w:pPr>
              <w:ind w:left="340"/>
              <w:spacing w:after="0"/>
              <w:rPr>
                <w:sz w:val="20"/>
                <w:szCs w:val="20"/>
                <w:color w:val="auto"/>
              </w:rPr>
            </w:pPr>
            <w:r>
              <w:rPr>
                <w:rFonts w:ascii="Arial" w:cs="Arial" w:eastAsia="Arial" w:hAnsi="Arial"/>
                <w:sz w:val="18"/>
                <w:szCs w:val="18"/>
                <w:color w:val="auto"/>
              </w:rPr>
              <w:t>Successor Person Substituted</w:t>
            </w:r>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26"/>
        </w:trPr>
        <w:tc>
          <w:tcPr>
            <w:tcW w:w="1320" w:type="dxa"/>
            <w:vAlign w:val="bottom"/>
          </w:tcPr>
          <w:p>
            <w:pPr>
              <w:spacing w:after="0"/>
              <w:rPr>
                <w:sz w:val="24"/>
                <w:szCs w:val="24"/>
                <w:color w:val="auto"/>
              </w:rPr>
            </w:pPr>
          </w:p>
        </w:tc>
        <w:tc>
          <w:tcPr>
            <w:tcW w:w="8300" w:type="dxa"/>
            <w:vAlign w:val="bottom"/>
          </w:tcPr>
          <w:p>
            <w:pPr>
              <w:jc w:val="center"/>
              <w:ind w:left="292"/>
              <w:spacing w:after="0"/>
              <w:rPr>
                <w:sz w:val="20"/>
                <w:szCs w:val="20"/>
                <w:color w:val="auto"/>
              </w:rPr>
            </w:pPr>
            <w:r>
              <w:rPr>
                <w:rFonts w:ascii="Arial" w:cs="Arial" w:eastAsia="Arial" w:hAnsi="Arial"/>
                <w:sz w:val="18"/>
                <w:szCs w:val="18"/>
                <w:color w:val="auto"/>
                <w:w w:val="96"/>
              </w:rPr>
              <w:t>ARTICLE NINE</w:t>
            </w:r>
          </w:p>
        </w:tc>
        <w:tc>
          <w:tcPr>
            <w:tcW w:w="1700" w:type="dxa"/>
            <w:vAlign w:val="bottom"/>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8300" w:type="dxa"/>
            <w:vAlign w:val="bottom"/>
          </w:tcPr>
          <w:p>
            <w:pPr>
              <w:jc w:val="center"/>
              <w:ind w:left="312"/>
              <w:spacing w:after="0"/>
              <w:rPr>
                <w:sz w:val="20"/>
                <w:szCs w:val="20"/>
                <w:color w:val="auto"/>
              </w:rPr>
            </w:pPr>
            <w:r>
              <w:rPr>
                <w:rFonts w:ascii="Arial" w:cs="Arial" w:eastAsia="Arial" w:hAnsi="Arial"/>
                <w:sz w:val="18"/>
                <w:szCs w:val="18"/>
                <w:color w:val="auto"/>
                <w:w w:val="93"/>
              </w:rPr>
              <w:t>SUPPLEMENTAL INDENTURES</w:t>
            </w:r>
          </w:p>
        </w:tc>
        <w:tc>
          <w:tcPr>
            <w:tcW w:w="1700" w:type="dxa"/>
            <w:vAlign w:val="bottom"/>
          </w:tcPr>
          <w:p>
            <w:pPr>
              <w:spacing w:after="0"/>
              <w:rPr>
                <w:sz w:val="19"/>
                <w:szCs w:val="19"/>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Section 901.</w:t>
            </w:r>
          </w:p>
        </w:tc>
        <w:tc>
          <w:tcPr>
            <w:tcW w:w="8300" w:type="dxa"/>
            <w:vAlign w:val="bottom"/>
          </w:tcPr>
          <w:p>
            <w:pPr>
              <w:ind w:left="340"/>
              <w:spacing w:after="0"/>
              <w:rPr>
                <w:sz w:val="20"/>
                <w:szCs w:val="20"/>
                <w:color w:val="auto"/>
              </w:rPr>
            </w:pPr>
            <w:r>
              <w:rPr>
                <w:rFonts w:ascii="Arial" w:cs="Arial" w:eastAsia="Arial" w:hAnsi="Arial"/>
                <w:sz w:val="18"/>
                <w:szCs w:val="18"/>
                <w:color w:val="auto"/>
              </w:rPr>
              <w:t>Supplemental Indentures Without Consent of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902.</w:t>
            </w:r>
          </w:p>
        </w:tc>
        <w:tc>
          <w:tcPr>
            <w:tcW w:w="8300" w:type="dxa"/>
            <w:vAlign w:val="bottom"/>
          </w:tcPr>
          <w:p>
            <w:pPr>
              <w:ind w:left="340"/>
              <w:spacing w:after="0"/>
              <w:rPr>
                <w:sz w:val="20"/>
                <w:szCs w:val="20"/>
                <w:color w:val="auto"/>
              </w:rPr>
            </w:pPr>
            <w:r>
              <w:rPr>
                <w:rFonts w:ascii="Arial" w:cs="Arial" w:eastAsia="Arial" w:hAnsi="Arial"/>
                <w:sz w:val="18"/>
                <w:szCs w:val="18"/>
                <w:color w:val="auto"/>
              </w:rPr>
              <w:t>Supplemental Indentures with Consent of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903.</w:t>
            </w:r>
          </w:p>
        </w:tc>
        <w:tc>
          <w:tcPr>
            <w:tcW w:w="8300" w:type="dxa"/>
            <w:vAlign w:val="bottom"/>
          </w:tcPr>
          <w:p>
            <w:pPr>
              <w:ind w:left="340"/>
              <w:spacing w:after="0"/>
              <w:rPr>
                <w:sz w:val="20"/>
                <w:szCs w:val="20"/>
                <w:color w:val="auto"/>
              </w:rPr>
            </w:pPr>
            <w:r>
              <w:rPr>
                <w:rFonts w:ascii="Arial" w:cs="Arial" w:eastAsia="Arial" w:hAnsi="Arial"/>
                <w:sz w:val="18"/>
                <w:szCs w:val="18"/>
                <w:color w:val="auto"/>
              </w:rPr>
              <w:t>Execution of 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904.</w:t>
            </w:r>
          </w:p>
        </w:tc>
        <w:tc>
          <w:tcPr>
            <w:tcW w:w="8300" w:type="dxa"/>
            <w:vAlign w:val="bottom"/>
          </w:tcPr>
          <w:p>
            <w:pPr>
              <w:ind w:left="340"/>
              <w:spacing w:after="0"/>
              <w:rPr>
                <w:sz w:val="20"/>
                <w:szCs w:val="20"/>
                <w:color w:val="auto"/>
              </w:rPr>
            </w:pPr>
            <w:r>
              <w:rPr>
                <w:rFonts w:ascii="Arial" w:cs="Arial" w:eastAsia="Arial" w:hAnsi="Arial"/>
                <w:sz w:val="18"/>
                <w:szCs w:val="18"/>
                <w:color w:val="auto"/>
              </w:rPr>
              <w:t>Effect of 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905.</w:t>
            </w:r>
          </w:p>
        </w:tc>
        <w:tc>
          <w:tcPr>
            <w:tcW w:w="8300" w:type="dxa"/>
            <w:vAlign w:val="bottom"/>
          </w:tcPr>
          <w:p>
            <w:pPr>
              <w:ind w:left="340"/>
              <w:spacing w:after="0"/>
              <w:rPr>
                <w:sz w:val="20"/>
                <w:szCs w:val="20"/>
                <w:color w:val="auto"/>
              </w:rPr>
            </w:pPr>
            <w:r>
              <w:rPr>
                <w:rFonts w:ascii="Arial" w:cs="Arial" w:eastAsia="Arial" w:hAnsi="Arial"/>
                <w:sz w:val="18"/>
                <w:szCs w:val="18"/>
                <w:color w:val="auto"/>
              </w:rPr>
              <w:t>Conformity with Trust Indenture Act</w:t>
            </w:r>
          </w:p>
        </w:tc>
        <w:tc>
          <w:tcPr>
            <w:tcW w:w="1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906.</w:t>
            </w:r>
          </w:p>
        </w:tc>
        <w:tc>
          <w:tcPr>
            <w:tcW w:w="8300" w:type="dxa"/>
            <w:vAlign w:val="bottom"/>
          </w:tcPr>
          <w:p>
            <w:pPr>
              <w:ind w:left="340"/>
              <w:spacing w:after="0"/>
              <w:rPr>
                <w:sz w:val="20"/>
                <w:szCs w:val="20"/>
                <w:color w:val="auto"/>
              </w:rPr>
            </w:pPr>
            <w:r>
              <w:rPr>
                <w:rFonts w:ascii="Arial" w:cs="Arial" w:eastAsia="Arial" w:hAnsi="Arial"/>
                <w:sz w:val="18"/>
                <w:szCs w:val="18"/>
                <w:color w:val="auto"/>
              </w:rPr>
              <w:t>Reference in Securities to Supplemental Indentures</w:t>
            </w:r>
          </w:p>
        </w:tc>
        <w:tc>
          <w:tcPr>
            <w:tcW w:w="1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26"/>
        </w:trPr>
        <w:tc>
          <w:tcPr>
            <w:tcW w:w="1320" w:type="dxa"/>
            <w:vAlign w:val="bottom"/>
          </w:tcPr>
          <w:p>
            <w:pPr>
              <w:spacing w:after="0"/>
              <w:rPr>
                <w:sz w:val="24"/>
                <w:szCs w:val="24"/>
                <w:color w:val="auto"/>
              </w:rPr>
            </w:pPr>
          </w:p>
        </w:tc>
        <w:tc>
          <w:tcPr>
            <w:tcW w:w="8300" w:type="dxa"/>
            <w:vAlign w:val="bottom"/>
          </w:tcPr>
          <w:p>
            <w:pPr>
              <w:jc w:val="center"/>
              <w:ind w:left="292"/>
              <w:spacing w:after="0"/>
              <w:rPr>
                <w:sz w:val="20"/>
                <w:szCs w:val="20"/>
                <w:color w:val="auto"/>
              </w:rPr>
            </w:pPr>
            <w:r>
              <w:rPr>
                <w:rFonts w:ascii="Arial" w:cs="Arial" w:eastAsia="Arial" w:hAnsi="Arial"/>
                <w:sz w:val="18"/>
                <w:szCs w:val="18"/>
                <w:color w:val="auto"/>
                <w:w w:val="95"/>
              </w:rPr>
              <w:t>ARTICLE TEN</w:t>
            </w:r>
          </w:p>
        </w:tc>
        <w:tc>
          <w:tcPr>
            <w:tcW w:w="1700" w:type="dxa"/>
            <w:vAlign w:val="bottom"/>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8300" w:type="dxa"/>
            <w:vAlign w:val="bottom"/>
          </w:tcPr>
          <w:p>
            <w:pPr>
              <w:jc w:val="center"/>
              <w:ind w:left="312"/>
              <w:spacing w:after="0"/>
              <w:rPr>
                <w:sz w:val="20"/>
                <w:szCs w:val="20"/>
                <w:color w:val="auto"/>
              </w:rPr>
            </w:pPr>
            <w:r>
              <w:rPr>
                <w:rFonts w:ascii="Arial" w:cs="Arial" w:eastAsia="Arial" w:hAnsi="Arial"/>
                <w:sz w:val="18"/>
                <w:szCs w:val="18"/>
                <w:color w:val="auto"/>
                <w:w w:val="94"/>
              </w:rPr>
              <w:t>COVENANTS</w:t>
            </w:r>
          </w:p>
        </w:tc>
        <w:tc>
          <w:tcPr>
            <w:tcW w:w="1700" w:type="dxa"/>
            <w:vAlign w:val="bottom"/>
          </w:tcPr>
          <w:p>
            <w:pPr>
              <w:spacing w:after="0"/>
              <w:rPr>
                <w:sz w:val="19"/>
                <w:szCs w:val="19"/>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Section 1001.</w:t>
            </w:r>
          </w:p>
        </w:tc>
        <w:tc>
          <w:tcPr>
            <w:tcW w:w="8300" w:type="dxa"/>
            <w:vAlign w:val="bottom"/>
          </w:tcPr>
          <w:p>
            <w:pPr>
              <w:ind w:left="340"/>
              <w:spacing w:after="0"/>
              <w:rPr>
                <w:sz w:val="20"/>
                <w:szCs w:val="20"/>
                <w:color w:val="auto"/>
              </w:rPr>
            </w:pPr>
            <w:r>
              <w:rPr>
                <w:rFonts w:ascii="Arial" w:cs="Arial" w:eastAsia="Arial" w:hAnsi="Arial"/>
                <w:sz w:val="18"/>
                <w:szCs w:val="18"/>
                <w:color w:val="auto"/>
              </w:rPr>
              <w:t>Payment of Principal, Premium, if any, and Interest</w:t>
            </w:r>
          </w:p>
        </w:tc>
        <w:tc>
          <w:tcPr>
            <w:tcW w:w="1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1002.</w:t>
            </w:r>
          </w:p>
        </w:tc>
        <w:tc>
          <w:tcPr>
            <w:tcW w:w="8300" w:type="dxa"/>
            <w:vAlign w:val="bottom"/>
          </w:tcPr>
          <w:p>
            <w:pPr>
              <w:ind w:left="340"/>
              <w:spacing w:after="0"/>
              <w:rPr>
                <w:sz w:val="20"/>
                <w:szCs w:val="20"/>
                <w:color w:val="auto"/>
              </w:rPr>
            </w:pPr>
            <w:r>
              <w:rPr>
                <w:rFonts w:ascii="Arial" w:cs="Arial" w:eastAsia="Arial" w:hAnsi="Arial"/>
                <w:sz w:val="18"/>
                <w:szCs w:val="18"/>
                <w:color w:val="auto"/>
              </w:rPr>
              <w:t>Maintenance of Office or Agency</w:t>
            </w:r>
          </w:p>
        </w:tc>
        <w:tc>
          <w:tcPr>
            <w:tcW w:w="1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1003.</w:t>
            </w:r>
          </w:p>
        </w:tc>
        <w:tc>
          <w:tcPr>
            <w:tcW w:w="8300" w:type="dxa"/>
            <w:vAlign w:val="bottom"/>
          </w:tcPr>
          <w:p>
            <w:pPr>
              <w:ind w:left="340"/>
              <w:spacing w:after="0"/>
              <w:rPr>
                <w:sz w:val="20"/>
                <w:szCs w:val="20"/>
                <w:color w:val="auto"/>
              </w:rPr>
            </w:pPr>
            <w:r>
              <w:rPr>
                <w:rFonts w:ascii="Arial" w:cs="Arial" w:eastAsia="Arial" w:hAnsi="Arial"/>
                <w:sz w:val="18"/>
                <w:szCs w:val="18"/>
                <w:color w:val="auto"/>
              </w:rPr>
              <w:t>Money for Securities Payments to Be Held in Trust</w:t>
            </w:r>
          </w:p>
        </w:tc>
        <w:tc>
          <w:tcPr>
            <w:tcW w:w="1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1004.</w:t>
            </w:r>
          </w:p>
        </w:tc>
        <w:tc>
          <w:tcPr>
            <w:tcW w:w="8300" w:type="dxa"/>
            <w:vAlign w:val="bottom"/>
          </w:tcPr>
          <w:p>
            <w:pPr>
              <w:ind w:left="340"/>
              <w:spacing w:after="0"/>
              <w:rPr>
                <w:sz w:val="20"/>
                <w:szCs w:val="20"/>
                <w:color w:val="auto"/>
              </w:rPr>
            </w:pPr>
            <w:r>
              <w:rPr>
                <w:rFonts w:ascii="Arial" w:cs="Arial" w:eastAsia="Arial" w:hAnsi="Arial"/>
                <w:sz w:val="18"/>
                <w:szCs w:val="18"/>
                <w:color w:val="auto"/>
              </w:rPr>
              <w:t>Additional Amounts</w:t>
            </w:r>
          </w:p>
        </w:tc>
        <w:tc>
          <w:tcPr>
            <w:tcW w:w="1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1005.</w:t>
            </w:r>
          </w:p>
        </w:tc>
        <w:tc>
          <w:tcPr>
            <w:tcW w:w="8300" w:type="dxa"/>
            <w:vAlign w:val="bottom"/>
          </w:tcPr>
          <w:p>
            <w:pPr>
              <w:ind w:left="340"/>
              <w:spacing w:after="0"/>
              <w:rPr>
                <w:sz w:val="20"/>
                <w:szCs w:val="20"/>
                <w:color w:val="auto"/>
              </w:rPr>
            </w:pPr>
            <w:r>
              <w:rPr>
                <w:rFonts w:ascii="Arial" w:cs="Arial" w:eastAsia="Arial" w:hAnsi="Arial"/>
                <w:sz w:val="18"/>
                <w:szCs w:val="18"/>
                <w:color w:val="auto"/>
              </w:rPr>
              <w:t>Statement as to Compliance</w:t>
            </w:r>
          </w:p>
        </w:tc>
        <w:tc>
          <w:tcPr>
            <w:tcW w:w="17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1006.</w:t>
            </w:r>
          </w:p>
        </w:tc>
        <w:tc>
          <w:tcPr>
            <w:tcW w:w="8300" w:type="dxa"/>
            <w:vAlign w:val="bottom"/>
          </w:tcPr>
          <w:p>
            <w:pPr>
              <w:ind w:left="340"/>
              <w:spacing w:after="0"/>
              <w:rPr>
                <w:sz w:val="20"/>
                <w:szCs w:val="20"/>
                <w:color w:val="auto"/>
              </w:rPr>
            </w:pPr>
            <w:r>
              <w:rPr>
                <w:rFonts w:ascii="Arial" w:cs="Arial" w:eastAsia="Arial" w:hAnsi="Arial"/>
                <w:sz w:val="18"/>
                <w:szCs w:val="18"/>
                <w:color w:val="auto"/>
              </w:rPr>
              <w:t>Limitations on Liens</w:t>
            </w:r>
          </w:p>
        </w:tc>
        <w:tc>
          <w:tcPr>
            <w:tcW w:w="1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1007.</w:t>
            </w:r>
          </w:p>
        </w:tc>
        <w:tc>
          <w:tcPr>
            <w:tcW w:w="8300" w:type="dxa"/>
            <w:vAlign w:val="bottom"/>
          </w:tcPr>
          <w:p>
            <w:pPr>
              <w:ind w:left="340"/>
              <w:spacing w:after="0"/>
              <w:rPr>
                <w:sz w:val="20"/>
                <w:szCs w:val="20"/>
                <w:color w:val="auto"/>
              </w:rPr>
            </w:pPr>
            <w:r>
              <w:rPr>
                <w:rFonts w:ascii="Arial" w:cs="Arial" w:eastAsia="Arial" w:hAnsi="Arial"/>
                <w:sz w:val="18"/>
                <w:szCs w:val="18"/>
                <w:color w:val="auto"/>
              </w:rPr>
              <w:t>Waiver of Certain Covenants</w:t>
            </w:r>
          </w:p>
        </w:tc>
        <w:tc>
          <w:tcPr>
            <w:tcW w:w="1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65"/>
        </w:trPr>
        <w:tc>
          <w:tcPr>
            <w:tcW w:w="1320" w:type="dxa"/>
            <w:vAlign w:val="bottom"/>
          </w:tcPr>
          <w:p>
            <w:pPr>
              <w:spacing w:after="0"/>
              <w:rPr>
                <w:sz w:val="24"/>
                <w:szCs w:val="24"/>
                <w:color w:val="auto"/>
              </w:rPr>
            </w:pPr>
          </w:p>
        </w:tc>
        <w:tc>
          <w:tcPr>
            <w:tcW w:w="8300" w:type="dxa"/>
            <w:vAlign w:val="bottom"/>
          </w:tcPr>
          <w:p>
            <w:pPr>
              <w:ind w:left="4260"/>
              <w:spacing w:after="0"/>
              <w:rPr>
                <w:sz w:val="20"/>
                <w:szCs w:val="20"/>
                <w:color w:val="auto"/>
              </w:rPr>
            </w:pPr>
            <w:r>
              <w:rPr>
                <w:rFonts w:ascii="Arial" w:cs="Arial" w:eastAsia="Arial" w:hAnsi="Arial"/>
                <w:sz w:val="18"/>
                <w:szCs w:val="18"/>
                <w:color w:val="auto"/>
              </w:rPr>
              <w:t>-iii-</w:t>
            </w:r>
          </w:p>
        </w:tc>
        <w:tc>
          <w:tcPr>
            <w:tcW w:w="170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1320" w:type="dxa"/>
            <w:vAlign w:val="bottom"/>
          </w:tcPr>
          <w:p>
            <w:pPr>
              <w:spacing w:after="0"/>
              <w:rPr>
                <w:sz w:val="19"/>
                <w:szCs w:val="19"/>
                <w:color w:val="auto"/>
              </w:rPr>
            </w:pPr>
          </w:p>
        </w:tc>
        <w:tc>
          <w:tcPr>
            <w:tcW w:w="8560" w:type="dxa"/>
            <w:vAlign w:val="bottom"/>
          </w:tcPr>
          <w:p>
            <w:pPr>
              <w:jc w:val="center"/>
              <w:ind w:left="152"/>
              <w:spacing w:after="0"/>
              <w:rPr>
                <w:sz w:val="20"/>
                <w:szCs w:val="20"/>
                <w:color w:val="auto"/>
              </w:rPr>
            </w:pPr>
            <w:r>
              <w:rPr>
                <w:rFonts w:ascii="Arial" w:cs="Arial" w:eastAsia="Arial" w:hAnsi="Arial"/>
                <w:sz w:val="18"/>
                <w:szCs w:val="18"/>
                <w:b w:val="1"/>
                <w:bCs w:val="1"/>
                <w:color w:val="auto"/>
                <w:w w:val="96"/>
              </w:rPr>
              <w:t>TABLE OF CONTENTS</w:t>
            </w:r>
          </w:p>
        </w:tc>
        <w:tc>
          <w:tcPr>
            <w:tcW w:w="1440" w:type="dxa"/>
            <w:vAlign w:val="bottom"/>
          </w:tcPr>
          <w:p>
            <w:pPr>
              <w:spacing w:after="0"/>
              <w:rPr>
                <w:sz w:val="19"/>
                <w:szCs w:val="19"/>
                <w:color w:val="auto"/>
              </w:rPr>
            </w:pPr>
          </w:p>
        </w:tc>
      </w:tr>
      <w:tr>
        <w:trPr>
          <w:trHeight w:val="222"/>
        </w:trPr>
        <w:tc>
          <w:tcPr>
            <w:tcW w:w="1320" w:type="dxa"/>
            <w:vAlign w:val="bottom"/>
          </w:tcPr>
          <w:p>
            <w:pPr>
              <w:spacing w:after="0"/>
              <w:rPr>
                <w:sz w:val="19"/>
                <w:szCs w:val="19"/>
                <w:color w:val="auto"/>
              </w:rPr>
            </w:pPr>
          </w:p>
        </w:tc>
        <w:tc>
          <w:tcPr>
            <w:tcW w:w="8560" w:type="dxa"/>
            <w:vAlign w:val="bottom"/>
          </w:tcPr>
          <w:p>
            <w:pPr>
              <w:jc w:val="center"/>
              <w:ind w:left="132"/>
              <w:spacing w:after="0"/>
              <w:rPr>
                <w:sz w:val="20"/>
                <w:szCs w:val="20"/>
                <w:color w:val="auto"/>
              </w:rPr>
            </w:pPr>
            <w:r>
              <w:rPr>
                <w:rFonts w:ascii="Arial" w:cs="Arial" w:eastAsia="Arial" w:hAnsi="Arial"/>
                <w:sz w:val="18"/>
                <w:szCs w:val="18"/>
                <w:color w:val="auto"/>
                <w:w w:val="91"/>
              </w:rPr>
              <w:t>(continued)</w:t>
            </w:r>
          </w:p>
        </w:tc>
        <w:tc>
          <w:tcPr>
            <w:tcW w:w="1440" w:type="dxa"/>
            <w:vAlign w:val="bottom"/>
          </w:tcPr>
          <w:p>
            <w:pPr>
              <w:spacing w:after="0"/>
              <w:rPr>
                <w:sz w:val="19"/>
                <w:szCs w:val="19"/>
                <w:color w:val="auto"/>
              </w:rPr>
            </w:pPr>
          </w:p>
        </w:tc>
      </w:tr>
      <w:tr>
        <w:trPr>
          <w:trHeight w:val="366"/>
        </w:trPr>
        <w:tc>
          <w:tcPr>
            <w:tcW w:w="13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1320" w:type="dxa"/>
            <w:vAlign w:val="bottom"/>
          </w:tcPr>
          <w:p>
            <w:pPr>
              <w:spacing w:after="0"/>
              <w:rPr>
                <w:sz w:val="24"/>
                <w:szCs w:val="24"/>
                <w:color w:val="auto"/>
              </w:rPr>
            </w:pPr>
          </w:p>
        </w:tc>
        <w:tc>
          <w:tcPr>
            <w:tcW w:w="8560" w:type="dxa"/>
            <w:vAlign w:val="bottom"/>
          </w:tcPr>
          <w:p>
            <w:pPr>
              <w:jc w:val="center"/>
              <w:ind w:left="52"/>
              <w:spacing w:after="0"/>
              <w:rPr>
                <w:sz w:val="20"/>
                <w:szCs w:val="20"/>
                <w:color w:val="auto"/>
              </w:rPr>
            </w:pPr>
            <w:r>
              <w:rPr>
                <w:rFonts w:ascii="Arial" w:cs="Arial" w:eastAsia="Arial" w:hAnsi="Arial"/>
                <w:sz w:val="18"/>
                <w:szCs w:val="18"/>
                <w:color w:val="auto"/>
                <w:w w:val="95"/>
              </w:rPr>
              <w:t>ARTICLE ELEVEN</w:t>
            </w:r>
          </w:p>
        </w:tc>
        <w:tc>
          <w:tcPr>
            <w:tcW w:w="1440" w:type="dxa"/>
            <w:vAlign w:val="bottom"/>
          </w:tcPr>
          <w:p>
            <w:pPr>
              <w:spacing w:after="0"/>
              <w:rPr>
                <w:sz w:val="24"/>
                <w:szCs w:val="24"/>
                <w:color w:val="auto"/>
              </w:rPr>
            </w:pPr>
          </w:p>
        </w:tc>
      </w:tr>
      <w:tr>
        <w:trPr>
          <w:trHeight w:val="230"/>
        </w:trPr>
        <w:tc>
          <w:tcPr>
            <w:tcW w:w="1320" w:type="dxa"/>
            <w:vAlign w:val="bottom"/>
          </w:tcPr>
          <w:p>
            <w:pPr>
              <w:spacing w:after="0"/>
              <w:rPr>
                <w:sz w:val="19"/>
                <w:szCs w:val="19"/>
                <w:color w:val="auto"/>
              </w:rPr>
            </w:pPr>
          </w:p>
        </w:tc>
        <w:tc>
          <w:tcPr>
            <w:tcW w:w="8560" w:type="dxa"/>
            <w:vAlign w:val="bottom"/>
          </w:tcPr>
          <w:p>
            <w:pPr>
              <w:jc w:val="center"/>
              <w:ind w:left="32"/>
              <w:spacing w:after="0"/>
              <w:rPr>
                <w:sz w:val="20"/>
                <w:szCs w:val="20"/>
                <w:color w:val="auto"/>
              </w:rPr>
            </w:pPr>
            <w:r>
              <w:rPr>
                <w:rFonts w:ascii="Arial" w:cs="Arial" w:eastAsia="Arial" w:hAnsi="Arial"/>
                <w:sz w:val="18"/>
                <w:szCs w:val="18"/>
                <w:color w:val="auto"/>
                <w:w w:val="92"/>
              </w:rPr>
              <w:t>REDEMPTION OF SECURITIES</w:t>
            </w:r>
          </w:p>
        </w:tc>
        <w:tc>
          <w:tcPr>
            <w:tcW w:w="1440" w:type="dxa"/>
            <w:vAlign w:val="bottom"/>
          </w:tcPr>
          <w:p>
            <w:pPr>
              <w:spacing w:after="0"/>
              <w:rPr>
                <w:sz w:val="19"/>
                <w:szCs w:val="19"/>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Section 1101.</w:t>
            </w:r>
          </w:p>
        </w:tc>
        <w:tc>
          <w:tcPr>
            <w:tcW w:w="8560" w:type="dxa"/>
            <w:vAlign w:val="bottom"/>
          </w:tcPr>
          <w:p>
            <w:pPr>
              <w:ind w:left="340"/>
              <w:spacing w:after="0"/>
              <w:rPr>
                <w:sz w:val="20"/>
                <w:szCs w:val="20"/>
                <w:color w:val="auto"/>
              </w:rPr>
            </w:pPr>
            <w:r>
              <w:rPr>
                <w:rFonts w:ascii="Arial" w:cs="Arial" w:eastAsia="Arial" w:hAnsi="Arial"/>
                <w:sz w:val="18"/>
                <w:szCs w:val="18"/>
                <w:color w:val="auto"/>
              </w:rPr>
              <w:t>Applicability of Article</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1102.</w:t>
            </w:r>
          </w:p>
        </w:tc>
        <w:tc>
          <w:tcPr>
            <w:tcW w:w="8560" w:type="dxa"/>
            <w:vAlign w:val="bottom"/>
          </w:tcPr>
          <w:p>
            <w:pPr>
              <w:ind w:left="340"/>
              <w:spacing w:after="0"/>
              <w:rPr>
                <w:sz w:val="20"/>
                <w:szCs w:val="20"/>
                <w:color w:val="auto"/>
              </w:rPr>
            </w:pPr>
            <w:r>
              <w:rPr>
                <w:rFonts w:ascii="Arial" w:cs="Arial" w:eastAsia="Arial" w:hAnsi="Arial"/>
                <w:sz w:val="18"/>
                <w:szCs w:val="18"/>
                <w:color w:val="auto"/>
              </w:rPr>
              <w:t>Election to Redeem; Notice to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1103.</w:t>
            </w:r>
          </w:p>
        </w:tc>
        <w:tc>
          <w:tcPr>
            <w:tcW w:w="8560" w:type="dxa"/>
            <w:vAlign w:val="bottom"/>
          </w:tcPr>
          <w:p>
            <w:pPr>
              <w:ind w:left="340"/>
              <w:spacing w:after="0"/>
              <w:rPr>
                <w:sz w:val="20"/>
                <w:szCs w:val="20"/>
                <w:color w:val="auto"/>
              </w:rPr>
            </w:pPr>
            <w:r>
              <w:rPr>
                <w:rFonts w:ascii="Arial" w:cs="Arial" w:eastAsia="Arial" w:hAnsi="Arial"/>
                <w:sz w:val="18"/>
                <w:szCs w:val="18"/>
                <w:color w:val="auto"/>
              </w:rPr>
              <w:t>Selection by Trustee of Securities to Be Redeemed</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1104.</w:t>
            </w:r>
          </w:p>
        </w:tc>
        <w:tc>
          <w:tcPr>
            <w:tcW w:w="8560" w:type="dxa"/>
            <w:vAlign w:val="bottom"/>
          </w:tcPr>
          <w:p>
            <w:pPr>
              <w:ind w:left="340"/>
              <w:spacing w:after="0"/>
              <w:rPr>
                <w:sz w:val="20"/>
                <w:szCs w:val="20"/>
                <w:color w:val="auto"/>
              </w:rPr>
            </w:pPr>
            <w:r>
              <w:rPr>
                <w:rFonts w:ascii="Arial" w:cs="Arial" w:eastAsia="Arial" w:hAnsi="Arial"/>
                <w:sz w:val="18"/>
                <w:szCs w:val="18"/>
                <w:color w:val="auto"/>
              </w:rPr>
              <w:t>Notice of Redemption</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1105.</w:t>
            </w:r>
          </w:p>
        </w:tc>
        <w:tc>
          <w:tcPr>
            <w:tcW w:w="8560" w:type="dxa"/>
            <w:vAlign w:val="bottom"/>
          </w:tcPr>
          <w:p>
            <w:pPr>
              <w:ind w:left="340"/>
              <w:spacing w:after="0"/>
              <w:rPr>
                <w:sz w:val="20"/>
                <w:szCs w:val="20"/>
                <w:color w:val="auto"/>
              </w:rPr>
            </w:pPr>
            <w:r>
              <w:rPr>
                <w:rFonts w:ascii="Arial" w:cs="Arial" w:eastAsia="Arial" w:hAnsi="Arial"/>
                <w:sz w:val="18"/>
                <w:szCs w:val="18"/>
                <w:color w:val="auto"/>
              </w:rPr>
              <w:t>Deposit of Redemption Price</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1106.</w:t>
            </w:r>
          </w:p>
        </w:tc>
        <w:tc>
          <w:tcPr>
            <w:tcW w:w="8560" w:type="dxa"/>
            <w:vAlign w:val="bottom"/>
          </w:tcPr>
          <w:p>
            <w:pPr>
              <w:ind w:left="340"/>
              <w:spacing w:after="0"/>
              <w:rPr>
                <w:sz w:val="20"/>
                <w:szCs w:val="20"/>
                <w:color w:val="auto"/>
              </w:rPr>
            </w:pPr>
            <w:r>
              <w:rPr>
                <w:rFonts w:ascii="Arial" w:cs="Arial" w:eastAsia="Arial" w:hAnsi="Arial"/>
                <w:sz w:val="18"/>
                <w:szCs w:val="18"/>
                <w:color w:val="auto"/>
              </w:rPr>
              <w:t>Securities Payable on Redemption Date</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1107.</w:t>
            </w:r>
          </w:p>
        </w:tc>
        <w:tc>
          <w:tcPr>
            <w:tcW w:w="8560" w:type="dxa"/>
            <w:vAlign w:val="bottom"/>
          </w:tcPr>
          <w:p>
            <w:pPr>
              <w:ind w:left="340"/>
              <w:spacing w:after="0"/>
              <w:rPr>
                <w:sz w:val="20"/>
                <w:szCs w:val="20"/>
                <w:color w:val="auto"/>
              </w:rPr>
            </w:pPr>
            <w:r>
              <w:rPr>
                <w:rFonts w:ascii="Arial" w:cs="Arial" w:eastAsia="Arial" w:hAnsi="Arial"/>
                <w:sz w:val="18"/>
                <w:szCs w:val="18"/>
                <w:color w:val="auto"/>
              </w:rPr>
              <w:t>Securities Redeemed in Part</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1320" w:type="dxa"/>
            <w:vAlign w:val="bottom"/>
          </w:tcPr>
          <w:p>
            <w:pPr>
              <w:spacing w:after="0"/>
              <w:rPr>
                <w:sz w:val="24"/>
                <w:szCs w:val="24"/>
                <w:color w:val="auto"/>
              </w:rPr>
            </w:pPr>
          </w:p>
        </w:tc>
        <w:tc>
          <w:tcPr>
            <w:tcW w:w="8560" w:type="dxa"/>
            <w:vAlign w:val="bottom"/>
          </w:tcPr>
          <w:p>
            <w:pPr>
              <w:jc w:val="center"/>
              <w:ind w:left="32"/>
              <w:spacing w:after="0"/>
              <w:rPr>
                <w:sz w:val="20"/>
                <w:szCs w:val="20"/>
                <w:color w:val="auto"/>
              </w:rPr>
            </w:pPr>
            <w:r>
              <w:rPr>
                <w:rFonts w:ascii="Arial" w:cs="Arial" w:eastAsia="Arial" w:hAnsi="Arial"/>
                <w:sz w:val="18"/>
                <w:szCs w:val="18"/>
                <w:color w:val="auto"/>
                <w:w w:val="95"/>
              </w:rPr>
              <w:t>ARTICLE TWELVE</w:t>
            </w:r>
          </w:p>
        </w:tc>
        <w:tc>
          <w:tcPr>
            <w:tcW w:w="1440" w:type="dxa"/>
            <w:vAlign w:val="bottom"/>
          </w:tcPr>
          <w:p>
            <w:pPr>
              <w:spacing w:after="0"/>
              <w:rPr>
                <w:sz w:val="24"/>
                <w:szCs w:val="24"/>
                <w:color w:val="auto"/>
              </w:rPr>
            </w:pPr>
          </w:p>
        </w:tc>
      </w:tr>
      <w:tr>
        <w:trPr>
          <w:trHeight w:val="230"/>
        </w:trPr>
        <w:tc>
          <w:tcPr>
            <w:tcW w:w="1320" w:type="dxa"/>
            <w:vAlign w:val="bottom"/>
          </w:tcPr>
          <w:p>
            <w:pPr>
              <w:spacing w:after="0"/>
              <w:rPr>
                <w:sz w:val="19"/>
                <w:szCs w:val="19"/>
                <w:color w:val="auto"/>
              </w:rPr>
            </w:pPr>
          </w:p>
        </w:tc>
        <w:tc>
          <w:tcPr>
            <w:tcW w:w="8560" w:type="dxa"/>
            <w:vAlign w:val="bottom"/>
          </w:tcPr>
          <w:p>
            <w:pPr>
              <w:jc w:val="center"/>
              <w:ind w:left="52"/>
              <w:spacing w:after="0"/>
              <w:rPr>
                <w:sz w:val="20"/>
                <w:szCs w:val="20"/>
                <w:color w:val="auto"/>
              </w:rPr>
            </w:pPr>
            <w:r>
              <w:rPr>
                <w:rFonts w:ascii="Arial" w:cs="Arial" w:eastAsia="Arial" w:hAnsi="Arial"/>
                <w:sz w:val="18"/>
                <w:szCs w:val="18"/>
                <w:color w:val="auto"/>
                <w:w w:val="94"/>
              </w:rPr>
              <w:t>SINKING FUNDS</w:t>
            </w:r>
          </w:p>
        </w:tc>
        <w:tc>
          <w:tcPr>
            <w:tcW w:w="1440" w:type="dxa"/>
            <w:vAlign w:val="bottom"/>
          </w:tcPr>
          <w:p>
            <w:pPr>
              <w:spacing w:after="0"/>
              <w:rPr>
                <w:sz w:val="19"/>
                <w:szCs w:val="19"/>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Section 1201.</w:t>
            </w:r>
          </w:p>
        </w:tc>
        <w:tc>
          <w:tcPr>
            <w:tcW w:w="8560" w:type="dxa"/>
            <w:vAlign w:val="bottom"/>
          </w:tcPr>
          <w:p>
            <w:pPr>
              <w:ind w:left="340"/>
              <w:spacing w:after="0"/>
              <w:rPr>
                <w:sz w:val="20"/>
                <w:szCs w:val="20"/>
                <w:color w:val="auto"/>
              </w:rPr>
            </w:pPr>
            <w:r>
              <w:rPr>
                <w:rFonts w:ascii="Arial" w:cs="Arial" w:eastAsia="Arial" w:hAnsi="Arial"/>
                <w:sz w:val="18"/>
                <w:szCs w:val="18"/>
                <w:color w:val="auto"/>
              </w:rPr>
              <w:t>Applicability of Article</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1202.</w:t>
            </w:r>
          </w:p>
        </w:tc>
        <w:tc>
          <w:tcPr>
            <w:tcW w:w="8560" w:type="dxa"/>
            <w:vAlign w:val="bottom"/>
          </w:tcPr>
          <w:p>
            <w:pPr>
              <w:ind w:left="340"/>
              <w:spacing w:after="0"/>
              <w:rPr>
                <w:sz w:val="20"/>
                <w:szCs w:val="20"/>
                <w:color w:val="auto"/>
              </w:rPr>
            </w:pPr>
            <w:r>
              <w:rPr>
                <w:rFonts w:ascii="Arial" w:cs="Arial" w:eastAsia="Arial" w:hAnsi="Arial"/>
                <w:sz w:val="18"/>
                <w:szCs w:val="18"/>
                <w:color w:val="auto"/>
              </w:rPr>
              <w:t>Satisfaction of Sinking Fund Payments with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1203.</w:t>
            </w:r>
          </w:p>
        </w:tc>
        <w:tc>
          <w:tcPr>
            <w:tcW w:w="8560" w:type="dxa"/>
            <w:vAlign w:val="bottom"/>
          </w:tcPr>
          <w:p>
            <w:pPr>
              <w:ind w:left="340"/>
              <w:spacing w:after="0"/>
              <w:rPr>
                <w:sz w:val="20"/>
                <w:szCs w:val="20"/>
                <w:color w:val="auto"/>
              </w:rPr>
            </w:pPr>
            <w:r>
              <w:rPr>
                <w:rFonts w:ascii="Arial" w:cs="Arial" w:eastAsia="Arial" w:hAnsi="Arial"/>
                <w:sz w:val="18"/>
                <w:szCs w:val="18"/>
                <w:color w:val="auto"/>
              </w:rPr>
              <w:t>Redemption of Securities for Sinking Fund</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320" w:type="dxa"/>
            <w:vAlign w:val="bottom"/>
          </w:tcPr>
          <w:p>
            <w:pPr>
              <w:spacing w:after="0"/>
              <w:rPr>
                <w:sz w:val="24"/>
                <w:szCs w:val="24"/>
                <w:color w:val="auto"/>
              </w:rPr>
            </w:pPr>
          </w:p>
        </w:tc>
        <w:tc>
          <w:tcPr>
            <w:tcW w:w="8560" w:type="dxa"/>
            <w:vAlign w:val="bottom"/>
          </w:tcPr>
          <w:p>
            <w:pPr>
              <w:jc w:val="center"/>
              <w:ind w:left="52"/>
              <w:spacing w:after="0"/>
              <w:rPr>
                <w:sz w:val="20"/>
                <w:szCs w:val="20"/>
                <w:color w:val="auto"/>
              </w:rPr>
            </w:pPr>
            <w:r>
              <w:rPr>
                <w:rFonts w:ascii="Arial" w:cs="Arial" w:eastAsia="Arial" w:hAnsi="Arial"/>
                <w:sz w:val="18"/>
                <w:szCs w:val="18"/>
                <w:color w:val="auto"/>
                <w:w w:val="94"/>
              </w:rPr>
              <w:t>ARTICLE THIRTEEN</w:t>
            </w:r>
          </w:p>
        </w:tc>
        <w:tc>
          <w:tcPr>
            <w:tcW w:w="1440" w:type="dxa"/>
            <w:vAlign w:val="bottom"/>
          </w:tcPr>
          <w:p>
            <w:pPr>
              <w:spacing w:after="0"/>
              <w:rPr>
                <w:sz w:val="24"/>
                <w:szCs w:val="24"/>
                <w:color w:val="auto"/>
              </w:rPr>
            </w:pPr>
          </w:p>
        </w:tc>
      </w:tr>
      <w:tr>
        <w:trPr>
          <w:trHeight w:val="230"/>
        </w:trPr>
        <w:tc>
          <w:tcPr>
            <w:tcW w:w="1320" w:type="dxa"/>
            <w:vAlign w:val="bottom"/>
          </w:tcPr>
          <w:p>
            <w:pPr>
              <w:spacing w:after="0"/>
              <w:rPr>
                <w:sz w:val="19"/>
                <w:szCs w:val="19"/>
                <w:color w:val="auto"/>
              </w:rPr>
            </w:pPr>
          </w:p>
        </w:tc>
        <w:tc>
          <w:tcPr>
            <w:tcW w:w="8560" w:type="dxa"/>
            <w:vAlign w:val="bottom"/>
          </w:tcPr>
          <w:p>
            <w:pPr>
              <w:jc w:val="center"/>
              <w:ind w:left="52"/>
              <w:spacing w:after="0"/>
              <w:rPr>
                <w:sz w:val="20"/>
                <w:szCs w:val="20"/>
                <w:color w:val="auto"/>
              </w:rPr>
            </w:pPr>
            <w:r>
              <w:rPr>
                <w:rFonts w:ascii="Arial" w:cs="Arial" w:eastAsia="Arial" w:hAnsi="Arial"/>
                <w:sz w:val="18"/>
                <w:szCs w:val="18"/>
                <w:color w:val="auto"/>
                <w:w w:val="92"/>
              </w:rPr>
              <w:t>REPAYMENT AT THE OPTION OF HOLDERS</w:t>
            </w:r>
          </w:p>
        </w:tc>
        <w:tc>
          <w:tcPr>
            <w:tcW w:w="1440" w:type="dxa"/>
            <w:vAlign w:val="bottom"/>
          </w:tcPr>
          <w:p>
            <w:pPr>
              <w:spacing w:after="0"/>
              <w:rPr>
                <w:sz w:val="19"/>
                <w:szCs w:val="19"/>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Section 1301.</w:t>
            </w:r>
          </w:p>
        </w:tc>
        <w:tc>
          <w:tcPr>
            <w:tcW w:w="8560" w:type="dxa"/>
            <w:vAlign w:val="bottom"/>
          </w:tcPr>
          <w:p>
            <w:pPr>
              <w:ind w:left="340"/>
              <w:spacing w:after="0"/>
              <w:rPr>
                <w:sz w:val="20"/>
                <w:szCs w:val="20"/>
                <w:color w:val="auto"/>
              </w:rPr>
            </w:pPr>
            <w:r>
              <w:rPr>
                <w:rFonts w:ascii="Arial" w:cs="Arial" w:eastAsia="Arial" w:hAnsi="Arial"/>
                <w:sz w:val="18"/>
                <w:szCs w:val="18"/>
                <w:color w:val="auto"/>
              </w:rPr>
              <w:t>Applicability of Article</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1302.</w:t>
            </w:r>
          </w:p>
        </w:tc>
        <w:tc>
          <w:tcPr>
            <w:tcW w:w="8560" w:type="dxa"/>
            <w:vAlign w:val="bottom"/>
          </w:tcPr>
          <w:p>
            <w:pPr>
              <w:ind w:left="340"/>
              <w:spacing w:after="0"/>
              <w:rPr>
                <w:sz w:val="20"/>
                <w:szCs w:val="20"/>
                <w:color w:val="auto"/>
              </w:rPr>
            </w:pPr>
            <w:r>
              <w:rPr>
                <w:rFonts w:ascii="Arial" w:cs="Arial" w:eastAsia="Arial" w:hAnsi="Arial"/>
                <w:sz w:val="18"/>
                <w:szCs w:val="18"/>
                <w:color w:val="auto"/>
              </w:rPr>
              <w:t>Repayment of Securities</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1303.</w:t>
            </w:r>
          </w:p>
        </w:tc>
        <w:tc>
          <w:tcPr>
            <w:tcW w:w="8560" w:type="dxa"/>
            <w:vAlign w:val="bottom"/>
          </w:tcPr>
          <w:p>
            <w:pPr>
              <w:ind w:left="340"/>
              <w:spacing w:after="0"/>
              <w:rPr>
                <w:sz w:val="20"/>
                <w:szCs w:val="20"/>
                <w:color w:val="auto"/>
              </w:rPr>
            </w:pPr>
            <w:r>
              <w:rPr>
                <w:rFonts w:ascii="Arial" w:cs="Arial" w:eastAsia="Arial" w:hAnsi="Arial"/>
                <w:sz w:val="18"/>
                <w:szCs w:val="18"/>
                <w:color w:val="auto"/>
              </w:rPr>
              <w:t>Exercise of Option</w:t>
            </w: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1304.</w:t>
            </w:r>
          </w:p>
        </w:tc>
        <w:tc>
          <w:tcPr>
            <w:tcW w:w="8560" w:type="dxa"/>
            <w:vAlign w:val="bottom"/>
          </w:tcPr>
          <w:p>
            <w:pPr>
              <w:ind w:left="340"/>
              <w:spacing w:after="0"/>
              <w:rPr>
                <w:sz w:val="20"/>
                <w:szCs w:val="20"/>
                <w:color w:val="auto"/>
              </w:rPr>
            </w:pPr>
            <w:r>
              <w:rPr>
                <w:rFonts w:ascii="Arial" w:cs="Arial" w:eastAsia="Arial" w:hAnsi="Arial"/>
                <w:sz w:val="18"/>
                <w:szCs w:val="18"/>
                <w:color w:val="auto"/>
              </w:rPr>
              <w:t>When Securities Presented for Repayment Become Due and Payable</w:t>
            </w: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1305.</w:t>
            </w:r>
          </w:p>
        </w:tc>
        <w:tc>
          <w:tcPr>
            <w:tcW w:w="8560" w:type="dxa"/>
            <w:vAlign w:val="bottom"/>
          </w:tcPr>
          <w:p>
            <w:pPr>
              <w:ind w:left="340"/>
              <w:spacing w:after="0"/>
              <w:rPr>
                <w:sz w:val="20"/>
                <w:szCs w:val="20"/>
                <w:color w:val="auto"/>
              </w:rPr>
            </w:pPr>
            <w:r>
              <w:rPr>
                <w:rFonts w:ascii="Arial" w:cs="Arial" w:eastAsia="Arial" w:hAnsi="Arial"/>
                <w:sz w:val="18"/>
                <w:szCs w:val="18"/>
                <w:color w:val="auto"/>
              </w:rPr>
              <w:t>Securities Repaid in Part</w:t>
            </w: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1320" w:type="dxa"/>
            <w:vAlign w:val="bottom"/>
          </w:tcPr>
          <w:p>
            <w:pPr>
              <w:spacing w:after="0"/>
              <w:rPr>
                <w:sz w:val="24"/>
                <w:szCs w:val="24"/>
                <w:color w:val="auto"/>
              </w:rPr>
            </w:pPr>
          </w:p>
        </w:tc>
        <w:tc>
          <w:tcPr>
            <w:tcW w:w="8560" w:type="dxa"/>
            <w:vAlign w:val="bottom"/>
          </w:tcPr>
          <w:p>
            <w:pPr>
              <w:jc w:val="center"/>
              <w:ind w:left="32"/>
              <w:spacing w:after="0"/>
              <w:rPr>
                <w:sz w:val="20"/>
                <w:szCs w:val="20"/>
                <w:color w:val="auto"/>
              </w:rPr>
            </w:pPr>
            <w:r>
              <w:rPr>
                <w:rFonts w:ascii="Arial" w:cs="Arial" w:eastAsia="Arial" w:hAnsi="Arial"/>
                <w:sz w:val="18"/>
                <w:szCs w:val="18"/>
                <w:color w:val="auto"/>
                <w:w w:val="93"/>
              </w:rPr>
              <w:t>ARTICLE FOURTEEN</w:t>
            </w:r>
          </w:p>
        </w:tc>
        <w:tc>
          <w:tcPr>
            <w:tcW w:w="1440" w:type="dxa"/>
            <w:vAlign w:val="bottom"/>
          </w:tcPr>
          <w:p>
            <w:pPr>
              <w:spacing w:after="0"/>
              <w:rPr>
                <w:sz w:val="24"/>
                <w:szCs w:val="24"/>
                <w:color w:val="auto"/>
              </w:rPr>
            </w:pPr>
          </w:p>
        </w:tc>
      </w:tr>
      <w:tr>
        <w:trPr>
          <w:trHeight w:val="230"/>
        </w:trPr>
        <w:tc>
          <w:tcPr>
            <w:tcW w:w="1320" w:type="dxa"/>
            <w:vAlign w:val="bottom"/>
          </w:tcPr>
          <w:p>
            <w:pPr>
              <w:spacing w:after="0"/>
              <w:rPr>
                <w:sz w:val="19"/>
                <w:szCs w:val="19"/>
                <w:color w:val="auto"/>
              </w:rPr>
            </w:pPr>
          </w:p>
        </w:tc>
        <w:tc>
          <w:tcPr>
            <w:tcW w:w="8560" w:type="dxa"/>
            <w:vAlign w:val="bottom"/>
          </w:tcPr>
          <w:p>
            <w:pPr>
              <w:jc w:val="center"/>
              <w:ind w:left="32"/>
              <w:spacing w:after="0"/>
              <w:rPr>
                <w:sz w:val="20"/>
                <w:szCs w:val="20"/>
                <w:color w:val="auto"/>
              </w:rPr>
            </w:pPr>
            <w:r>
              <w:rPr>
                <w:rFonts w:ascii="Arial" w:cs="Arial" w:eastAsia="Arial" w:hAnsi="Arial"/>
                <w:sz w:val="18"/>
                <w:szCs w:val="18"/>
                <w:color w:val="auto"/>
                <w:w w:val="94"/>
              </w:rPr>
              <w:t>DEFEASANCE AND COVENANT DEFEASANCE</w:t>
            </w:r>
          </w:p>
        </w:tc>
        <w:tc>
          <w:tcPr>
            <w:tcW w:w="1440" w:type="dxa"/>
            <w:vAlign w:val="bottom"/>
          </w:tcPr>
          <w:p>
            <w:pPr>
              <w:spacing w:after="0"/>
              <w:rPr>
                <w:sz w:val="19"/>
                <w:szCs w:val="19"/>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Section 1401.</w:t>
            </w:r>
          </w:p>
        </w:tc>
        <w:tc>
          <w:tcPr>
            <w:tcW w:w="8560" w:type="dxa"/>
            <w:vAlign w:val="bottom"/>
          </w:tcPr>
          <w:p>
            <w:pPr>
              <w:ind w:left="34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1402.</w:t>
            </w:r>
          </w:p>
        </w:tc>
        <w:tc>
          <w:tcPr>
            <w:tcW w:w="8560" w:type="dxa"/>
            <w:vAlign w:val="bottom"/>
          </w:tcPr>
          <w:p>
            <w:pPr>
              <w:ind w:left="340"/>
              <w:spacing w:after="0"/>
              <w:rPr>
                <w:sz w:val="20"/>
                <w:szCs w:val="20"/>
                <w:color w:val="auto"/>
              </w:rPr>
            </w:pPr>
            <w:r>
              <w:rPr>
                <w:rFonts w:ascii="Arial" w:cs="Arial" w:eastAsia="Arial" w:hAnsi="Arial"/>
                <w:sz w:val="18"/>
                <w:szCs w:val="18"/>
                <w:color w:val="auto"/>
              </w:rPr>
              <w:t>Defeasance and Discharge</w:t>
            </w: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1403.</w:t>
            </w:r>
          </w:p>
        </w:tc>
        <w:tc>
          <w:tcPr>
            <w:tcW w:w="8560" w:type="dxa"/>
            <w:vAlign w:val="bottom"/>
          </w:tcPr>
          <w:p>
            <w:pPr>
              <w:ind w:left="340"/>
              <w:spacing w:after="0"/>
              <w:rPr>
                <w:sz w:val="20"/>
                <w:szCs w:val="20"/>
                <w:color w:val="auto"/>
              </w:rPr>
            </w:pPr>
            <w:r>
              <w:rPr>
                <w:rFonts w:ascii="Arial" w:cs="Arial" w:eastAsia="Arial" w:hAnsi="Arial"/>
                <w:sz w:val="18"/>
                <w:szCs w:val="18"/>
                <w:color w:val="auto"/>
              </w:rPr>
              <w:t>Covenant Defeasance</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1404.</w:t>
            </w:r>
          </w:p>
        </w:tc>
        <w:tc>
          <w:tcPr>
            <w:tcW w:w="8560" w:type="dxa"/>
            <w:vAlign w:val="bottom"/>
          </w:tcPr>
          <w:p>
            <w:pPr>
              <w:ind w:left="340"/>
              <w:spacing w:after="0"/>
              <w:rPr>
                <w:sz w:val="20"/>
                <w:szCs w:val="20"/>
                <w:color w:val="auto"/>
              </w:rPr>
            </w:pPr>
            <w:r>
              <w:rPr>
                <w:rFonts w:ascii="Arial" w:cs="Arial" w:eastAsia="Arial" w:hAnsi="Arial"/>
                <w:sz w:val="18"/>
                <w:szCs w:val="18"/>
                <w:color w:val="auto"/>
              </w:rPr>
              <w:t>Conditions to Defeasance or Covenant Defeasance</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1405.</w:t>
            </w:r>
          </w:p>
        </w:tc>
        <w:tc>
          <w:tcPr>
            <w:tcW w:w="8560" w:type="dxa"/>
            <w:vAlign w:val="bottom"/>
          </w:tcPr>
          <w:p>
            <w:pPr>
              <w:ind w:left="34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1320" w:type="dxa"/>
            <w:vAlign w:val="bottom"/>
          </w:tcPr>
          <w:p>
            <w:pPr>
              <w:spacing w:after="0"/>
              <w:rPr>
                <w:sz w:val="24"/>
                <w:szCs w:val="24"/>
                <w:color w:val="auto"/>
              </w:rPr>
            </w:pPr>
          </w:p>
        </w:tc>
        <w:tc>
          <w:tcPr>
            <w:tcW w:w="8560" w:type="dxa"/>
            <w:vAlign w:val="bottom"/>
          </w:tcPr>
          <w:p>
            <w:pPr>
              <w:jc w:val="center"/>
              <w:ind w:left="32"/>
              <w:spacing w:after="0"/>
              <w:rPr>
                <w:sz w:val="20"/>
                <w:szCs w:val="20"/>
                <w:color w:val="auto"/>
              </w:rPr>
            </w:pPr>
            <w:r>
              <w:rPr>
                <w:rFonts w:ascii="Arial" w:cs="Arial" w:eastAsia="Arial" w:hAnsi="Arial"/>
                <w:sz w:val="18"/>
                <w:szCs w:val="18"/>
                <w:color w:val="auto"/>
                <w:w w:val="94"/>
              </w:rPr>
              <w:t>ARTICLE FIFTEEN</w:t>
            </w:r>
          </w:p>
        </w:tc>
        <w:tc>
          <w:tcPr>
            <w:tcW w:w="1440" w:type="dxa"/>
            <w:vAlign w:val="bottom"/>
          </w:tcPr>
          <w:p>
            <w:pPr>
              <w:spacing w:after="0"/>
              <w:rPr>
                <w:sz w:val="24"/>
                <w:szCs w:val="24"/>
                <w:color w:val="auto"/>
              </w:rPr>
            </w:pPr>
          </w:p>
        </w:tc>
      </w:tr>
      <w:tr>
        <w:trPr>
          <w:trHeight w:val="230"/>
        </w:trPr>
        <w:tc>
          <w:tcPr>
            <w:tcW w:w="1320" w:type="dxa"/>
            <w:vAlign w:val="bottom"/>
          </w:tcPr>
          <w:p>
            <w:pPr>
              <w:spacing w:after="0"/>
              <w:rPr>
                <w:sz w:val="19"/>
                <w:szCs w:val="19"/>
                <w:color w:val="auto"/>
              </w:rPr>
            </w:pPr>
          </w:p>
        </w:tc>
        <w:tc>
          <w:tcPr>
            <w:tcW w:w="8560" w:type="dxa"/>
            <w:vAlign w:val="bottom"/>
          </w:tcPr>
          <w:p>
            <w:pPr>
              <w:jc w:val="center"/>
              <w:ind w:left="32"/>
              <w:spacing w:after="0"/>
              <w:rPr>
                <w:sz w:val="20"/>
                <w:szCs w:val="20"/>
                <w:color w:val="auto"/>
              </w:rPr>
            </w:pPr>
            <w:r>
              <w:rPr>
                <w:rFonts w:ascii="Arial" w:cs="Arial" w:eastAsia="Arial" w:hAnsi="Arial"/>
                <w:sz w:val="18"/>
                <w:szCs w:val="18"/>
                <w:color w:val="auto"/>
                <w:w w:val="92"/>
              </w:rPr>
              <w:t>MEETINGS OF HOLDERS OF SECURITIES</w:t>
            </w:r>
          </w:p>
        </w:tc>
        <w:tc>
          <w:tcPr>
            <w:tcW w:w="1440" w:type="dxa"/>
            <w:vAlign w:val="bottom"/>
          </w:tcPr>
          <w:p>
            <w:pPr>
              <w:spacing w:after="0"/>
              <w:rPr>
                <w:sz w:val="19"/>
                <w:szCs w:val="19"/>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Section 1501.</w:t>
            </w:r>
          </w:p>
        </w:tc>
        <w:tc>
          <w:tcPr>
            <w:tcW w:w="8560" w:type="dxa"/>
            <w:vAlign w:val="bottom"/>
          </w:tcPr>
          <w:p>
            <w:pPr>
              <w:ind w:left="340"/>
              <w:spacing w:after="0"/>
              <w:rPr>
                <w:sz w:val="20"/>
                <w:szCs w:val="20"/>
                <w:color w:val="auto"/>
              </w:rPr>
            </w:pPr>
            <w:r>
              <w:rPr>
                <w:rFonts w:ascii="Arial" w:cs="Arial" w:eastAsia="Arial" w:hAnsi="Arial"/>
                <w:sz w:val="18"/>
                <w:szCs w:val="18"/>
                <w:color w:val="auto"/>
              </w:rPr>
              <w:t>Purposes for Which Meetings May Be Called</w:t>
            </w: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1502.</w:t>
            </w:r>
          </w:p>
        </w:tc>
        <w:tc>
          <w:tcPr>
            <w:tcW w:w="8560" w:type="dxa"/>
            <w:vAlign w:val="bottom"/>
          </w:tcPr>
          <w:p>
            <w:pPr>
              <w:ind w:left="340"/>
              <w:spacing w:after="0"/>
              <w:rPr>
                <w:sz w:val="20"/>
                <w:szCs w:val="20"/>
                <w:color w:val="auto"/>
              </w:rPr>
            </w:pPr>
            <w:r>
              <w:rPr>
                <w:rFonts w:ascii="Arial" w:cs="Arial" w:eastAsia="Arial" w:hAnsi="Arial"/>
                <w:sz w:val="18"/>
                <w:szCs w:val="18"/>
                <w:color w:val="auto"/>
              </w:rPr>
              <w:t>Call, Notice and Place of Meetings</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1503.</w:t>
            </w:r>
          </w:p>
        </w:tc>
        <w:tc>
          <w:tcPr>
            <w:tcW w:w="8560" w:type="dxa"/>
            <w:vAlign w:val="bottom"/>
          </w:tcPr>
          <w:p>
            <w:pPr>
              <w:ind w:left="340"/>
              <w:spacing w:after="0"/>
              <w:rPr>
                <w:sz w:val="20"/>
                <w:szCs w:val="20"/>
                <w:color w:val="auto"/>
              </w:rPr>
            </w:pPr>
            <w:r>
              <w:rPr>
                <w:rFonts w:ascii="Arial" w:cs="Arial" w:eastAsia="Arial" w:hAnsi="Arial"/>
                <w:sz w:val="18"/>
                <w:szCs w:val="18"/>
                <w:color w:val="auto"/>
              </w:rPr>
              <w:t>Persons Entitled to Vote at Meetings</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1504.</w:t>
            </w:r>
          </w:p>
        </w:tc>
        <w:tc>
          <w:tcPr>
            <w:tcW w:w="8560" w:type="dxa"/>
            <w:vAlign w:val="bottom"/>
          </w:tcPr>
          <w:p>
            <w:pPr>
              <w:ind w:left="340"/>
              <w:spacing w:after="0"/>
              <w:rPr>
                <w:sz w:val="20"/>
                <w:szCs w:val="20"/>
                <w:color w:val="auto"/>
              </w:rPr>
            </w:pPr>
            <w:r>
              <w:rPr>
                <w:rFonts w:ascii="Arial" w:cs="Arial" w:eastAsia="Arial" w:hAnsi="Arial"/>
                <w:sz w:val="18"/>
                <w:szCs w:val="18"/>
                <w:color w:val="auto"/>
              </w:rPr>
              <w:t>Quorum; Action</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65"/>
        </w:trPr>
        <w:tc>
          <w:tcPr>
            <w:tcW w:w="1320" w:type="dxa"/>
            <w:vAlign w:val="bottom"/>
          </w:tcPr>
          <w:p>
            <w:pPr>
              <w:spacing w:after="0"/>
              <w:rPr>
                <w:sz w:val="24"/>
                <w:szCs w:val="24"/>
                <w:color w:val="auto"/>
              </w:rPr>
            </w:pPr>
          </w:p>
        </w:tc>
        <w:tc>
          <w:tcPr>
            <w:tcW w:w="8560" w:type="dxa"/>
            <w:vAlign w:val="bottom"/>
          </w:tcPr>
          <w:p>
            <w:pPr>
              <w:jc w:val="center"/>
              <w:ind w:left="132"/>
              <w:spacing w:after="0"/>
              <w:rPr>
                <w:sz w:val="20"/>
                <w:szCs w:val="20"/>
                <w:color w:val="auto"/>
              </w:rPr>
            </w:pPr>
            <w:r>
              <w:rPr>
                <w:rFonts w:ascii="Arial" w:cs="Arial" w:eastAsia="Arial" w:hAnsi="Arial"/>
                <w:sz w:val="18"/>
                <w:szCs w:val="18"/>
                <w:color w:val="auto"/>
              </w:rPr>
              <w:t>-iv-</w:t>
            </w:r>
          </w:p>
        </w:tc>
        <w:tc>
          <w:tcPr>
            <w:tcW w:w="144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460" w:type="dxa"/>
            <w:vAlign w:val="bottom"/>
          </w:tcPr>
          <w:p>
            <w:pPr>
              <w:ind w:left="1180"/>
              <w:spacing w:after="0"/>
              <w:rPr>
                <w:sz w:val="20"/>
                <w:szCs w:val="20"/>
                <w:color w:val="auto"/>
              </w:rPr>
            </w:pPr>
            <w:r>
              <w:rPr>
                <w:rFonts w:ascii="Arial" w:cs="Arial" w:eastAsia="Arial" w:hAnsi="Arial"/>
                <w:sz w:val="14"/>
                <w:szCs w:val="14"/>
                <w:b w:val="1"/>
                <w:bCs w:val="1"/>
                <w:color w:val="auto"/>
                <w:w w:val="77"/>
              </w:rPr>
              <w:t>Page</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Section 1505.</w:t>
            </w:r>
          </w:p>
        </w:tc>
        <w:tc>
          <w:tcPr>
            <w:tcW w:w="8620" w:type="dxa"/>
            <w:vAlign w:val="bottom"/>
          </w:tcPr>
          <w:p>
            <w:pPr>
              <w:ind w:left="3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460" w:type="dxa"/>
            <w:vAlign w:val="bottom"/>
          </w:tcPr>
          <w:p>
            <w:pPr>
              <w:ind w:left="1180"/>
              <w:spacing w:after="0"/>
              <w:rPr>
                <w:sz w:val="20"/>
                <w:szCs w:val="20"/>
                <w:color w:val="auto"/>
              </w:rPr>
            </w:pPr>
            <w:r>
              <w:rPr>
                <w:rFonts w:ascii="Arial" w:cs="Arial" w:eastAsia="Arial" w:hAnsi="Arial"/>
                <w:sz w:val="18"/>
                <w:szCs w:val="18"/>
                <w:color w:val="auto"/>
              </w:rPr>
              <w:t>72</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1506.</w:t>
            </w:r>
          </w:p>
        </w:tc>
        <w:tc>
          <w:tcPr>
            <w:tcW w:w="8620" w:type="dxa"/>
            <w:vAlign w:val="bottom"/>
          </w:tcPr>
          <w:p>
            <w:pPr>
              <w:ind w:left="340"/>
              <w:spacing w:after="0"/>
              <w:rPr>
                <w:sz w:val="20"/>
                <w:szCs w:val="20"/>
                <w:color w:val="auto"/>
              </w:rPr>
            </w:pPr>
            <w:r>
              <w:rPr>
                <w:rFonts w:ascii="Arial" w:cs="Arial" w:eastAsia="Arial" w:hAnsi="Arial"/>
                <w:sz w:val="18"/>
                <w:szCs w:val="18"/>
                <w:color w:val="auto"/>
              </w:rPr>
              <w:t>Counting Votes and Recording Action of Meetings</w:t>
            </w:r>
          </w:p>
        </w:tc>
        <w:tc>
          <w:tcPr>
            <w:tcW w:w="1460" w:type="dxa"/>
            <w:vAlign w:val="bottom"/>
          </w:tcPr>
          <w:p>
            <w:pPr>
              <w:ind w:left="1180"/>
              <w:spacing w:after="0"/>
              <w:rPr>
                <w:sz w:val="20"/>
                <w:szCs w:val="20"/>
                <w:color w:val="auto"/>
              </w:rPr>
            </w:pPr>
            <w:r>
              <w:rPr>
                <w:rFonts w:ascii="Arial" w:cs="Arial" w:eastAsia="Arial" w:hAnsi="Arial"/>
                <w:sz w:val="18"/>
                <w:szCs w:val="18"/>
                <w:color w:val="auto"/>
              </w:rPr>
              <w:t>73</w:t>
            </w:r>
          </w:p>
        </w:tc>
      </w:tr>
      <w:tr>
        <w:trPr>
          <w:trHeight w:val="426"/>
        </w:trPr>
        <w:tc>
          <w:tcPr>
            <w:tcW w:w="1340" w:type="dxa"/>
            <w:vAlign w:val="bottom"/>
          </w:tcPr>
          <w:p>
            <w:pPr>
              <w:spacing w:after="0"/>
              <w:rPr>
                <w:sz w:val="24"/>
                <w:szCs w:val="24"/>
                <w:color w:val="auto"/>
              </w:rPr>
            </w:pPr>
          </w:p>
        </w:tc>
        <w:tc>
          <w:tcPr>
            <w:tcW w:w="8620" w:type="dxa"/>
            <w:vAlign w:val="bottom"/>
          </w:tcPr>
          <w:p>
            <w:pPr>
              <w:ind w:left="3620"/>
              <w:spacing w:after="0"/>
              <w:rPr>
                <w:sz w:val="20"/>
                <w:szCs w:val="20"/>
                <w:color w:val="auto"/>
              </w:rPr>
            </w:pPr>
            <w:r>
              <w:rPr>
                <w:rFonts w:ascii="Arial" w:cs="Arial" w:eastAsia="Arial" w:hAnsi="Arial"/>
                <w:sz w:val="18"/>
                <w:szCs w:val="18"/>
                <w:color w:val="auto"/>
              </w:rPr>
              <w:t>ARTICLE SIXTEEN</w:t>
            </w:r>
          </w:p>
        </w:tc>
        <w:tc>
          <w:tcPr>
            <w:tcW w:w="146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8620" w:type="dxa"/>
            <w:vAlign w:val="bottom"/>
          </w:tcPr>
          <w:p>
            <w:pPr>
              <w:ind w:left="3000"/>
              <w:spacing w:after="0"/>
              <w:rPr>
                <w:sz w:val="20"/>
                <w:szCs w:val="20"/>
                <w:color w:val="auto"/>
              </w:rPr>
            </w:pPr>
            <w:r>
              <w:rPr>
                <w:rFonts w:ascii="Arial" w:cs="Arial" w:eastAsia="Arial" w:hAnsi="Arial"/>
                <w:sz w:val="18"/>
                <w:szCs w:val="18"/>
                <w:color w:val="auto"/>
              </w:rPr>
              <w:t>SUBORDINATION OF SECURITIES</w:t>
            </w:r>
          </w:p>
        </w:tc>
        <w:tc>
          <w:tcPr>
            <w:tcW w:w="1460" w:type="dxa"/>
            <w:vAlign w:val="bottom"/>
          </w:tcPr>
          <w:p>
            <w:pPr>
              <w:spacing w:after="0"/>
              <w:rPr>
                <w:sz w:val="19"/>
                <w:szCs w:val="19"/>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1601.</w:t>
            </w:r>
          </w:p>
        </w:tc>
        <w:tc>
          <w:tcPr>
            <w:tcW w:w="8620" w:type="dxa"/>
            <w:vAlign w:val="bottom"/>
          </w:tcPr>
          <w:p>
            <w:pPr>
              <w:ind w:left="340"/>
              <w:spacing w:after="0"/>
              <w:rPr>
                <w:sz w:val="20"/>
                <w:szCs w:val="20"/>
                <w:color w:val="auto"/>
              </w:rPr>
            </w:pPr>
            <w:r>
              <w:rPr>
                <w:rFonts w:ascii="Arial" w:cs="Arial" w:eastAsia="Arial" w:hAnsi="Arial"/>
                <w:sz w:val="18"/>
                <w:szCs w:val="18"/>
                <w:color w:val="auto"/>
              </w:rPr>
              <w:t>Agreement to Subordinate</w:t>
            </w:r>
          </w:p>
        </w:tc>
        <w:tc>
          <w:tcPr>
            <w:tcW w:w="1460" w:type="dxa"/>
            <w:vAlign w:val="bottom"/>
          </w:tcPr>
          <w:p>
            <w:pPr>
              <w:ind w:left="1180"/>
              <w:spacing w:after="0"/>
              <w:rPr>
                <w:sz w:val="20"/>
                <w:szCs w:val="20"/>
                <w:color w:val="auto"/>
              </w:rPr>
            </w:pPr>
            <w:r>
              <w:rPr>
                <w:rFonts w:ascii="Arial" w:cs="Arial" w:eastAsia="Arial" w:hAnsi="Arial"/>
                <w:sz w:val="18"/>
                <w:szCs w:val="18"/>
                <w:color w:val="auto"/>
              </w:rPr>
              <w:t>73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1602.</w:t>
            </w:r>
          </w:p>
        </w:tc>
        <w:tc>
          <w:tcPr>
            <w:tcW w:w="8620" w:type="dxa"/>
            <w:vAlign w:val="bottom"/>
          </w:tcPr>
          <w:p>
            <w:pPr>
              <w:ind w:left="340"/>
              <w:spacing w:after="0"/>
              <w:rPr>
                <w:sz w:val="20"/>
                <w:szCs w:val="20"/>
                <w:color w:val="auto"/>
              </w:rPr>
            </w:pPr>
            <w:r>
              <w:rPr>
                <w:rFonts w:ascii="Arial" w:cs="Arial" w:eastAsia="Arial" w:hAnsi="Arial"/>
                <w:sz w:val="18"/>
                <w:szCs w:val="18"/>
                <w:color w:val="auto"/>
              </w:rPr>
              <w:t>Distribution on Dissolution, Liquidation and Reorganization; Subrogation of Subordinated Securities</w:t>
            </w:r>
          </w:p>
        </w:tc>
        <w:tc>
          <w:tcPr>
            <w:tcW w:w="1460" w:type="dxa"/>
            <w:vAlign w:val="bottom"/>
          </w:tcPr>
          <w:p>
            <w:pPr>
              <w:ind w:left="1180"/>
              <w:spacing w:after="0"/>
              <w:rPr>
                <w:sz w:val="20"/>
                <w:szCs w:val="20"/>
                <w:color w:val="auto"/>
              </w:rPr>
            </w:pPr>
            <w:r>
              <w:rPr>
                <w:rFonts w:ascii="Arial" w:cs="Arial" w:eastAsia="Arial" w:hAnsi="Arial"/>
                <w:sz w:val="18"/>
                <w:szCs w:val="18"/>
                <w:color w:val="auto"/>
              </w:rPr>
              <w:t>74</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1603.</w:t>
            </w:r>
          </w:p>
        </w:tc>
        <w:tc>
          <w:tcPr>
            <w:tcW w:w="8620" w:type="dxa"/>
            <w:vAlign w:val="bottom"/>
          </w:tcPr>
          <w:p>
            <w:pPr>
              <w:ind w:left="340"/>
              <w:spacing w:after="0"/>
              <w:rPr>
                <w:sz w:val="20"/>
                <w:szCs w:val="20"/>
                <w:color w:val="auto"/>
              </w:rPr>
            </w:pPr>
            <w:r>
              <w:rPr>
                <w:rFonts w:ascii="Arial" w:cs="Arial" w:eastAsia="Arial" w:hAnsi="Arial"/>
                <w:sz w:val="18"/>
                <w:szCs w:val="18"/>
                <w:color w:val="auto"/>
              </w:rPr>
              <w:t>No Payment on Subordinated Securities in Event of Default on Senior Indebtedness</w:t>
            </w:r>
          </w:p>
        </w:tc>
        <w:tc>
          <w:tcPr>
            <w:tcW w:w="1460" w:type="dxa"/>
            <w:vAlign w:val="bottom"/>
          </w:tcPr>
          <w:p>
            <w:pPr>
              <w:ind w:left="1180"/>
              <w:spacing w:after="0"/>
              <w:rPr>
                <w:sz w:val="20"/>
                <w:szCs w:val="20"/>
                <w:color w:val="auto"/>
              </w:rPr>
            </w:pPr>
            <w:r>
              <w:rPr>
                <w:rFonts w:ascii="Arial" w:cs="Arial" w:eastAsia="Arial" w:hAnsi="Arial"/>
                <w:sz w:val="18"/>
                <w:szCs w:val="18"/>
                <w:color w:val="auto"/>
              </w:rPr>
              <w:t>75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1604.</w:t>
            </w:r>
          </w:p>
        </w:tc>
        <w:tc>
          <w:tcPr>
            <w:tcW w:w="8620" w:type="dxa"/>
            <w:vAlign w:val="bottom"/>
          </w:tcPr>
          <w:p>
            <w:pPr>
              <w:ind w:left="340"/>
              <w:spacing w:after="0"/>
              <w:rPr>
                <w:sz w:val="20"/>
                <w:szCs w:val="20"/>
                <w:color w:val="auto"/>
              </w:rPr>
            </w:pPr>
            <w:r>
              <w:rPr>
                <w:rFonts w:ascii="Arial" w:cs="Arial" w:eastAsia="Arial" w:hAnsi="Arial"/>
                <w:sz w:val="18"/>
                <w:szCs w:val="18"/>
                <w:color w:val="auto"/>
              </w:rPr>
              <w:t>Payments on Subordinated Securities Permitted</w:t>
            </w:r>
          </w:p>
        </w:tc>
        <w:tc>
          <w:tcPr>
            <w:tcW w:w="1460" w:type="dxa"/>
            <w:vAlign w:val="bottom"/>
          </w:tcPr>
          <w:p>
            <w:pPr>
              <w:ind w:left="1180"/>
              <w:spacing w:after="0"/>
              <w:rPr>
                <w:sz w:val="20"/>
                <w:szCs w:val="20"/>
                <w:color w:val="auto"/>
              </w:rPr>
            </w:pPr>
            <w:r>
              <w:rPr>
                <w:rFonts w:ascii="Arial" w:cs="Arial" w:eastAsia="Arial" w:hAnsi="Arial"/>
                <w:sz w:val="18"/>
                <w:szCs w:val="18"/>
                <w:color w:val="auto"/>
              </w:rPr>
              <w:t>75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1605.</w:t>
            </w:r>
          </w:p>
        </w:tc>
        <w:tc>
          <w:tcPr>
            <w:tcW w:w="8620" w:type="dxa"/>
            <w:vAlign w:val="bottom"/>
          </w:tcPr>
          <w:p>
            <w:pPr>
              <w:ind w:left="340"/>
              <w:spacing w:after="0"/>
              <w:rPr>
                <w:sz w:val="20"/>
                <w:szCs w:val="20"/>
                <w:color w:val="auto"/>
              </w:rPr>
            </w:pPr>
            <w:r>
              <w:rPr>
                <w:rFonts w:ascii="Arial" w:cs="Arial" w:eastAsia="Arial" w:hAnsi="Arial"/>
                <w:sz w:val="18"/>
                <w:szCs w:val="18"/>
                <w:color w:val="auto"/>
              </w:rPr>
              <w:t>Authorization of Holders to Trustee to Effect Subordination</w:t>
            </w:r>
          </w:p>
        </w:tc>
        <w:tc>
          <w:tcPr>
            <w:tcW w:w="1460" w:type="dxa"/>
            <w:vAlign w:val="bottom"/>
          </w:tcPr>
          <w:p>
            <w:pPr>
              <w:ind w:left="1180"/>
              <w:spacing w:after="0"/>
              <w:rPr>
                <w:sz w:val="20"/>
                <w:szCs w:val="20"/>
                <w:color w:val="auto"/>
              </w:rPr>
            </w:pPr>
            <w:r>
              <w:rPr>
                <w:rFonts w:ascii="Arial" w:cs="Arial" w:eastAsia="Arial" w:hAnsi="Arial"/>
                <w:sz w:val="18"/>
                <w:szCs w:val="18"/>
                <w:color w:val="auto"/>
              </w:rPr>
              <w:t>76</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1606.</w:t>
            </w:r>
          </w:p>
        </w:tc>
        <w:tc>
          <w:tcPr>
            <w:tcW w:w="8620" w:type="dxa"/>
            <w:vAlign w:val="bottom"/>
          </w:tcPr>
          <w:p>
            <w:pPr>
              <w:ind w:left="340"/>
              <w:spacing w:after="0"/>
              <w:rPr>
                <w:sz w:val="20"/>
                <w:szCs w:val="20"/>
                <w:color w:val="auto"/>
              </w:rPr>
            </w:pPr>
            <w:r>
              <w:rPr>
                <w:rFonts w:ascii="Arial" w:cs="Arial" w:eastAsia="Arial" w:hAnsi="Arial"/>
                <w:sz w:val="18"/>
                <w:szCs w:val="18"/>
                <w:color w:val="auto"/>
              </w:rPr>
              <w:t>Notices to Trustee</w:t>
            </w:r>
          </w:p>
        </w:tc>
        <w:tc>
          <w:tcPr>
            <w:tcW w:w="1460" w:type="dxa"/>
            <w:vAlign w:val="bottom"/>
          </w:tcPr>
          <w:p>
            <w:pPr>
              <w:ind w:left="1180"/>
              <w:spacing w:after="0"/>
              <w:rPr>
                <w:sz w:val="20"/>
                <w:szCs w:val="20"/>
                <w:color w:val="auto"/>
              </w:rPr>
            </w:pPr>
            <w:r>
              <w:rPr>
                <w:rFonts w:ascii="Arial" w:cs="Arial" w:eastAsia="Arial" w:hAnsi="Arial"/>
                <w:sz w:val="18"/>
                <w:szCs w:val="18"/>
                <w:color w:val="auto"/>
              </w:rPr>
              <w:t>76</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1607.</w:t>
            </w:r>
          </w:p>
        </w:tc>
        <w:tc>
          <w:tcPr>
            <w:tcW w:w="8620" w:type="dxa"/>
            <w:vAlign w:val="bottom"/>
          </w:tcPr>
          <w:p>
            <w:pPr>
              <w:ind w:left="340"/>
              <w:spacing w:after="0"/>
              <w:rPr>
                <w:sz w:val="20"/>
                <w:szCs w:val="20"/>
                <w:color w:val="auto"/>
              </w:rPr>
            </w:pPr>
            <w:r>
              <w:rPr>
                <w:rFonts w:ascii="Arial" w:cs="Arial" w:eastAsia="Arial" w:hAnsi="Arial"/>
                <w:sz w:val="18"/>
                <w:szCs w:val="18"/>
                <w:color w:val="auto"/>
              </w:rPr>
              <w:t>Trustee as Holder of Senior Indebtedness</w:t>
            </w:r>
          </w:p>
        </w:tc>
        <w:tc>
          <w:tcPr>
            <w:tcW w:w="1460" w:type="dxa"/>
            <w:vAlign w:val="bottom"/>
          </w:tcPr>
          <w:p>
            <w:pPr>
              <w:ind w:left="1180"/>
              <w:spacing w:after="0"/>
              <w:rPr>
                <w:sz w:val="20"/>
                <w:szCs w:val="20"/>
                <w:color w:val="auto"/>
              </w:rPr>
            </w:pPr>
            <w:r>
              <w:rPr>
                <w:rFonts w:ascii="Arial" w:cs="Arial" w:eastAsia="Arial" w:hAnsi="Arial"/>
                <w:sz w:val="18"/>
                <w:szCs w:val="18"/>
                <w:color w:val="auto"/>
              </w:rPr>
              <w:t>76</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1608.</w:t>
            </w:r>
          </w:p>
        </w:tc>
        <w:tc>
          <w:tcPr>
            <w:tcW w:w="8620" w:type="dxa"/>
            <w:vAlign w:val="bottom"/>
          </w:tcPr>
          <w:p>
            <w:pPr>
              <w:ind w:left="340"/>
              <w:spacing w:after="0"/>
              <w:rPr>
                <w:sz w:val="20"/>
                <w:szCs w:val="20"/>
                <w:color w:val="auto"/>
              </w:rPr>
            </w:pPr>
            <w:r>
              <w:rPr>
                <w:rFonts w:ascii="Arial" w:cs="Arial" w:eastAsia="Arial" w:hAnsi="Arial"/>
                <w:sz w:val="18"/>
                <w:szCs w:val="18"/>
                <w:color w:val="auto"/>
              </w:rPr>
              <w:t>Modifications of Terms of Senior Indebtedness</w:t>
            </w:r>
          </w:p>
        </w:tc>
        <w:tc>
          <w:tcPr>
            <w:tcW w:w="1460" w:type="dxa"/>
            <w:vAlign w:val="bottom"/>
          </w:tcPr>
          <w:p>
            <w:pPr>
              <w:ind w:left="1180"/>
              <w:spacing w:after="0"/>
              <w:rPr>
                <w:sz w:val="20"/>
                <w:szCs w:val="20"/>
                <w:color w:val="auto"/>
              </w:rPr>
            </w:pPr>
            <w:r>
              <w:rPr>
                <w:rFonts w:ascii="Arial" w:cs="Arial" w:eastAsia="Arial" w:hAnsi="Arial"/>
                <w:sz w:val="18"/>
                <w:szCs w:val="18"/>
                <w:color w:val="auto"/>
              </w:rPr>
              <w:t>76</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1609.</w:t>
            </w:r>
          </w:p>
        </w:tc>
        <w:tc>
          <w:tcPr>
            <w:tcW w:w="8620" w:type="dxa"/>
            <w:vAlign w:val="bottom"/>
          </w:tcPr>
          <w:p>
            <w:pPr>
              <w:ind w:left="340"/>
              <w:spacing w:after="0"/>
              <w:rPr>
                <w:sz w:val="20"/>
                <w:szCs w:val="20"/>
                <w:color w:val="auto"/>
              </w:rPr>
            </w:pPr>
            <w:r>
              <w:rPr>
                <w:rFonts w:ascii="Arial" w:cs="Arial" w:eastAsia="Arial" w:hAnsi="Arial"/>
                <w:sz w:val="18"/>
                <w:szCs w:val="18"/>
                <w:color w:val="auto"/>
              </w:rPr>
              <w:t>Reliance on Judicial Order or Certificate of Liquidating Agent</w:t>
            </w:r>
          </w:p>
        </w:tc>
        <w:tc>
          <w:tcPr>
            <w:tcW w:w="1460" w:type="dxa"/>
            <w:vAlign w:val="bottom"/>
          </w:tcPr>
          <w:p>
            <w:pPr>
              <w:ind w:left="1180"/>
              <w:spacing w:after="0"/>
              <w:rPr>
                <w:sz w:val="20"/>
                <w:szCs w:val="20"/>
                <w:color w:val="auto"/>
              </w:rPr>
            </w:pPr>
            <w:r>
              <w:rPr>
                <w:rFonts w:ascii="Arial" w:cs="Arial" w:eastAsia="Arial" w:hAnsi="Arial"/>
                <w:sz w:val="18"/>
                <w:szCs w:val="18"/>
                <w:color w:val="auto"/>
              </w:rPr>
              <w:t>77</w:t>
            </w: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EXHIBIT A-1:</w:t>
            </w: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w w:val="93"/>
              </w:rPr>
              <w:t>FORM OF CERTIFICATE TO BE GIVEN BY PERSON ENTITLED TO RECEIVE BEARER SECURITY OR TO OBTAIN INTEREST</w:t>
            </w:r>
          </w:p>
        </w:tc>
      </w:tr>
      <w:tr>
        <w:trPr>
          <w:trHeight w:val="222"/>
        </w:trPr>
        <w:tc>
          <w:tcPr>
            <w:tcW w:w="134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Arial" w:cs="Arial" w:eastAsia="Arial" w:hAnsi="Arial"/>
                <w:sz w:val="18"/>
                <w:szCs w:val="18"/>
                <w:color w:val="auto"/>
              </w:rPr>
              <w:t>PAYABLE PRIOR TO THE EXCHANGE DATE</w:t>
            </w:r>
          </w:p>
        </w:tc>
        <w:tc>
          <w:tcPr>
            <w:tcW w:w="1460" w:type="dxa"/>
            <w:vAlign w:val="bottom"/>
          </w:tcPr>
          <w:p>
            <w:pPr>
              <w:spacing w:after="0"/>
              <w:rPr>
                <w:sz w:val="19"/>
                <w:szCs w:val="19"/>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EXHIBIT A-2:</w:t>
            </w: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w w:val="94"/>
              </w:rPr>
              <w:t>FORM OF CERTIFICATE TO BE GIVEN BY EUROCLEAR AND CLEARSTREAM IN CONNECTION WITH THE EXCHANGE OF</w:t>
            </w:r>
          </w:p>
        </w:tc>
      </w:tr>
      <w:tr>
        <w:trPr>
          <w:trHeight w:val="222"/>
        </w:trPr>
        <w:tc>
          <w:tcPr>
            <w:tcW w:w="1340" w:type="dxa"/>
            <w:vAlign w:val="bottom"/>
          </w:tcPr>
          <w:p>
            <w:pPr>
              <w:spacing w:after="0"/>
              <w:rPr>
                <w:sz w:val="19"/>
                <w:szCs w:val="19"/>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w w:val="93"/>
              </w:rPr>
              <w:t>A PORTION OF A TEMPORARY GLOBAL SECURITY OR TO OBTAIN INTEREST PAYABLE PRIOR TO THE EXCHANGE DATE</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74" w:right="239" w:bottom="1440" w:gutter="0" w:footer="0" w:header="0"/>
        </w:sectPr>
      </w:pPr>
    </w:p>
    <w:bookmarkStart w:id="17" w:name="page18"/>
    <w:bookmarkEnd w:id="17"/>
    <w:p>
      <w:pPr>
        <w:jc w:val="both"/>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January 22, 2013, between PENNANTPARK INVESTMENT CORPORATION, a Maryland corporation (hereinafter called the “Company”), having its principal office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and American Stock Transfer &amp; Trust Company, LLC, trustee (hereinafter called the “Trustee”), having its Corporate Trust Office at 6201 15</w:t>
      </w:r>
      <w:r>
        <w:rPr>
          <w:rFonts w:ascii="Arial" w:cs="Arial" w:eastAsia="Arial" w:hAnsi="Arial"/>
          <w:sz w:val="10"/>
          <w:szCs w:val="10"/>
          <w:color w:val="auto"/>
        </w:rPr>
        <w:t>th</w:t>
      </w:r>
      <w:r>
        <w:rPr>
          <w:rFonts w:ascii="Arial" w:cs="Arial" w:eastAsia="Arial" w:hAnsi="Arial"/>
          <w:sz w:val="16"/>
          <w:szCs w:val="16"/>
          <w:color w:val="auto"/>
        </w:rPr>
        <w:t xml:space="preserve"> Avenue, Brooklyn, New York 11219.</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deems it necessary to issue from time to time for its lawful purposes debt securities (hereinafter called the “Securities”) evidencing its unsecured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Indenture (as defined herein) is subject to the provisions of the Trust Indenture Act of 1939, as amended, that are required to be part of this Indenture and shall, to the extent applicable, be governed by such provisions.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things necessary to make this Indenture a valid and legally binding agreement of the Company, in accordance with its terms, have been done.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Securities by the Holders (as defined herein) thereof, it is mutually covenanted and agreed, for the equal and proportionate benefit of all Holders of the Securities and coupons, or of a series thereof,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71" w:lineRule="exact"/>
        <w:rPr>
          <w:sz w:val="20"/>
          <w:szCs w:val="20"/>
          <w:color w:val="auto"/>
        </w:rPr>
      </w:pPr>
    </w:p>
    <w:p>
      <w:pPr>
        <w:ind w:right="520" w:firstLine="464"/>
        <w:spacing w:after="0" w:line="332"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spacing w:after="0" w:line="85" w:lineRule="exact"/>
        <w:rPr>
          <w:rFonts w:ascii="Arial" w:cs="Arial" w:eastAsia="Arial" w:hAnsi="Arial"/>
          <w:sz w:val="16"/>
          <w:szCs w:val="16"/>
          <w:color w:val="auto"/>
        </w:rPr>
      </w:pPr>
    </w:p>
    <w:p>
      <w:pPr>
        <w:ind w:right="60" w:firstLine="464"/>
        <w:spacing w:after="0" w:line="306"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other terms used herein which are defined in the Trust Indenture Act (as defined herein),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pacing w:after="0" w:line="106"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 and</w:t>
      </w:r>
    </w:p>
    <w:p>
      <w:pPr>
        <w:sectPr>
          <w:pgSz w:w="11900" w:h="16838" w:orient="portrait"/>
          <w:cols w:equalWidth="0" w:num="1">
            <w:col w:w="11420"/>
          </w:cols>
          <w:pgMar w:left="240" w:top="280" w:right="239" w:bottom="1440" w:gutter="0" w:footer="0" w:header="0"/>
        </w:sectPr>
      </w:pPr>
    </w:p>
    <w:bookmarkStart w:id="18" w:name="page19"/>
    <w:bookmarkEnd w:id="18"/>
    <w:p>
      <w:pPr>
        <w:ind w:right="34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words “herein”, “hereof” and “hereunder” and other words of similar import refer to this Indenture as a whole and not to any particular Article, Section or other subdivision.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terms, used principally in Article Three, Article Five, Article Six and Article Ten, are defined in those Articles.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of a Security, has the meaning specified in Section 104.</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Amounts</w:t>
      </w:r>
      <w:r>
        <w:rPr>
          <w:rFonts w:ascii="Arial" w:cs="Arial" w:eastAsia="Arial" w:hAnsi="Arial"/>
          <w:sz w:val="16"/>
          <w:szCs w:val="16"/>
          <w:color w:val="auto"/>
        </w:rPr>
        <w:t>” means any additional amounts which are required by a Security or by or pursuant to a Board Resolution, under circumstances specified therein, to be paid by the Company in respect of certain taxes imposed on certain Holders and which are owing to such Holders.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authenticating agent appointed by the Trustee pursuant to Section 612 to act on behalf of the Trustee to authenticate Securities of one or more series.</w:t>
      </w:r>
    </w:p>
    <w:p>
      <w:pPr>
        <w:spacing w:after="0" w:line="132"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Authorized Newspaper</w:t>
      </w:r>
      <w:r>
        <w:rPr>
          <w:rFonts w:ascii="Arial" w:cs="Arial" w:eastAsia="Arial" w:hAnsi="Arial"/>
          <w:sz w:val="15"/>
          <w:szCs w:val="15"/>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bearer.</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 the executive committee or any committee of that board duly authorized to act hereunder.</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which is not a day on which banking institutions in that Place of Payment or particular location are authorized or obligated by law or executive order to close.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International or its successor.</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execution of this instrument such Commission is not existing and performing the duties now assigned to it under the Trust Indenture Act, then the body performing such duties on such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Common Depositary</w:t>
      </w:r>
      <w:r>
        <w:rPr>
          <w:rFonts w:ascii="Arial" w:cs="Arial" w:eastAsia="Arial" w:hAnsi="Arial"/>
          <w:sz w:val="18"/>
          <w:szCs w:val="18"/>
          <w:color w:val="auto"/>
        </w:rPr>
        <w:t>” has the meaning specified in Section 304.</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132"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the Chairman, the President or a Vice President, and by the Chief Financial Officer, the Chief Operating Officer, the Secretary or an Assistant Secretary, of the Company, and delivered to the Trustee.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has the meaning specified in Section 312(d).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Euro both within the European Monetary System and for the settlement of transactions by public institutions of or within the European Communities or (iii) any currency unit (or composite currency) other than the Euro for the purposes for which it was established.</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the address set forth in the preamble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any currency or currencies, composite currency or currency unit or currency units, including, without limitation, the Euro, issued by the government of one or more countries or by any reorganized confederation or association of such governments.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a U.S. dollar or other equivalent unit in such coin or currency of the United States of America as at the time shall be legal tender for the payment of public and private debts.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Date</w:t>
      </w:r>
      <w:r>
        <w:rPr>
          <w:rFonts w:ascii="Arial" w:cs="Arial" w:eastAsia="Arial" w:hAnsi="Arial"/>
          <w:sz w:val="18"/>
          <w:szCs w:val="18"/>
          <w:color w:val="auto"/>
        </w:rPr>
        <w:t>” has the meaning specified in Section 312(h).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Euro or other equivalent unit in such official coin or currency of the European Union.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Euroclear Bank S.A./N.V., or its successor as operator of the Euroclear System.</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0" w:name="page21"/>
    <w:bookmarkEnd w:id="2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European Communities</w:t>
      </w:r>
      <w:r>
        <w:rPr>
          <w:rFonts w:ascii="Arial" w:cs="Arial" w:eastAsia="Arial" w:hAnsi="Arial"/>
          <w:sz w:val="16"/>
          <w:szCs w:val="16"/>
          <w:color w:val="auto"/>
        </w:rPr>
        <w:t>” means the European Union, the European Coal and Steel Community and the European Atomic Energy Community.</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Agent</w:t>
      </w:r>
      <w:r>
        <w:rPr>
          <w:rFonts w:ascii="Arial" w:cs="Arial" w:eastAsia="Arial" w:hAnsi="Arial"/>
          <w:sz w:val="18"/>
          <w:szCs w:val="18"/>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32"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 Officer’s Certificate</w:t>
      </w:r>
      <w:r>
        <w:rPr>
          <w:rFonts w:ascii="Arial" w:cs="Arial" w:eastAsia="Arial" w:hAnsi="Arial"/>
          <w:sz w:val="16"/>
          <w:szCs w:val="16"/>
          <w:color w:val="auto"/>
        </w:rPr>
        <w:t>” means a certificate setting forth (i) the applicable Market Exchange Rate or the applicable bid quotation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Executive Officer or Chief Financial Officer of the Company.</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Currency, including, without limitation, the Euro, issued by the government of one or more countries other than the United States of America or by any recognized confederation or association of such governments.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Obligations</w:t>
      </w:r>
      <w:r>
        <w:rPr>
          <w:rFonts w:ascii="Arial" w:cs="Arial" w:eastAsia="Arial" w:hAnsi="Arial"/>
          <w:sz w:val="16"/>
          <w:szCs w:val="16"/>
          <w:color w:val="auto"/>
        </w:rPr>
        <w:t xml:space="preserve">” means securities which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2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32"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Indenture</w:t>
      </w:r>
      <w:r>
        <w:rPr>
          <w:rFonts w:ascii="Arial" w:cs="Arial" w:eastAsia="Arial" w:hAnsi="Arial"/>
          <w:sz w:val="15"/>
          <w:szCs w:val="15"/>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at any time more than one Person is acting as Trustee under this instrument, “Indenture” shall mean, with respect to any one or more series of Securities for which such Person is Trustee, this instrument as originally executed or as it may from time to time be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1" w:name="page22"/>
    <w:bookmarkEnd w:id="2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excluding, however,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1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when used with respect to any Security, means the Stated Maturity of an installment of interest on such Security.</w:t>
      </w:r>
    </w:p>
    <w:p>
      <w:pPr>
        <w:spacing w:after="0" w:line="19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Junior Subordinated Securities</w:t>
      </w:r>
      <w:r>
        <w:rPr>
          <w:rFonts w:ascii="Arial" w:cs="Arial" w:eastAsia="Arial" w:hAnsi="Arial"/>
          <w:sz w:val="18"/>
          <w:szCs w:val="18"/>
          <w:color w:val="auto"/>
        </w:rPr>
        <w:t>” means any Security or Securities designated pursuant to Section 301 as a Junior Subordinated Security.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Indebtedness</w:t>
      </w:r>
      <w:r>
        <w:rPr>
          <w:rFonts w:ascii="Arial" w:cs="Arial" w:eastAsia="Arial" w:hAnsi="Arial"/>
          <w:sz w:val="18"/>
          <w:szCs w:val="18"/>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is expressly subordinated and ranks junior in right of payment to the Company’s Senior Indebtedness and Senior Subordinated Indebtedness and equally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to any other Junior Subordinated Indebtedness, (b) Junior Subordinated Securities and (c) renewals, extensions, modifications and refinancings of any such indebtedness.</w:t>
      </w:r>
    </w:p>
    <w:p>
      <w:pPr>
        <w:spacing w:after="0" w:line="144"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Market Exchange Rate</w:t>
      </w:r>
      <w:r>
        <w:rPr>
          <w:rFonts w:ascii="Arial" w:cs="Arial" w:eastAsia="Arial" w:hAnsi="Arial"/>
          <w:sz w:val="15"/>
          <w:szCs w:val="15"/>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2" w:name="page23"/>
    <w:bookmarkEnd w:id="2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has the meaning provided in Section 501.</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Chairman, the Chief Executive Officer, the Chief Financial Officer, the Chief Operating Officer, the Secretary or any Assistant Secretary of the Company, and delivered to the Trustee.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Securities or any series of Securities, means, as of the date of determination, all Securities or all Securities of such series, as the case may be, theretofore authenticated and delivered under this Indenture, except:</w:t>
      </w:r>
    </w:p>
    <w:p>
      <w:pPr>
        <w:spacing w:after="0" w:line="51" w:lineRule="exact"/>
        <w:rPr>
          <w:sz w:val="20"/>
          <w:szCs w:val="20"/>
          <w:color w:val="auto"/>
        </w:rPr>
      </w:pPr>
    </w:p>
    <w:p>
      <w:pPr>
        <w:ind w:left="1120" w:hanging="21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90" w:lineRule="exact"/>
        <w:rPr>
          <w:rFonts w:ascii="Arial" w:cs="Arial" w:eastAsia="Arial" w:hAnsi="Arial"/>
          <w:sz w:val="18"/>
          <w:szCs w:val="18"/>
          <w:color w:val="auto"/>
        </w:rPr>
      </w:pPr>
    </w:p>
    <w:p>
      <w:pPr>
        <w:ind w:left="460" w:right="160" w:firstLine="443"/>
        <w:spacing w:after="0" w:line="255" w:lineRule="auto"/>
        <w:tabs>
          <w:tab w:leader="none" w:pos="11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61" w:lineRule="exact"/>
        <w:rPr>
          <w:rFonts w:ascii="Arial" w:cs="Arial" w:eastAsia="Arial" w:hAnsi="Arial"/>
          <w:sz w:val="18"/>
          <w:szCs w:val="18"/>
          <w:color w:val="auto"/>
        </w:rPr>
      </w:pPr>
    </w:p>
    <w:p>
      <w:pPr>
        <w:ind w:left="460" w:right="40" w:firstLine="443"/>
        <w:spacing w:after="0" w:line="268" w:lineRule="auto"/>
        <w:tabs>
          <w:tab w:leader="none" w:pos="12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50" w:lineRule="exact"/>
        <w:rPr>
          <w:rFonts w:ascii="Arial" w:cs="Arial" w:eastAsia="Arial" w:hAnsi="Arial"/>
          <w:sz w:val="18"/>
          <w:szCs w:val="18"/>
          <w:color w:val="auto"/>
        </w:rPr>
      </w:pPr>
    </w:p>
    <w:p>
      <w:pPr>
        <w:ind w:left="460" w:right="40" w:firstLine="443"/>
        <w:spacing w:after="0" w:line="306" w:lineRule="auto"/>
        <w:tabs>
          <w:tab w:leader="none" w:pos="11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provided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2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premium, if any) or interest, if any, on any Securities or coupons on behalf of the Company.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means, when used with respect to the Securities of or within any series, the place or places where the principal of (and premium, if any) and interest, if any, on such Securities are payable as specified and as contemplated by Sections 301 and 1002.</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32"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at which it is to be redeemed pursuant to this Indenture. 7</w:t>
      </w:r>
    </w:p>
    <w:p>
      <w:pPr>
        <w:sectPr>
          <w:pgSz w:w="11900" w:h="16838" w:orient="portrait"/>
          <w:cols w:equalWidth="0" w:num="1">
            <w:col w:w="11400"/>
          </w:cols>
          <w:pgMar w:left="240" w:top="280" w:right="25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which is registered in the Security Register.</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means the date fixed for such repayment by or pursuant to this Indenture.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means the price at which it is to be repaid by or pursuant to this Indenture.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assigned by the Trustee to administer its corporate trust matters and who shall have direct responsibility for the administration of this Indenture.</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w:t>
      </w:r>
      <w:r>
        <w:rPr>
          <w:rFonts w:ascii="Arial" w:cs="Arial" w:eastAsia="Arial" w:hAnsi="Arial"/>
          <w:sz w:val="16"/>
          <w:szCs w:val="16"/>
          <w:color w:val="auto"/>
        </w:rPr>
        <w:t>” or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pursuant to which the same is outstanding it is provided that such indebtedness is expressly subordinated, and is not senior or prior in right of payment, to Subordinated Indebtedness, (b) Senior Securities and (c) renewals, extensions, modifications and refinancings of any such indebtedness.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Security or Securities designated pursuant to Section 301 as a Senior Security.</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Subordinated Indebtedness</w:t>
      </w:r>
      <w:r>
        <w:rPr>
          <w:rFonts w:ascii="Arial" w:cs="Arial" w:eastAsia="Arial" w:hAnsi="Arial"/>
          <w:sz w:val="16"/>
          <w:szCs w:val="16"/>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is expressly subordinated, and ranks junior in right of payment to the Company’s Senior Indebtedness, equally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Subordinated Securities</w:t>
      </w:r>
      <w:r>
        <w:rPr>
          <w:rFonts w:ascii="Arial" w:cs="Arial" w:eastAsia="Arial" w:hAnsi="Arial"/>
          <w:sz w:val="18"/>
          <w:szCs w:val="18"/>
          <w:color w:val="auto"/>
        </w:rPr>
        <w:t>” means any Security or Securities designated pursuant to Section 301 as a Senior Subordinated Security.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5" w:name="page26"/>
    <w:bookmarkEnd w:id="25"/>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Trustee pursuant to Section 307.</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Senior Subordinated Indebtedness or Junior Subordinated Indebtedness.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a majority of the outstanding voting stock of which is owned, directly or indirectly, by the Company or by one or more other Subsidiaries of the Company. For the purposes of this definition, “voting stock” means stock having voting power for the election of directors, whether at all times or only so long as no senior class of stock has such voting power by reason of any contingency.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as in force at the date as of which this Indenture was executed, except as provided in Section 905.</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means, unless otherwise specified with respect to any Securities pursuant to Section 301,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has the meaning specified in Section 312(c).</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102. Compliance Certificates and Opinions.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certificate or opinion with respect to compliance with a condition or covenant provided for in this Indenture (other than pursuant to Section 1005)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include:</w:t>
      </w:r>
    </w:p>
    <w:p>
      <w:pPr>
        <w:spacing w:after="0" w:line="165" w:lineRule="exact"/>
        <w:rPr>
          <w:sz w:val="20"/>
          <w:szCs w:val="20"/>
          <w:color w:val="auto"/>
        </w:rPr>
      </w:pPr>
    </w:p>
    <w:p>
      <w:pPr>
        <w:ind w:left="720" w:hanging="256"/>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194" w:lineRule="exact"/>
        <w:rPr>
          <w:rFonts w:ascii="Arial" w:cs="Arial" w:eastAsia="Arial" w:hAnsi="Arial"/>
          <w:sz w:val="16"/>
          <w:szCs w:val="16"/>
          <w:color w:val="auto"/>
        </w:rPr>
      </w:pPr>
    </w:p>
    <w:p>
      <w:pPr>
        <w:ind w:right="22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3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or she has made such examination or investigation as is necessary to enable such individual to express an informed opinion as to whether or not such condition or covenant has been complied with;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103. Form of Documents Delivered to Trustee.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104. Acts of Holders.</w:t>
      </w:r>
    </w:p>
    <w:p>
      <w:pPr>
        <w:spacing w:after="0" w:line="96" w:lineRule="exact"/>
        <w:rPr>
          <w:sz w:val="20"/>
          <w:szCs w:val="20"/>
          <w:color w:val="auto"/>
        </w:rPr>
      </w:pPr>
    </w:p>
    <w:p>
      <w:pPr>
        <w:ind w:left="-40" w:firstLine="464"/>
        <w:spacing w:after="0" w:line="286"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20" w:lineRule="exact"/>
        <w:rPr>
          <w:rFonts w:ascii="Arial" w:cs="Arial" w:eastAsia="Arial" w:hAnsi="Arial"/>
          <w:sz w:val="16"/>
          <w:szCs w:val="16"/>
          <w:color w:val="auto"/>
        </w:rPr>
      </w:pPr>
    </w:p>
    <w:p>
      <w:pPr>
        <w:ind w:left="-40" w:right="80" w:firstLine="464"/>
        <w:spacing w:after="0" w:line="294" w:lineRule="auto"/>
        <w:tabs>
          <w:tab w:leader="none" w:pos="6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15" w:lineRule="exact"/>
        <w:rPr>
          <w:rFonts w:ascii="Arial" w:cs="Arial" w:eastAsia="Arial" w:hAnsi="Arial"/>
          <w:sz w:val="16"/>
          <w:szCs w:val="16"/>
          <w:color w:val="auto"/>
        </w:rPr>
      </w:pPr>
    </w:p>
    <w:p>
      <w:pPr>
        <w:ind w:left="660" w:hanging="2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w:t>
      </w:r>
    </w:p>
    <w:p>
      <w:pPr>
        <w:spacing w:after="0" w:line="171" w:lineRule="exact"/>
        <w:rPr>
          <w:rFonts w:ascii="Arial" w:cs="Arial" w:eastAsia="Arial" w:hAnsi="Arial"/>
          <w:sz w:val="18"/>
          <w:szCs w:val="18"/>
          <w:color w:val="auto"/>
        </w:rPr>
      </w:pPr>
    </w:p>
    <w:p>
      <w:pPr>
        <w:ind w:left="-40" w:right="20" w:firstLine="464"/>
        <w:spacing w:after="0" w:line="289" w:lineRule="auto"/>
        <w:tabs>
          <w:tab w:leader="none" w:pos="6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ownership of Bearer Securities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that the Trustee deems reasonably sufficient.</w:t>
      </w:r>
    </w:p>
    <w:p>
      <w:pPr>
        <w:spacing w:after="0" w:line="118" w:lineRule="exact"/>
        <w:rPr>
          <w:rFonts w:ascii="Arial" w:cs="Arial" w:eastAsia="Arial" w:hAnsi="Arial"/>
          <w:sz w:val="16"/>
          <w:szCs w:val="16"/>
          <w:color w:val="auto"/>
        </w:rPr>
      </w:pPr>
    </w:p>
    <w:p>
      <w:pPr>
        <w:ind w:left="-40" w:right="240" w:firstLine="464"/>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28" w:name="page29"/>
    <w:bookmarkEnd w:id="2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18" w:lineRule="exact"/>
        <w:rPr>
          <w:sz w:val="20"/>
          <w:szCs w:val="20"/>
          <w:color w:val="auto"/>
        </w:rPr>
      </w:pPr>
    </w:p>
    <w:p>
      <w:pPr>
        <w:ind w:right="200" w:firstLine="464"/>
        <w:spacing w:after="0" w:line="256" w:lineRule="auto"/>
        <w:tabs>
          <w:tab w:leader="none" w:pos="6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105. Notices, Etc., to Trustee and Company.</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32" w:lineRule="exact"/>
        <w:rPr>
          <w:sz w:val="20"/>
          <w:szCs w:val="20"/>
          <w:color w:val="auto"/>
        </w:rPr>
      </w:pPr>
    </w:p>
    <w:p>
      <w:pPr>
        <w:ind w:right="48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filed or mailed, first-class postage prepaid in writing to or with the Trustee at its Corporate Trust Office, Attention: General Counsel, or</w:t>
      </w:r>
    </w:p>
    <w:p>
      <w:pPr>
        <w:spacing w:after="0" w:line="131" w:lineRule="exact"/>
        <w:rPr>
          <w:rFonts w:ascii="Arial" w:cs="Arial" w:eastAsia="Arial" w:hAnsi="Arial"/>
          <w:sz w:val="18"/>
          <w:szCs w:val="18"/>
          <w:color w:val="auto"/>
        </w:rPr>
      </w:pPr>
    </w:p>
    <w:p>
      <w:pPr>
        <w:jc w:val="both"/>
        <w:ind w:right="60" w:firstLine="464"/>
        <w:spacing w:after="0" w:line="306"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Chief Executive Officer or at any other address previously furnished in writing to the Trustee by the Company.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106. Notice to Holders; Waiver.</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9" w:name="page30"/>
    <w:bookmarkEnd w:id="29"/>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and not earlier than the earliest date, prescribed for the giving of such notice. Any such notice shall be deemed to have been given on the date of such publication or, if published more than once, on the date of the first such publication.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107. Effect of Headings and Table of Contents.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108. Successors and Assigns.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109. Separability Clause.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case any provision in this Indenture or in any Security or coupon shall be invalid, illegal or unenforceable, the validity, legality and enforceability of the remaining provisions shall not in any way be affected or impaired thereby.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 Benefits of Indenture.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Nothing in this Indenture or in the Securities or coupons,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111. Governing Law.</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Indenture and the Securities and coupons shall be governed by, and construed in accordance with, the law of the State of New York. This Indenture is subject to the provisions of the Trust Indenture Act that are required to be part of this Indenture and shall, to the extent applicable, be governed by such provisions.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112. Legal Holidays.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or coupon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interest shall accrue on the amount so payable for the period from and after such Interest Payment Date, Redemption Date, Repayment Date, sinking fund payment date, Stated Maturity or Maturity, as the case may be.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113. Submission to Jurisdiction.</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hereby irrevocably submits to the non-exclusive jurisdiction of any New York state or federal court sitting in The City of New York in any action or proceeding arising out of or relating to the Indenture and the Securities of any series, and the Company hereby irrevocably agrees that all claims in respect of such action or proceeding may be heard and determined in such state or federal court in New York. The Company hereby irrevocably waives, to the fullest extent it may effectively do so, the defense of an inconvenient forum to the maintenance of such action or proceeding.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201. Forms of Securities.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Registered Securities, if any, of each series and the Bearer Securities, if any, of each series and related coupons,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1" w:name="page32"/>
    <w:bookmarkEnd w:id="31"/>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definitive Securities and coupons shall be printed, lithographed, engraved, photocopied, produced by any combination of these methods on a steel engraved border or may be produced in any other manner, all as determined by the officers executing such Securities or coupons, as evidenced by their execution of such Securities or coupons.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202. Form of Trustee’s Certificate of Authentication.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Section 611, the Trustee’s certificate of authentication shall be in substantially the following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American Stock Transfer &amp; Trust Company,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203. Securities Issuable in Global Form.</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Securities of or within a series are issuable in global form, as specified as contemplated by Section 301, then, notwithstanding clause (8)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delivery or redelivery of a Security in global form shall be in writing but need not comply with Section 102 and need not be accompanied by an Opinion of Counsel.</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provisions of the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the provisions of Section 309 and except as provided in the preceding paragraph, the Company, the Trustee and any agent of the Company and the Trustee shall treat as the Holder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32" w:name="page33"/>
    <w:bookmarkEnd w:id="32"/>
    <w:p>
      <w:pPr>
        <w:ind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THREE</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301. Amount Unlimited; Issuable in Series.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17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The Securities may be issued in one or more series and shall be designated as Senior Securities, Senior Subordinated Securities or Junior Subordinated Securities. Senior Securities are unsubordinated, shall rank equally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all of the Company’s Senior Indebtedness and senior to all Subordinated Securities. Senior Subordinated Securities shall be expressly subordinated and rank junior to the Company’s Senior Indebtedness, equally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all other Senior Subordinated Indebtedness and senior to any Junior Subordinated Indebtedness. Junior Subordinated Securities shall be expressly subordinated and rank junior to the Company’s Senior Indebtedness and any Senior Subordinated Indebtedness and equally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all other Junior Subordinated Indebtedness. There shall be established in one or more Board Resolutions or pursuant to authority granted by one or more Board Resolutions and, subject to Section 303, set forth,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(15) below), if so provided, may be determined from time to time by the Company with respect to unissued Securities of the series when issued from time to time):</w:t>
      </w:r>
    </w:p>
    <w:p>
      <w:pPr>
        <w:spacing w:after="0" w:line="108" w:lineRule="exact"/>
        <w:rPr>
          <w:sz w:val="20"/>
          <w:szCs w:val="20"/>
          <w:color w:val="auto"/>
        </w:rPr>
      </w:pPr>
    </w:p>
    <w:p>
      <w:pPr>
        <w:ind w:right="80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31" w:lineRule="exact"/>
        <w:rPr>
          <w:rFonts w:ascii="Arial" w:cs="Arial" w:eastAsia="Arial" w:hAnsi="Arial"/>
          <w:sz w:val="18"/>
          <w:szCs w:val="18"/>
          <w:color w:val="auto"/>
        </w:rPr>
      </w:pPr>
    </w:p>
    <w:p>
      <w:pPr>
        <w:ind w:right="60" w:firstLine="464"/>
        <w:spacing w:after="0" w:line="335" w:lineRule="auto"/>
        <w:tabs>
          <w:tab w:leader="none" w:pos="705"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88" w:lineRule="exact"/>
        <w:rPr>
          <w:rFonts w:ascii="Arial" w:cs="Arial" w:eastAsia="Arial" w:hAnsi="Arial"/>
          <w:sz w:val="15"/>
          <w:szCs w:val="15"/>
          <w:color w:val="auto"/>
        </w:rPr>
      </w:pPr>
    </w:p>
    <w:p>
      <w:pPr>
        <w:ind w:right="6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or the method by which such date or dates shall be determined or extended, on which the principal of the Securities of the series shall be payable;</w:t>
      </w:r>
    </w:p>
    <w:p>
      <w:pPr>
        <w:spacing w:after="0" w:line="131" w:lineRule="exact"/>
        <w:rPr>
          <w:rFonts w:ascii="Arial" w:cs="Arial" w:eastAsia="Arial" w:hAnsi="Arial"/>
          <w:sz w:val="18"/>
          <w:szCs w:val="18"/>
          <w:color w:val="auto"/>
        </w:rPr>
      </w:pPr>
    </w:p>
    <w:p>
      <w:pPr>
        <w:ind w:right="40" w:firstLine="464"/>
        <w:spacing w:after="0" w:line="298"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112"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The City of New York, where the principal of (and premium, if any) and interest, if any, on Securities of the series shall be payable, any Registered Securities of the series may be surrendered for registration of transfer, Securities of the series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33" w:name="page34"/>
    <w:bookmarkEnd w:id="33"/>
    <w:p>
      <w:pPr>
        <w:ind w:right="6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w:t>
      </w:r>
    </w:p>
    <w:p>
      <w:pPr>
        <w:spacing w:after="0" w:line="62" w:lineRule="exact"/>
        <w:rPr>
          <w:sz w:val="20"/>
          <w:szCs w:val="20"/>
          <w:color w:val="auto"/>
        </w:rPr>
      </w:pPr>
    </w:p>
    <w:p>
      <w:pPr>
        <w:ind w:right="40" w:firstLine="464"/>
        <w:spacing w:after="0" w:line="332"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85" w:lineRule="exact"/>
        <w:rPr>
          <w:rFonts w:ascii="Arial" w:cs="Arial" w:eastAsia="Arial" w:hAnsi="Arial"/>
          <w:sz w:val="16"/>
          <w:szCs w:val="16"/>
          <w:color w:val="auto"/>
        </w:rPr>
      </w:pPr>
    </w:p>
    <w:p>
      <w:pPr>
        <w:jc w:val="both"/>
        <w:ind w:firstLine="464"/>
        <w:spacing w:after="0" w:line="335" w:lineRule="auto"/>
        <w:tabs>
          <w:tab w:leader="none" w:pos="705"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88" w:lineRule="exact"/>
        <w:rPr>
          <w:rFonts w:ascii="Arial" w:cs="Arial" w:eastAsia="Arial" w:hAnsi="Arial"/>
          <w:sz w:val="15"/>
          <w:szCs w:val="15"/>
          <w:color w:val="auto"/>
        </w:rPr>
      </w:pPr>
    </w:p>
    <w:p>
      <w:pPr>
        <w:ind w:right="200"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 or denominations in which any Registered Securities of the series shall be issuable and, if other than denominations of $5,000, the denomination or denominations in which any Bearer Securities of the series shall be issuable;</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the Trustee, the identity of each Security Registrar and/or Paying Agent;</w:t>
      </w:r>
    </w:p>
    <w:p>
      <w:pPr>
        <w:spacing w:after="0" w:line="171" w:lineRule="exact"/>
        <w:rPr>
          <w:rFonts w:ascii="Arial" w:cs="Arial" w:eastAsia="Arial" w:hAnsi="Arial"/>
          <w:sz w:val="18"/>
          <w:szCs w:val="18"/>
          <w:color w:val="auto"/>
        </w:rPr>
      </w:pPr>
    </w:p>
    <w:p>
      <w:pPr>
        <w:ind w:right="240" w:firstLine="464"/>
        <w:spacing w:after="0" w:line="256" w:lineRule="auto"/>
        <w:tabs>
          <w:tab w:leader="none" w:pos="7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pacing w:after="0" w:line="143" w:lineRule="exact"/>
        <w:rPr>
          <w:rFonts w:ascii="Arial" w:cs="Arial" w:eastAsia="Arial" w:hAnsi="Arial"/>
          <w:sz w:val="18"/>
          <w:szCs w:val="18"/>
          <w:color w:val="auto"/>
        </w:rPr>
      </w:pPr>
    </w:p>
    <w:p>
      <w:pPr>
        <w:jc w:val="both"/>
        <w:ind w:right="180" w:firstLine="464"/>
        <w:spacing w:after="0" w:line="259" w:lineRule="auto"/>
        <w:tabs>
          <w:tab w:leader="none" w:pos="7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140" w:lineRule="exact"/>
        <w:rPr>
          <w:rFonts w:ascii="Arial" w:cs="Arial" w:eastAsia="Arial" w:hAnsi="Arial"/>
          <w:sz w:val="18"/>
          <w:szCs w:val="18"/>
          <w:color w:val="auto"/>
        </w:rPr>
      </w:pPr>
    </w:p>
    <w:p>
      <w:pPr>
        <w:ind w:right="400" w:firstLine="464"/>
        <w:spacing w:after="0" w:line="259" w:lineRule="auto"/>
        <w:tabs>
          <w:tab w:leader="none" w:pos="7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40" w:lineRule="exact"/>
        <w:rPr>
          <w:rFonts w:ascii="Arial" w:cs="Arial" w:eastAsia="Arial" w:hAnsi="Arial"/>
          <w:sz w:val="18"/>
          <w:szCs w:val="18"/>
          <w:color w:val="auto"/>
        </w:rPr>
      </w:pPr>
    </w:p>
    <w:p>
      <w:pPr>
        <w:ind w:right="20" w:firstLine="464"/>
        <w:spacing w:after="0" w:line="294" w:lineRule="auto"/>
        <w:tabs>
          <w:tab w:leader="none" w:pos="793"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spacing w:after="0" w:line="115" w:lineRule="exact"/>
        <w:rPr>
          <w:rFonts w:ascii="Arial" w:cs="Arial" w:eastAsia="Arial" w:hAnsi="Arial"/>
          <w:sz w:val="16"/>
          <w:szCs w:val="16"/>
          <w:color w:val="auto"/>
        </w:rPr>
      </w:pPr>
    </w:p>
    <w:p>
      <w:pPr>
        <w:ind w:left="800" w:hanging="336"/>
        <w:spacing w:after="0"/>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34" w:name="page35"/>
    <w:bookmarkEnd w:id="34"/>
    <w:p>
      <w:pPr>
        <w:jc w:val="both"/>
        <w:ind w:left="-20" w:right="100" w:firstLine="464"/>
        <w:spacing w:after="0" w:line="259" w:lineRule="auto"/>
        <w:tabs>
          <w:tab w:leader="none" w:pos="773"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deletions from, modifications of or additions to the Events of Default or covenants (including any deletions from, modifications of or additions to any of the provisions of Section 1007) of the Company with respect to Securities of the series, whether or not such Events of Default or covenants are consistent with the Events of Default or covenants set forth herein;</w:t>
      </w:r>
    </w:p>
    <w:p>
      <w:pPr>
        <w:spacing w:after="0" w:line="140" w:lineRule="exact"/>
        <w:rPr>
          <w:rFonts w:ascii="Arial" w:cs="Arial" w:eastAsia="Arial" w:hAnsi="Arial"/>
          <w:sz w:val="18"/>
          <w:szCs w:val="18"/>
          <w:color w:val="auto"/>
        </w:rPr>
      </w:pPr>
    </w:p>
    <w:p>
      <w:pPr>
        <w:ind w:left="-20" w:right="20" w:firstLine="464"/>
        <w:spacing w:after="0" w:line="309" w:lineRule="auto"/>
        <w:tabs>
          <w:tab w:leader="none" w:pos="773"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with or without coupons and whether any Securities of the series are to be issuable in permanent global form with or without coupons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whether Registered Securities of the series may be exchanged for Bearer Securities of the series (if permitted by applicable laws and regulations), whether Bearer Securities of the series may be exchanged for Registered Securities of the series, and the circumstances under which and the place or places where such exchanges may be made and if Securities of the series are to be issuable as a global Security, the identity of the depository for such series;</w:t>
      </w:r>
    </w:p>
    <w:p>
      <w:pPr>
        <w:spacing w:after="0" w:line="108" w:lineRule="exact"/>
        <w:rPr>
          <w:rFonts w:ascii="Arial" w:cs="Arial" w:eastAsia="Arial" w:hAnsi="Arial"/>
          <w:sz w:val="15"/>
          <w:szCs w:val="15"/>
          <w:color w:val="auto"/>
        </w:rPr>
      </w:pPr>
    </w:p>
    <w:p>
      <w:pPr>
        <w:ind w:left="-20" w:right="280" w:firstLine="464"/>
        <w:spacing w:after="0" w:line="268" w:lineRule="auto"/>
        <w:tabs>
          <w:tab w:leader="none" w:pos="7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31" w:lineRule="exact"/>
        <w:rPr>
          <w:rFonts w:ascii="Arial" w:cs="Arial" w:eastAsia="Arial" w:hAnsi="Arial"/>
          <w:sz w:val="18"/>
          <w:szCs w:val="18"/>
          <w:color w:val="auto"/>
        </w:rPr>
      </w:pPr>
    </w:p>
    <w:p>
      <w:pPr>
        <w:ind w:left="-20" w:right="60" w:firstLine="464"/>
        <w:spacing w:after="0" w:line="291" w:lineRule="auto"/>
        <w:tabs>
          <w:tab w:leader="none" w:pos="77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shall be paid if other than in the manner provided in Section 307;</w:t>
      </w:r>
    </w:p>
    <w:p>
      <w:pPr>
        <w:spacing w:after="0" w:line="120" w:lineRule="exact"/>
        <w:rPr>
          <w:rFonts w:ascii="Arial" w:cs="Arial" w:eastAsia="Arial" w:hAnsi="Arial"/>
          <w:sz w:val="16"/>
          <w:szCs w:val="16"/>
          <w:color w:val="auto"/>
        </w:rPr>
      </w:pPr>
    </w:p>
    <w:p>
      <w:pPr>
        <w:ind w:left="-20" w:right="220" w:firstLine="464"/>
        <w:spacing w:after="0" w:line="268" w:lineRule="auto"/>
        <w:tabs>
          <w:tab w:leader="none" w:pos="7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applicability, if any, of Sections 1402 and/or 1403 to the Securities of the series and any provisions in modification of, in addition to or in lieu of any of the provisions of Article Fourteen;</w:t>
      </w:r>
    </w:p>
    <w:p>
      <w:pPr>
        <w:spacing w:after="0" w:line="131" w:lineRule="exact"/>
        <w:rPr>
          <w:rFonts w:ascii="Arial" w:cs="Arial" w:eastAsia="Arial" w:hAnsi="Arial"/>
          <w:sz w:val="18"/>
          <w:szCs w:val="18"/>
          <w:color w:val="auto"/>
        </w:rPr>
      </w:pPr>
    </w:p>
    <w:p>
      <w:pPr>
        <w:ind w:left="-20" w:right="180" w:firstLine="464"/>
        <w:spacing w:after="0" w:line="259" w:lineRule="auto"/>
        <w:tabs>
          <w:tab w:leader="none" w:pos="7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40" w:lineRule="exact"/>
        <w:rPr>
          <w:rFonts w:ascii="Arial" w:cs="Arial" w:eastAsia="Arial" w:hAnsi="Arial"/>
          <w:sz w:val="18"/>
          <w:szCs w:val="18"/>
          <w:color w:val="auto"/>
        </w:rPr>
      </w:pPr>
    </w:p>
    <w:p>
      <w:pPr>
        <w:ind w:left="-20" w:firstLine="464"/>
        <w:spacing w:after="0" w:line="256" w:lineRule="auto"/>
        <w:tabs>
          <w:tab w:leader="none" w:pos="7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shall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43" w:lineRule="exact"/>
        <w:rPr>
          <w:rFonts w:ascii="Arial" w:cs="Arial" w:eastAsia="Arial" w:hAnsi="Arial"/>
          <w:sz w:val="18"/>
          <w:szCs w:val="18"/>
          <w:color w:val="auto"/>
        </w:rPr>
      </w:pPr>
    </w:p>
    <w:p>
      <w:pPr>
        <w:ind w:left="780" w:hanging="33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of the initial Exchange Rate Agent, if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35" w:name="page36"/>
    <w:bookmarkEnd w:id="35"/>
    <w:p>
      <w:pPr>
        <w:ind w:left="800" w:hanging="33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Securities of the series are to be issued upon the exercise of warrants, the time, manner and place for such Securities to be authenticated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delivered;</w:t>
      </w:r>
    </w:p>
    <w:p>
      <w:pPr>
        <w:spacing w:after="0" w:line="164" w:lineRule="exact"/>
        <w:rPr>
          <w:rFonts w:ascii="Arial" w:cs="Arial" w:eastAsia="Arial" w:hAnsi="Arial"/>
          <w:sz w:val="16"/>
          <w:szCs w:val="16"/>
          <w:color w:val="auto"/>
        </w:rPr>
      </w:pPr>
    </w:p>
    <w:p>
      <w:pPr>
        <w:ind w:right="520" w:firstLine="464"/>
        <w:spacing w:after="0" w:line="268" w:lineRule="auto"/>
        <w:tabs>
          <w:tab w:leader="none" w:pos="7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of any Person (including the Company), the terms and conditions upon which such Securities shall be so convertible or exchangeable; and</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or the requirements of the Trust Indenture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Registered Securities, as to denomination and except as may otherwise be provided in or pursuant to the Board Resolution referred to above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303) and set forth in the Officer’s Certificate referred to above or in any such indenture supplemental hereto. All Securities of any one series need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at the same time and, unless otherwise provided, a series may be reopened, without the consent of the Holders, for issuances of additional Securities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series.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302. Denominations.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and the Bearer Securities of such series, other than Bearer Securities issued in global form (which may be of any denomination), shall be issuable in a denomination of $5,000.</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303. Execution, Authentication, Delivery and Dating.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Securities and any coupons appertaining thereto shall be executed on behalf of the Company by its Chairman, the Chief Executive Officer or the Chief Financial Officer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Upon delivery of the Company Order, the Trustee shall authenticate and deliver such Securities in accordance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connection with its original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36" w:name="page37"/>
    <w:bookmarkEnd w:id="3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issuance, no Bearer Security shall be mailed or otherwise delivered to any location in the United States;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 to this Indenture or such other certificate as may be specified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47" w:lineRule="exact"/>
        <w:rPr>
          <w:sz w:val="20"/>
          <w:szCs w:val="20"/>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Opinion of Counsel stating,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that the form or forms of such Securities and any coupons have been established in conformity with the provisions of this Indenture;</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that the terms of such Securities and any coupons have been established in conformity with the provisions of this Indenture; and</w:t>
      </w:r>
    </w:p>
    <w:p>
      <w:pPr>
        <w:spacing w:after="0" w:line="113" w:lineRule="exact"/>
        <w:rPr>
          <w:rFonts w:ascii="Arial" w:cs="Arial" w:eastAsia="Arial" w:hAnsi="Arial"/>
          <w:sz w:val="16"/>
          <w:szCs w:val="16"/>
          <w:color w:val="auto"/>
        </w:rPr>
      </w:pPr>
    </w:p>
    <w:p>
      <w:pPr>
        <w:ind w:left="920" w:right="40" w:firstLine="421"/>
        <w:spacing w:after="0" w:line="253" w:lineRule="auto"/>
        <w:tabs>
          <w:tab w:leader="none" w:pos="15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that 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 any coupons; and</w:t>
      </w:r>
    </w:p>
    <w:p>
      <w:pPr>
        <w:spacing w:after="0" w:line="66" w:lineRule="exact"/>
        <w:rPr>
          <w:sz w:val="20"/>
          <w:szCs w:val="20"/>
          <w:color w:val="auto"/>
        </w:rPr>
      </w:pPr>
    </w:p>
    <w:p>
      <w:pPr>
        <w:ind w:left="460" w:right="120" w:firstLine="443"/>
        <w:spacing w:after="0" w:line="268" w:lineRule="auto"/>
        <w:tabs>
          <w:tab w:leader="none" w:pos="11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Officer’s Certificate stating, to the best of the knowledge of the signers of such certificate, that no Event of Default with respect to any of the Securities shall have occurred and be continuing.</w:t>
      </w:r>
    </w:p>
    <w:p>
      <w:pPr>
        <w:spacing w:after="0" w:line="132"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color w:val="auto"/>
        </w:rPr>
        <w:t>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37" w:name="page38"/>
    <w:bookmarkEnd w:id="37"/>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which is not reasonably acceptable to the Trustee. Notwithstanding the generality of the foregoing, the Trustee shall not be required to authenticate Securities denominated in a Foreign Currency if the Trustee reasonably believes that it would be unable to perform its duties with respect to such Securities.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304. Temporary Securities.</w:t>
      </w:r>
    </w:p>
    <w:p>
      <w:pPr>
        <w:spacing w:after="0" w:line="96" w:lineRule="exact"/>
        <w:rPr>
          <w:sz w:val="20"/>
          <w:szCs w:val="20"/>
          <w:color w:val="auto"/>
        </w:rPr>
      </w:pPr>
    </w:p>
    <w:p>
      <w:pPr>
        <w:ind w:firstLine="464"/>
        <w:spacing w:after="0" w:line="294"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Except in the case of temporary Securities in global form (which shall be exchanged in accordance with Section 304(b) or as otherwise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and the Trustee shall authenticate and deliver in exchange therefor a like principal amount and like tenor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8" w:name="page39"/>
    <w:bookmarkEnd w:id="38"/>
    <w:p>
      <w:pPr>
        <w:jc w:val="both"/>
        <w:ind w:right="80" w:firstLine="464"/>
        <w:spacing w:after="0" w:line="298" w:lineRule="auto"/>
        <w:tabs>
          <w:tab w:leader="none" w:pos="705"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provided in or pursuant to a Board Resolution, this Section 304(b) shall govern the exchange of temporary Securities issued in global form. 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or to the Security Registrar,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A-2 to this Indenture or in such other form as may be established pursuant to Section 301;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definitive Bearer Securities shall be delivered in exchange for a portion of a temporary global Security only in compliance with the requirements of Section 303.</w:t>
      </w:r>
    </w:p>
    <w:p>
      <w:pPr>
        <w:spacing w:after="0" w:line="10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outside the United States.</w:t>
      </w:r>
    </w:p>
    <w:p>
      <w:pPr>
        <w:spacing w:after="0" w:line="12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9" w:name="page40"/>
    <w:bookmarkEnd w:id="39"/>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or the applicable Paying Agent of a certificate or certificates in the form set forth in Exhibit A-2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Exhibit A-1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or the applicable Paying Agent immediately prior to the expiration of two years after such Interest Payment Date in order to be repaid to the Company.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305. Registration, Registration of Transfer and Exchange.</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0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40" w:name="page41"/>
    <w:bookmarkEnd w:id="40"/>
    <w:p>
      <w:pPr>
        <w:ind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3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2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Whenever any Securities are so surrendered for exchange, the Company shall execute, and the Trustee shall authenticate and deliver, the Securities which the Holder making the exchange is entitled to receive.</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41" w:name="page42"/>
    <w:bookmarkEnd w:id="4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exchanged which, unless the Securities of the series are not issuable both as Bearer Securities and as Registered Securities, in which case the definitive Securities exchanged for the permanent global Security shall be issuable only in the form in which the Securities are issuable, as specified as contemplated by Section 301, shall be in the form of Bearer Securities or Registered Securities, or any combination thereof, as shall be specified by the beneficial owner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 xml:space="preserve">r,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2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8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40"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 xml:space="preserve">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306. Mutilated, Destroyed, Lost and Stolen Securities.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there shall be delivered to the Company and to the Trustee (i) evidence to their satisfaction of the destruction, loss or theft of any Security or coupon, and</w:t>
      </w:r>
    </w:p>
    <w:p>
      <w:pPr>
        <w:spacing w:after="0" w:line="50"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then, in the absence of notice to the</w:t>
      </w:r>
    </w:p>
    <w:p>
      <w:pPr>
        <w:spacing w:after="0" w:line="32" w:lineRule="exact"/>
        <w:rPr>
          <w:rFonts w:ascii="Arial" w:cs="Arial" w:eastAsia="Arial" w:hAnsi="Arial"/>
          <w:sz w:val="16"/>
          <w:szCs w:val="16"/>
          <w:color w:val="auto"/>
        </w:rPr>
      </w:pPr>
    </w:p>
    <w:p>
      <w:pPr>
        <w:ind w:right="40"/>
        <w:spacing w:after="0" w:line="292" w:lineRule="auto"/>
        <w:rPr>
          <w:rFonts w:ascii="Arial" w:cs="Arial" w:eastAsia="Arial" w:hAnsi="Arial"/>
          <w:sz w:val="16"/>
          <w:szCs w:val="16"/>
          <w:color w:val="auto"/>
        </w:rPr>
      </w:pPr>
      <w:r>
        <w:rPr>
          <w:rFonts w:ascii="Arial" w:cs="Arial" w:eastAsia="Arial" w:hAnsi="Arial"/>
          <w:sz w:val="16"/>
          <w:szCs w:val="16"/>
          <w:color w:val="auto"/>
        </w:rPr>
        <w:t>Company or the Trustee that such Security or coupon has been acquired by a protected purchaser, the Company shall, subject to the following paragraph,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principal of (and premium,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2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9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307. Payment of Interest; Interest Rights Preserved; Optional Interest Reset.</w:t>
      </w:r>
    </w:p>
    <w:p>
      <w:pPr>
        <w:spacing w:after="0" w:line="96" w:lineRule="exact"/>
        <w:rPr>
          <w:sz w:val="20"/>
          <w:szCs w:val="20"/>
          <w:color w:val="auto"/>
        </w:rPr>
      </w:pPr>
    </w:p>
    <w:p>
      <w:pPr>
        <w:ind w:right="20" w:firstLine="464"/>
        <w:spacing w:after="0" w:line="291"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if any, may be made, in the case of a Bearer Security, by transfer to an account maintained by the payee with a bank located outside the United States.</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shall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shall be payable only to the Holder of such coupon when due in accordance with the provisions of this Indenture.</w:t>
      </w:r>
    </w:p>
    <w:p>
      <w:pPr>
        <w:spacing w:after="0" w:line="11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32" w:lineRule="exact"/>
        <w:rPr>
          <w:sz w:val="20"/>
          <w:szCs w:val="20"/>
          <w:color w:val="auto"/>
        </w:rPr>
      </w:pPr>
    </w:p>
    <w:p>
      <w:pPr>
        <w:ind w:left="460" w:right="20" w:firstLine="443"/>
        <w:spacing w:after="0" w:line="289" w:lineRule="auto"/>
        <w:tabs>
          <w:tab w:leader="none" w:pos="11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44" w:name="page45"/>
    <w:bookmarkEnd w:id="44"/>
    <w:p>
      <w:pPr>
        <w:ind w:lef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47" w:lineRule="exact"/>
        <w:rPr>
          <w:sz w:val="20"/>
          <w:szCs w:val="20"/>
          <w:color w:val="auto"/>
        </w:rPr>
      </w:pPr>
    </w:p>
    <w:p>
      <w:pPr>
        <w:ind w:left="460" w:firstLine="443"/>
        <w:spacing w:after="0" w:line="256" w:lineRule="auto"/>
        <w:tabs>
          <w:tab w:leader="none" w:pos="11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3" w:lineRule="exact"/>
        <w:rPr>
          <w:rFonts w:ascii="Arial" w:cs="Arial" w:eastAsia="Arial" w:hAnsi="Arial"/>
          <w:sz w:val="18"/>
          <w:szCs w:val="18"/>
          <w:color w:val="auto"/>
        </w:rPr>
      </w:pPr>
    </w:p>
    <w:p>
      <w:pPr>
        <w:ind w:right="20" w:firstLine="464"/>
        <w:spacing w:after="0" w:line="287" w:lineRule="auto"/>
        <w:tabs>
          <w:tab w:leader="none" w:pos="7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spacing w:after="0" w:line="12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45" w:name="page46"/>
    <w:bookmarkEnd w:id="45"/>
    <w:p>
      <w:pPr>
        <w:jc w:val="both"/>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4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308. Optional Extension of Maturity.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“Original Stated Maturity”). If the Company exercises such option, the Trustee shall transmit, in the manner provided for in Section 106, to the Holder of such Security not later than 40 days prior to the Original Stated Maturity a notice (the “Extension Notice”),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Notwithstanding the foregoing, not later than 20 days before the Original Stated Maturity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46" w:name="page47"/>
    <w:bookmarkEnd w:id="46"/>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309. Persons Deemed Owners.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4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310. Cancellation.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Securities and coupons surrendered for payment, redemption, repayment at the option of the Holder, registration of transfer or exchange or for credit against any sinking fund payment shall, if surrendered to any Person other than the Trustee, be delivered to the Trustee, and any such Securities and coupons and Securities and coupons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47" w:name="page48"/>
    <w:bookmarkEnd w:id="47"/>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destroyed by the Trustee in accordance with its customary procedures, unless by a Company Order the Company directs the Trustee to deliver a certificate of such destruction to the Company or to return them to the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311. Computation of Interest.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312. Currency and Manner of Payments in Respect of Securities.</w:t>
      </w:r>
    </w:p>
    <w:p>
      <w:pPr>
        <w:spacing w:after="0" w:line="96" w:lineRule="exact"/>
        <w:rPr>
          <w:sz w:val="20"/>
          <w:szCs w:val="20"/>
          <w:color w:val="auto"/>
        </w:rPr>
      </w:pPr>
    </w:p>
    <w:p>
      <w:pPr>
        <w:ind w:right="120" w:firstLine="464"/>
        <w:spacing w:after="0" w:line="294" w:lineRule="auto"/>
        <w:tabs>
          <w:tab w:leader="none" w:pos="695" w:val="left"/>
        </w:tabs>
        <w:numPr>
          <w:ilvl w:val="1"/>
          <w:numId w:val="45"/>
        </w:numPr>
        <w:rPr>
          <w:rFonts w:ascii="Arial" w:cs="Arial" w:eastAsia="Arial" w:hAnsi="Arial"/>
          <w:sz w:val="16"/>
          <w:szCs w:val="16"/>
          <w:color w:val="auto"/>
        </w:rPr>
      </w:pPr>
      <w:r>
        <w:rPr>
          <w:rFonts w:ascii="Arial" w:cs="Arial" w:eastAsia="Arial" w:hAnsi="Arial"/>
          <w:sz w:val="16"/>
          <w:szCs w:val="16"/>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(and premium, if any) and interest, if any, on any Registered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1"/>
          <w:numId w:val="45"/>
        </w:numPr>
        <w:rPr>
          <w:rFonts w:ascii="Arial" w:cs="Arial" w:eastAsia="Arial" w:hAnsi="Arial"/>
          <w:sz w:val="15"/>
          <w:szCs w:val="15"/>
          <w:color w:val="auto"/>
        </w:rPr>
      </w:pPr>
      <w:r>
        <w:rPr>
          <w:rFonts w:ascii="Arial" w:cs="Arial" w:eastAsia="Arial" w:hAnsi="Arial"/>
          <w:sz w:val="15"/>
          <w:szCs w:val="15"/>
          <w:color w:val="auto"/>
        </w:rPr>
        <w:t>It may be provided pursuant to Section 301 with respect to Registered Securities of any series that Holders shall have the option, subject to paragraphs</w:t>
      </w:r>
    </w:p>
    <w:p>
      <w:pPr>
        <w:spacing w:after="0" w:line="49" w:lineRule="exact"/>
        <w:rPr>
          <w:rFonts w:ascii="Arial" w:cs="Arial" w:eastAsia="Arial" w:hAnsi="Arial"/>
          <w:sz w:val="15"/>
          <w:szCs w:val="15"/>
          <w:color w:val="auto"/>
        </w:rPr>
      </w:pPr>
    </w:p>
    <w:p>
      <w:pPr>
        <w:ind w:firstLine="8"/>
        <w:spacing w:after="0" w:line="285"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pacing w:after="0" w:line="124" w:lineRule="exact"/>
        <w:rPr>
          <w:rFonts w:ascii="Arial" w:cs="Arial" w:eastAsia="Arial" w:hAnsi="Arial"/>
          <w:sz w:val="16"/>
          <w:szCs w:val="16"/>
          <w:color w:val="auto"/>
        </w:rPr>
      </w:pPr>
    </w:p>
    <w:p>
      <w:pPr>
        <w:ind w:right="220" w:firstLine="464"/>
        <w:spacing w:after="0" w:line="256"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shall deliver to the Company a written notice specifying the Currency in which Registered Securities of such series are payable,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8" w:name="page49"/>
    <w:bookmarkEnd w:id="48"/>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shall deliver to the Trustee for such series of Registered Securities an Exchange Rate Officer’s Certificate in respect of the Dollar or Foreign Currency or Currencies payments to be made on such payment date. Unless otherwise specified pursuant to Section 301, the Dollar or Foreign Currency or Currencies amount receivable by Holders of Registered Securities who have elected payment in a Currency as provided in paragraph</w:t>
      </w:r>
    </w:p>
    <w:p>
      <w:pPr>
        <w:spacing w:after="0" w:line="5" w:lineRule="exact"/>
        <w:rPr>
          <w:sz w:val="20"/>
          <w:szCs w:val="20"/>
          <w:color w:val="auto"/>
        </w:rPr>
      </w:pPr>
    </w:p>
    <w:p>
      <w:pPr>
        <w:ind w:right="100" w:firstLine="8"/>
        <w:spacing w:after="0" w:line="323"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above shall be determined by the Company on the basis of the applicable Market Exchange Rate in effect on the second Business Day (the “Valuation Date”) immediately preceding each payment date, and such determination shall be conclusive and binding for all purposes, absent manifest error.</w:t>
      </w:r>
    </w:p>
    <w:p>
      <w:pPr>
        <w:spacing w:after="0" w:line="92" w:lineRule="exact"/>
        <w:rPr>
          <w:rFonts w:ascii="Arial" w:cs="Arial" w:eastAsia="Arial" w:hAnsi="Arial"/>
          <w:sz w:val="16"/>
          <w:szCs w:val="16"/>
          <w:color w:val="auto"/>
        </w:rPr>
      </w:pPr>
    </w:p>
    <w:p>
      <w:pPr>
        <w:ind w:right="80" w:firstLine="464"/>
        <w:spacing w:after="0" w:line="289" w:lineRule="auto"/>
        <w:tabs>
          <w:tab w:leader="none" w:pos="705"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18" w:lineRule="exact"/>
        <w:rPr>
          <w:rFonts w:ascii="Arial" w:cs="Arial" w:eastAsia="Arial" w:hAnsi="Arial"/>
          <w:sz w:val="16"/>
          <w:szCs w:val="16"/>
          <w:color w:val="auto"/>
        </w:rPr>
      </w:pPr>
    </w:p>
    <w:p>
      <w:pPr>
        <w:jc w:val="both"/>
        <w:ind w:right="40" w:firstLine="464"/>
        <w:spacing w:after="0" w:line="323" w:lineRule="auto"/>
        <w:tabs>
          <w:tab w:leader="none" w:pos="695" w:val="left"/>
        </w:tabs>
        <w:numPr>
          <w:ilvl w:val="1"/>
          <w:numId w:val="47"/>
        </w:numPr>
        <w:rPr>
          <w:rFonts w:ascii="Arial" w:cs="Arial" w:eastAsia="Arial" w:hAnsi="Arial"/>
          <w:sz w:val="15"/>
          <w:szCs w:val="15"/>
          <w:color w:val="auto"/>
        </w:rPr>
      </w:pPr>
      <w:r>
        <w:rPr>
          <w:rFonts w:ascii="Arial" w:cs="Arial" w:eastAsia="Arial" w:hAnsi="Arial"/>
          <w:sz w:val="15"/>
          <w:szCs w:val="15"/>
          <w:color w:val="auto"/>
        </w:rPr>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Section 312.</w:t>
      </w:r>
    </w:p>
    <w:p>
      <w:pPr>
        <w:spacing w:after="0" w:line="97" w:lineRule="exact"/>
        <w:rPr>
          <w:rFonts w:ascii="Arial" w:cs="Arial" w:eastAsia="Arial" w:hAnsi="Arial"/>
          <w:sz w:val="15"/>
          <w:szCs w:val="15"/>
          <w:color w:val="auto"/>
        </w:rPr>
      </w:pPr>
    </w:p>
    <w:p>
      <w:pPr>
        <w:ind w:right="160" w:firstLine="464"/>
        <w:spacing w:after="0" w:line="268" w:lineRule="auto"/>
        <w:tabs>
          <w:tab w:leader="none" w:pos="676"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“Dollar Equivalent of the Foreign Currency” shall be determined by the Exchange Rate Agent and shall be obtained for each subsequent payment date by converting the specified Foreign Currency into Dollars at the Market Exchange Rate on the Conversion Date.</w:t>
      </w:r>
    </w:p>
    <w:p>
      <w:pPr>
        <w:spacing w:after="0" w:line="131" w:lineRule="exact"/>
        <w:rPr>
          <w:rFonts w:ascii="Arial" w:cs="Arial" w:eastAsia="Arial" w:hAnsi="Arial"/>
          <w:sz w:val="18"/>
          <w:szCs w:val="18"/>
          <w:color w:val="auto"/>
        </w:rPr>
      </w:pPr>
    </w:p>
    <w:p>
      <w:pPr>
        <w:ind w:right="200" w:firstLine="464"/>
        <w:spacing w:after="0" w:line="259" w:lineRule="auto"/>
        <w:tabs>
          <w:tab w:leader="none" w:pos="7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“Dollar Equivalent of the Currency Unit”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90" w:lineRule="exact"/>
        <w:rPr>
          <w:sz w:val="20"/>
          <w:szCs w:val="20"/>
          <w:color w:val="auto"/>
        </w:rPr>
      </w:pPr>
    </w:p>
    <w:p>
      <w:pPr>
        <w:ind w:left="460" w:right="640" w:firstLine="438"/>
        <w:spacing w:after="0" w:line="268"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Component Currency</w:t>
      </w:r>
      <w:r>
        <w:rPr>
          <w:rFonts w:ascii="Arial" w:cs="Arial" w:eastAsia="Arial" w:hAnsi="Arial"/>
          <w:sz w:val="18"/>
          <w:szCs w:val="18"/>
          <w:color w:val="auto"/>
        </w:rPr>
        <w:t>” shall mean any currency which, on the Conversion Date, was a component currency of the relevant currency unit, including, but not limited to, the Euro.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9" w:name="page50"/>
    <w:bookmarkEnd w:id="49"/>
    <w:p>
      <w:pPr>
        <w:ind w:left="460" w:firstLine="438"/>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w:t>
      </w:r>
      <w:r>
        <w:rPr>
          <w:rFonts w:ascii="Arial" w:cs="Arial" w:eastAsia="Arial" w:hAnsi="Arial"/>
          <w:sz w:val="16"/>
          <w:szCs w:val="16"/>
          <w:u w:val="single" w:color="auto"/>
          <w:color w:val="auto"/>
        </w:rPr>
        <w:t>Specified Amount</w:t>
      </w:r>
      <w:r>
        <w:rPr>
          <w:rFonts w:ascii="Arial" w:cs="Arial" w:eastAsia="Arial" w:hAnsi="Arial"/>
          <w:sz w:val="16"/>
          <w:szCs w:val="16"/>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45"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Election Date</w:t>
      </w:r>
      <w:r>
        <w:rPr>
          <w:rFonts w:ascii="Arial" w:cs="Arial" w:eastAsia="Arial" w:hAnsi="Arial"/>
          <w:sz w:val="18"/>
          <w:szCs w:val="18"/>
          <w:color w:val="auto"/>
        </w:rPr>
        <w:t>” shall mean the Regular Record Date for the applicable series of Registered Securities or at least 16 days prior to Maturity, as the case may be, or such other prior date for any series of Registered Securities as specified pursuant to clause 13 of Section 301 by which the written election referred to in Section 312(b) may be made.</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event that the Company determines in good faith that a Conversion Event has occurred with respect to a Foreign Currency,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In the event the Company so determines that a Conversion Event has occurred with respect to the Euro or any other currency unit in which Securities are denominated or payable,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shall similarly give written notice to the Trustee of the appropriate series of Securities and to the Exchange Rate Agent.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80" w:right="319" w:bottom="1440" w:gutter="0" w:footer="0" w:header="0"/>
        </w:sectPr>
      </w:pPr>
    </w:p>
    <w:bookmarkStart w:id="50" w:name="page51"/>
    <w:bookmarkEnd w:id="5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313. Appointment and Resignation of Successor Exchange Rate Agent.</w:t>
      </w:r>
    </w:p>
    <w:p>
      <w:pPr>
        <w:spacing w:after="0" w:line="96" w:lineRule="exact"/>
        <w:rPr>
          <w:sz w:val="20"/>
          <w:szCs w:val="20"/>
          <w:color w:val="auto"/>
        </w:rPr>
      </w:pPr>
    </w:p>
    <w:p>
      <w:pPr>
        <w:ind w:right="140" w:firstLine="464"/>
        <w:spacing w:after="0" w:line="291"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and so long as the Securities of any series (i) are denominated in a Foreign Currency or (ii) may be payable in a Foreign Currency, or so long as it is required under any other provision of this Indenture, then the Company shall maintain with respect to each such series of Securities, or as so required, at least one Exchange Rate Agent. The Company shall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20" w:lineRule="exact"/>
        <w:rPr>
          <w:rFonts w:ascii="Arial" w:cs="Arial" w:eastAsia="Arial" w:hAnsi="Arial"/>
          <w:sz w:val="16"/>
          <w:szCs w:val="16"/>
          <w:color w:val="auto"/>
        </w:rPr>
      </w:pPr>
    </w:p>
    <w:p>
      <w:pPr>
        <w:ind w:right="80" w:firstLine="464"/>
        <w:spacing w:after="0" w:line="306"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06" w:lineRule="exact"/>
        <w:rPr>
          <w:rFonts w:ascii="Arial" w:cs="Arial" w:eastAsia="Arial" w:hAnsi="Arial"/>
          <w:sz w:val="16"/>
          <w:szCs w:val="16"/>
          <w:color w:val="auto"/>
        </w:rPr>
      </w:pPr>
    </w:p>
    <w:p>
      <w:pPr>
        <w:ind w:firstLine="464"/>
        <w:spacing w:after="0" w:line="291"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314. CUSIP Numbers.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that any such redemption shall not be affected by any defect in or omission of such numbers. The Company shall advise the Trustee as promptly as practicable in writing of any change in the CUSIP numbers.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51" w:name="page52"/>
    <w:bookmarkEnd w:id="51"/>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FOUR</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SATISFACTION AND DISCHARGE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401. Satisfaction and Discharge of Indenture.</w:t>
      </w:r>
    </w:p>
    <w:p>
      <w:pPr>
        <w:spacing w:after="0" w:line="96"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w:t>
      </w:r>
    </w:p>
    <w:p>
      <w:pPr>
        <w:spacing w:after="0" w:line="143"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firstLine="443"/>
        <w:spacing w:after="0" w:line="290" w:lineRule="auto"/>
        <w:tabs>
          <w:tab w:leader="none" w:pos="1186"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37" w:lineRule="exact"/>
        <w:rPr>
          <w:rFonts w:ascii="Arial" w:cs="Arial" w:eastAsia="Arial" w:hAnsi="Arial"/>
          <w:sz w:val="16"/>
          <w:szCs w:val="16"/>
          <w:color w:val="auto"/>
        </w:rPr>
      </w:pPr>
    </w:p>
    <w:p>
      <w:pPr>
        <w:jc w:val="both"/>
        <w:ind w:left="460" w:right="380" w:firstLine="443"/>
        <w:spacing w:after="0" w:line="256" w:lineRule="auto"/>
        <w:tabs>
          <w:tab w:leader="none" w:pos="117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in the name, and at the expense, of the Company,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and the Company, in the case of clause B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and such coupons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43" w:lineRule="exact"/>
        <w:rPr>
          <w:sz w:val="20"/>
          <w:szCs w:val="20"/>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irrevocably paid or caused to be irrevocably paid all other sums payable hereunder by the Company; and</w:t>
      </w:r>
    </w:p>
    <w:p>
      <w:pPr>
        <w:spacing w:after="0" w:line="17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2" w:name="page53"/>
    <w:bookmarkEnd w:id="52"/>
    <w:p>
      <w:pPr>
        <w:ind w:right="2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w:t>
      </w:r>
    </w:p>
    <w:p>
      <w:pPr>
        <w:ind w:right="400" w:firstLine="8"/>
        <w:spacing w:after="0" w:line="261" w:lineRule="auto"/>
        <w:tabs>
          <w:tab w:leader="none" w:pos="2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 clause (1) of this Section, the obligations of the Trustee under Section 402 and the last paragraph of Section 1003 shall survive any termination of this Indenture.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402. Application of Trust Funds.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REMEDIES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501. Events of Default.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spacing w:after="0" w:line="143" w:lineRule="exact"/>
        <w:rPr>
          <w:sz w:val="20"/>
          <w:szCs w:val="20"/>
          <w:color w:val="auto"/>
        </w:rPr>
      </w:pPr>
    </w:p>
    <w:p>
      <w:pPr>
        <w:ind w:firstLine="464"/>
        <w:spacing w:after="0" w:line="268"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or of any coupon appertaining thereto, when such interest or coupon becomes due and payable, and continuance of such default for a period of 30 days;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default in the payment of the principal of (or premium, if any) any Security of that series when it becomes due and payable at its Maturity; or</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Security of that series; or</w:t>
      </w:r>
    </w:p>
    <w:p>
      <w:pPr>
        <w:spacing w:after="0" w:line="171" w:lineRule="exact"/>
        <w:rPr>
          <w:rFonts w:ascii="Arial" w:cs="Arial" w:eastAsia="Arial" w:hAnsi="Arial"/>
          <w:sz w:val="18"/>
          <w:szCs w:val="18"/>
          <w:color w:val="auto"/>
        </w:rPr>
      </w:pPr>
    </w:p>
    <w:p>
      <w:pPr>
        <w:ind w:right="140" w:firstLine="464"/>
        <w:spacing w:after="0" w:line="291"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Company in this Indenture with respect to any Security of that series (other than a covenant or agreement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53" w:name="page54"/>
    <w:bookmarkEnd w:id="53"/>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pursuant to or within the meaning of any Bankruptcy Law:</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commences a voluntary case or proceeding under any Bankruptcy Law,</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76"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consents to the commencement of any bankruptcy or insolvency case or proceeding against it, or files a petition or answer or consent seeking reorganization or relief against it,</w:t>
      </w:r>
    </w:p>
    <w:p>
      <w:pPr>
        <w:spacing w:after="0" w:line="50" w:lineRule="exact"/>
        <w:rPr>
          <w:rFonts w:ascii="Arial" w:cs="Arial" w:eastAsia="Arial" w:hAnsi="Arial"/>
          <w:sz w:val="18"/>
          <w:szCs w:val="18"/>
          <w:color w:val="auto"/>
        </w:rPr>
      </w:pPr>
    </w:p>
    <w:p>
      <w:pPr>
        <w:ind w:left="1180" w:hanging="277"/>
        <w:spacing w:after="0"/>
        <w:tabs>
          <w:tab w:leader="none" w:pos="11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consents to the entry of a decree or order for relief against it in an involuntary case or proceeding,</w:t>
      </w:r>
    </w:p>
    <w:p>
      <w:pPr>
        <w:spacing w:after="0" w:line="90" w:lineRule="exact"/>
        <w:rPr>
          <w:rFonts w:ascii="Arial" w:cs="Arial" w:eastAsia="Arial" w:hAnsi="Arial"/>
          <w:sz w:val="18"/>
          <w:szCs w:val="18"/>
          <w:color w:val="auto"/>
        </w:rPr>
      </w:pPr>
    </w:p>
    <w:p>
      <w:pPr>
        <w:ind w:left="460" w:firstLine="443"/>
        <w:spacing w:after="0" w:line="268" w:lineRule="auto"/>
        <w:tabs>
          <w:tab w:leader="none" w:pos="1186"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consents to the filing of such petition or to the appointment of, or taking possession by, a Custodian of the Company or for all or substantially all of the Company’s property, or</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66" w:val="left"/>
        </w:tabs>
        <w:numPr>
          <w:ilvl w:val="1"/>
          <w:numId w:val="53"/>
        </w:numPr>
        <w:rPr>
          <w:rFonts w:ascii="Arial" w:cs="Arial" w:eastAsia="Arial" w:hAnsi="Arial"/>
          <w:sz w:val="18"/>
          <w:szCs w:val="18"/>
          <w:color w:val="auto"/>
        </w:rPr>
      </w:pPr>
      <w:r>
        <w:rPr>
          <w:rFonts w:ascii="Arial" w:cs="Arial" w:eastAsia="Arial" w:hAnsi="Arial"/>
          <w:sz w:val="18"/>
          <w:szCs w:val="18"/>
          <w:color w:val="auto"/>
        </w:rPr>
        <w:t>makes an assignment for the benefit of creditors, or admits in writing of its inability to pay its debts generally as they become due or takes any corporate action in furtherance of any such action;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 or proceeding, or</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7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50" w:lineRule="exact"/>
        <w:rPr>
          <w:rFonts w:ascii="Arial" w:cs="Arial" w:eastAsia="Arial" w:hAnsi="Arial"/>
          <w:sz w:val="18"/>
          <w:szCs w:val="18"/>
          <w:color w:val="auto"/>
        </w:rPr>
      </w:pPr>
    </w:p>
    <w:p>
      <w:pPr>
        <w:ind w:left="1180" w:hanging="277"/>
        <w:spacing w:after="0"/>
        <w:tabs>
          <w:tab w:leader="none" w:pos="11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and the continuance of any such decree or order for relief or any such other decree or order unstayed and in effect for a period of 123 consecutive days; or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any other Event of Default provided with respect to Securities of that series.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term “Bankruptcy Law” means title 11, U.S. Code or any applicable federal or state bankruptcy, insolvency, reorganization or other similar law. The term “Custodian” means any custodian, receiver, trustee, assignee, liquidator, sequestrator or other similar official under any Bankruptcy Law.</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502. Acceleration of Maturity; Rescission and Annulment.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then and in every such case the Trustee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54" w:name="page55"/>
    <w:bookmarkEnd w:id="5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107" w:lineRule="exact"/>
        <w:rPr>
          <w:sz w:val="20"/>
          <w:szCs w:val="20"/>
          <w:color w:val="auto"/>
        </w:rPr>
      </w:pPr>
    </w:p>
    <w:p>
      <w:pPr>
        <w:ind w:right="40" w:firstLine="464"/>
        <w:spacing w:after="0" w:line="332" w:lineRule="auto"/>
        <w:tabs>
          <w:tab w:leader="none" w:pos="7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overdue installments of interest, if any, on all Outstanding Securities of that series and any related coupons,</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76"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principal of (and premium, if any) all Outstanding Securities of that series which have become due otherwise than by such declaration of acceleration and interest thereon at the rate or rates borne by or provided for in such Securities,</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76"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8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31"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Events of Default with respect to Securities of that series, other than the nonpayment of the principal of (or premium, if any) or interest on Securities of that series which have become due solely by such declaration of acceleration, have been cured or waived as provided in Section 513.</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503. Collection of Indebtedness and Suits for Enforcement by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171" w:lineRule="exact"/>
        <w:rPr>
          <w:sz w:val="20"/>
          <w:szCs w:val="20"/>
          <w:color w:val="auto"/>
        </w:rPr>
      </w:pPr>
    </w:p>
    <w:p>
      <w:pPr>
        <w:ind w:right="120" w:firstLine="464"/>
        <w:spacing w:after="0" w:line="268"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any Security of any series at its Maturity,</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then the Company will, upon demand of the Trustee, pay to the Trustee, for the benefit of the Holders of Securities of such series and coupons, the whole amount then due and payable on such Securities and coupons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55" w:name="page56"/>
    <w:bookmarkEnd w:id="55"/>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1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504. Trustee May File Proofs of Claim.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62" w:lineRule="exact"/>
        <w:rPr>
          <w:sz w:val="20"/>
          <w:szCs w:val="20"/>
          <w:color w:val="auto"/>
        </w:rPr>
      </w:pPr>
    </w:p>
    <w:p>
      <w:pPr>
        <w:ind w:left="460" w:firstLine="443"/>
        <w:spacing w:after="0" w:line="298" w:lineRule="auto"/>
        <w:tabs>
          <w:tab w:leader="none" w:pos="110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71" w:lineRule="exact"/>
        <w:rPr>
          <w:sz w:val="20"/>
          <w:szCs w:val="20"/>
          <w:color w:val="auto"/>
        </w:rPr>
      </w:pPr>
    </w:p>
    <w:p>
      <w:pPr>
        <w:jc w:val="both"/>
        <w:ind w:right="460"/>
        <w:spacing w:after="0" w:line="323" w:lineRule="auto"/>
        <w:rPr>
          <w:sz w:val="20"/>
          <w:szCs w:val="20"/>
          <w:color w:val="auto"/>
        </w:rPr>
      </w:pPr>
      <w:r>
        <w:rPr>
          <w:rFonts w:ascii="Arial" w:cs="Arial" w:eastAsia="Arial" w:hAnsi="Arial"/>
          <w:sz w:val="15"/>
          <w:szCs w:val="15"/>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Article Eight and Section 902 and unless otherwise provided as contemplated by Section 301, 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505. Trustee May Enforce Claims Without Possession of Securities or Coupons.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506. Application of Money Collected.</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or coupons, or both, as the case may be, and the notation thereon of the payment if only partially paid and upon surrender thereof if fully paid:</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90" w:lineRule="exact"/>
        <w:rPr>
          <w:sz w:val="20"/>
          <w:szCs w:val="20"/>
          <w:color w:val="auto"/>
        </w:rPr>
      </w:pPr>
    </w:p>
    <w:p>
      <w:pPr>
        <w:ind w:left="460" w:right="200" w:firstLine="438"/>
        <w:spacing w:after="0" w:line="306" w:lineRule="auto"/>
        <w:rPr>
          <w:sz w:val="20"/>
          <w:szCs w:val="20"/>
          <w:color w:val="auto"/>
        </w:rPr>
      </w:pPr>
      <w:r>
        <w:rPr>
          <w:rFonts w:ascii="Arial" w:cs="Arial" w:eastAsia="Arial" w:hAnsi="Arial"/>
          <w:sz w:val="16"/>
          <w:szCs w:val="16"/>
          <w:color w:val="auto"/>
        </w:rPr>
        <w:t>SECOND: To the payment of the amounts then due and unpaid upon the Securities and coupons for principal (and premium, if any) and interest, if any, in respect of which or for the benefit of which such money has been collected, ratably, without preference or priority of any kind, according to the aggregate amounts due and payable on such Securities and coupons for principal (and premium, if any) and interest, if any, respectively; and</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THIRD: To the payment of the remainder, if any, to the Company or any other Person or Persons entitled thereto.</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507. Limitation on Suits.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Holder of any Security of any series or any related coupon shall have any right to institute any proceeding, judicial or otherwise, with respect to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 or for the appointment of a receiver or trustee, or for any other remedy hereunder, unless:</w:t>
      </w:r>
    </w:p>
    <w:p>
      <w:pPr>
        <w:spacing w:after="0" w:line="165" w:lineRule="exact"/>
        <w:rPr>
          <w:sz w:val="20"/>
          <w:szCs w:val="20"/>
          <w:color w:val="auto"/>
        </w:rPr>
      </w:pPr>
    </w:p>
    <w:p>
      <w:pPr>
        <w:ind w:left="720" w:hanging="256"/>
        <w:spacing w:after="0"/>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94" w:lineRule="exact"/>
        <w:rPr>
          <w:rFonts w:ascii="Arial" w:cs="Arial" w:eastAsia="Arial" w:hAnsi="Arial"/>
          <w:sz w:val="16"/>
          <w:szCs w:val="16"/>
          <w:color w:val="auto"/>
        </w:rPr>
      </w:pPr>
    </w:p>
    <w:p>
      <w:pPr>
        <w:ind w:right="500" w:firstLine="464"/>
        <w:spacing w:after="0" w:line="268"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7" w:name="page58"/>
    <w:bookmarkEnd w:id="57"/>
    <w:p>
      <w:pPr>
        <w:ind w:right="300"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direction inconsistent with such written request has been given to the Trustee during such 60-day period by the Holders of a majority in principal amount of the Outstanding Securities of that series;</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508. Unconditional Right of Holders to Receive Principal, Premium and Interest.</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Notwithstanding any other provision in this Indenture, the Holder of any Security or coupon shall have the right which is absolute and unconditional to receive payment of the principal of (and premium, if any) and (subject to Sections 305 and 307) interest, if any, on such Security or payment of such coupon on the Stated Maturity or Maturities expressed in such Security or coupon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509. Restoration of Rights and Remedies.</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512. Control by Holders of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40" w:lineRule="exact"/>
        <w:rPr>
          <w:sz w:val="20"/>
          <w:szCs w:val="20"/>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unjustly prejudicial to the Holders of Securities of such series not consenting.</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513. Waiver of Past Defaults.</w:t>
      </w:r>
    </w:p>
    <w:p>
      <w:pPr>
        <w:spacing w:after="0" w:line="96"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Subject to Section 502, the Holders of not less than a majority in principal amount of the Outstanding Securities of any series may on behalf of the Holders of all the Securities of such series and any related coupons waive any past default hereunder with respect to Securities of such series and its consequences, except</w:t>
      </w:r>
    </w:p>
    <w:p>
      <w:pPr>
        <w:ind w:left="120" w:hanging="112"/>
        <w:spacing w:after="0"/>
        <w:tabs>
          <w:tab w:leader="none" w:pos="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default</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if any, on any Security of such series or any related coupons, or</w:t>
      </w:r>
    </w:p>
    <w:p>
      <w:pPr>
        <w:spacing w:after="0" w:line="171" w:lineRule="exact"/>
        <w:rPr>
          <w:rFonts w:ascii="Arial" w:cs="Arial" w:eastAsia="Arial" w:hAnsi="Arial"/>
          <w:sz w:val="18"/>
          <w:szCs w:val="18"/>
          <w:color w:val="auto"/>
        </w:rPr>
      </w:pPr>
    </w:p>
    <w:p>
      <w:pPr>
        <w:ind w:right="560" w:firstLine="464"/>
        <w:spacing w:after="0" w:line="268" w:lineRule="auto"/>
        <w:tabs>
          <w:tab w:leader="none" w:pos="7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514. Waiver of Stay or Extension Laws.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9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SIX</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601. Notice of Defaults.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Within 90 days after the occurrence of any Default hereunder with respect to the Securities of any series, the Trustee shall transmit in the manner and to the extent provided in TIA Section 313(c), notice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59" w:name="page60"/>
    <w:bookmarkEnd w:id="59"/>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Default hereunder known to the Trustee, unless such Default shall have been cured or waived;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the Securities and coupons of such series;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any Default or breach of the character specified in Section 501(4) with respect to the Securities and coupons of such series, no such notice to Holders shall be given until at least 60 days after the occurrence thereof.</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602. Certain Rights of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TIA Section 315(a) through 315(d):</w:t>
      </w:r>
    </w:p>
    <w:p>
      <w:pPr>
        <w:spacing w:after="0" w:line="171" w:lineRule="exact"/>
        <w:rPr>
          <w:sz w:val="20"/>
          <w:szCs w:val="20"/>
          <w:color w:val="auto"/>
        </w:rPr>
      </w:pPr>
    </w:p>
    <w:p>
      <w:pPr>
        <w:ind w:right="120" w:firstLine="464"/>
        <w:spacing w:after="0" w:line="259"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coupon or other paper or document believed by it to be genuine and to have been signed or presented by the proper party or parties.</w:t>
      </w:r>
    </w:p>
    <w:p>
      <w:pPr>
        <w:spacing w:after="0" w:line="140" w:lineRule="exact"/>
        <w:rPr>
          <w:rFonts w:ascii="Arial" w:cs="Arial" w:eastAsia="Arial" w:hAnsi="Arial"/>
          <w:sz w:val="18"/>
          <w:szCs w:val="18"/>
          <w:color w:val="auto"/>
        </w:rPr>
      </w:pPr>
    </w:p>
    <w:p>
      <w:pPr>
        <w:ind w:right="260" w:firstLine="464"/>
        <w:spacing w:after="0" w:line="306"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06"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 Board Resolution, an Opinion of Counsel or an Officer’s Certificate.</w:t>
      </w:r>
    </w:p>
    <w:p>
      <w:pPr>
        <w:spacing w:after="0" w:line="140"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31" w:lineRule="exact"/>
        <w:rPr>
          <w:rFonts w:ascii="Arial" w:cs="Arial" w:eastAsia="Arial" w:hAnsi="Arial"/>
          <w:sz w:val="18"/>
          <w:szCs w:val="18"/>
          <w:color w:val="auto"/>
        </w:rPr>
      </w:pPr>
    </w:p>
    <w:p>
      <w:pPr>
        <w:ind w:right="80" w:firstLine="464"/>
        <w:spacing w:after="0" w:line="306"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reasonable security or indemnity against the costs, expenses and liabilities which might be incurred by it in compliance with such request or direction.</w:t>
      </w:r>
    </w:p>
    <w:p>
      <w:pPr>
        <w:spacing w:after="0" w:line="106" w:lineRule="exact"/>
        <w:rPr>
          <w:rFonts w:ascii="Arial" w:cs="Arial" w:eastAsia="Arial" w:hAnsi="Arial"/>
          <w:sz w:val="16"/>
          <w:szCs w:val="16"/>
          <w:color w:val="auto"/>
        </w:rPr>
      </w:pPr>
    </w:p>
    <w:p>
      <w:pPr>
        <w:ind w:firstLine="464"/>
        <w:spacing w:after="0" w:line="255"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w:t>
      </w:r>
    </w:p>
    <w:p>
      <w:pPr>
        <w:spacing w:after="0" w:line="142"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60" w:name="page61"/>
    <w:bookmarkEnd w:id="60"/>
    <w:p>
      <w:pPr>
        <w:ind w:right="20" w:firstLine="464"/>
        <w:spacing w:after="0" w:line="259"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40"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603. Not Responsible for Recitals or Issuance of Securities.</w:t>
      </w:r>
    </w:p>
    <w:p>
      <w:pPr>
        <w:spacing w:after="0" w:line="96"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604. May Hold Securities.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605. Money Held in Trust.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606. Compensation and Reimbursement and Indemnification of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71" w:lineRule="exact"/>
        <w:rPr>
          <w:sz w:val="20"/>
          <w:szCs w:val="20"/>
          <w:color w:val="auto"/>
        </w:rPr>
      </w:pPr>
    </w:p>
    <w:p>
      <w:pPr>
        <w:ind w:right="120" w:firstLine="464"/>
        <w:spacing w:after="0" w:line="259"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pay to the Trustee or any predecessor Trustee from time to time such reasonable compensation for all services rendered by it hereunder as has been agreed upon from time to time in writing (which compensation shall not be limited by any provision of law in regard to the compensation of a trustee of an express trust).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61" w:name="page62"/>
    <w:bookmarkEnd w:id="61"/>
    <w:p>
      <w:pPr>
        <w:ind w:right="60" w:firstLine="464"/>
        <w:spacing w:after="0" w:line="256"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bad faith.</w:t>
      </w:r>
    </w:p>
    <w:p>
      <w:pPr>
        <w:spacing w:after="0" w:line="143" w:lineRule="exact"/>
        <w:rPr>
          <w:rFonts w:ascii="Arial" w:cs="Arial" w:eastAsia="Arial" w:hAnsi="Arial"/>
          <w:sz w:val="18"/>
          <w:szCs w:val="18"/>
          <w:color w:val="auto"/>
        </w:rPr>
      </w:pPr>
    </w:p>
    <w:p>
      <w:pPr>
        <w:ind w:right="180" w:firstLine="464"/>
        <w:spacing w:after="0" w:line="306"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indemnify each of the Trustee or any predecessor Trustee for, and to hold it harmless against, any loss, liability or expense incurred without negligence or bad faith on its own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 or any coupons.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this Section 606 shall survive the resignation or removal of the Trustee and the satisfaction, termination or discharge of this Indenture.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607. Corporate Trustee Required; Eligibility.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shall at all times be a Trustee hereunder which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608. Disqualification; Conflicting Interests.</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609. Resignation and Removal; Appointment of Successor.</w:t>
      </w:r>
    </w:p>
    <w:p>
      <w:pPr>
        <w:spacing w:after="0" w:line="96" w:lineRule="exact"/>
        <w:rPr>
          <w:sz w:val="20"/>
          <w:szCs w:val="20"/>
          <w:color w:val="auto"/>
        </w:rPr>
      </w:pPr>
    </w:p>
    <w:p>
      <w:pPr>
        <w:ind w:right="20" w:firstLine="464"/>
        <w:spacing w:after="0" w:line="268"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280" w:right="319" w:bottom="1440" w:gutter="0" w:footer="0" w:header="0"/>
        </w:sectPr>
      </w:pPr>
    </w:p>
    <w:bookmarkStart w:id="62" w:name="page63"/>
    <w:bookmarkEnd w:id="62"/>
    <w:p>
      <w:pPr>
        <w:ind w:left="720" w:hanging="256"/>
        <w:spacing w:after="0"/>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resign at any time with respect to the Securities of one or more series by giving written notice thereof to the Company.</w:t>
      </w:r>
    </w:p>
    <w:p>
      <w:pPr>
        <w:spacing w:after="0" w:line="194" w:lineRule="exact"/>
        <w:rPr>
          <w:rFonts w:ascii="Arial" w:cs="Arial" w:eastAsia="Arial" w:hAnsi="Arial"/>
          <w:sz w:val="16"/>
          <w:szCs w:val="16"/>
          <w:color w:val="auto"/>
        </w:rPr>
      </w:pPr>
    </w:p>
    <w:p>
      <w:pPr>
        <w:ind w:right="260" w:firstLine="464"/>
        <w:spacing w:after="0" w:line="291"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Trustee may be removed at any time with respect to the Securities of any series by (i) the Company, by an Officer’s Certificate delivered to the Trustee, provided that contemporaneously therewith (x) the Company immediately appoints a successor Trustee with respect to the Securities of such series meeting the requirements of Section 607 hereof and (y) the terms of Section 610 hereof are complied with in respect of such appointment (the Trustee being removed hereby agreeing to execute the instrument contemplated by Section 610(b) hereof, if applicable, under such circumstances);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Default with respect to such Securities shall have occurred and then be continuing at such time, or (ii) Act of the Holders of a majority in principal amount of the Outstanding Securities of such series delivered to the Trustee and to the Company.</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50"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3" w:lineRule="exact"/>
        <w:rPr>
          <w:sz w:val="20"/>
          <w:szCs w:val="20"/>
          <w:color w:val="auto"/>
        </w:rPr>
      </w:pPr>
    </w:p>
    <w:p>
      <w:pPr>
        <w:ind w:left="700" w:hanging="236"/>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 instrument of acceptance by a successor Trustee shall not have been delivered to the Trustee within 30 days after the giving of a notice of</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resignation or the delivery of an Act of removal, the Trustee resigning or being removed may petition any court of competent jurisdiction for the appointment of a successor Trustee.</w:t>
      </w:r>
    </w:p>
    <w:p>
      <w:pPr>
        <w:spacing w:after="0" w:line="137" w:lineRule="exact"/>
        <w:rPr>
          <w:rFonts w:ascii="Arial" w:cs="Arial" w:eastAsia="Arial" w:hAnsi="Arial"/>
          <w:sz w:val="16"/>
          <w:szCs w:val="16"/>
          <w:color w:val="auto"/>
        </w:rPr>
      </w:pPr>
    </w:p>
    <w:p>
      <w:pPr>
        <w:ind w:right="40" w:firstLine="464"/>
        <w:spacing w:after="0" w:line="289" w:lineRule="auto"/>
        <w:tabs>
          <w:tab w:leader="none" w:pos="6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63" w:name="page64"/>
    <w:bookmarkEnd w:id="63"/>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07" w:lineRule="exact"/>
        <w:rPr>
          <w:sz w:val="20"/>
          <w:szCs w:val="20"/>
          <w:color w:val="auto"/>
        </w:rPr>
      </w:pPr>
    </w:p>
    <w:p>
      <w:pPr>
        <w:ind w:right="40" w:firstLine="464"/>
        <w:spacing w:after="0" w:line="306"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610. Acceptance of Appointment by Successor.</w:t>
      </w:r>
    </w:p>
    <w:p>
      <w:pPr>
        <w:spacing w:after="0" w:line="96" w:lineRule="exact"/>
        <w:rPr>
          <w:sz w:val="20"/>
          <w:szCs w:val="20"/>
          <w:color w:val="auto"/>
        </w:rPr>
      </w:pPr>
    </w:p>
    <w:p>
      <w:pPr>
        <w:ind w:firstLine="464"/>
        <w:spacing w:after="0" w:line="314" w:lineRule="auto"/>
        <w:tabs>
          <w:tab w:leader="none" w:pos="695"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However,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04" w:lineRule="exact"/>
        <w:rPr>
          <w:rFonts w:ascii="Arial" w:cs="Arial" w:eastAsia="Arial" w:hAnsi="Arial"/>
          <w:sz w:val="15"/>
          <w:szCs w:val="15"/>
          <w:color w:val="auto"/>
        </w:rPr>
      </w:pPr>
    </w:p>
    <w:p>
      <w:pPr>
        <w:ind w:firstLine="464"/>
        <w:spacing w:after="0" w:line="285"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 of those terms in Section 101 which contemplate such situation.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64" w:name="page65"/>
    <w:bookmarkEnd w:id="64"/>
    <w:p>
      <w:pPr>
        <w:ind w:right="120" w:firstLine="464"/>
        <w:spacing w:after="0" w:line="332"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No successor Trustee shall accept its appointment unless at the time of such acceptance such successor Trustee shall be qualified and eligible under this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Article.</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611. Merger, Conversion, Consolidation or Succession to Business.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612. Appointment of Authenticating Agent.</w:t>
      </w:r>
    </w:p>
    <w:p>
      <w:pPr>
        <w:spacing w:after="0" w:line="96"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At any time when any of the Securities remain Outstanding, the Trustee may appoint an Authenticating Agent or Agents (which may be an Affiliate or Affiliates of the Company) with respect to one or more series of Securities which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65" w:name="page66"/>
    <w:bookmarkEnd w:id="65"/>
    <w:p>
      <w:pPr>
        <w:jc w:val="both"/>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American Stock Transfer &amp; Trust Company, LLC, as Trustee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Authenticating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provided that the terms and conditions of such appointment are acceptable to the Trustee.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66" w:name="page67"/>
    <w:bookmarkEnd w:id="66"/>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SEVEN</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701. Disclosure of Names and Addresses of Holders.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Every Holder of Securities or coupons,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702. Preservation of Information; Communications to Holders.</w:t>
      </w:r>
    </w:p>
    <w:p>
      <w:pPr>
        <w:spacing w:after="0" w:line="96" w:lineRule="exact"/>
        <w:rPr>
          <w:sz w:val="20"/>
          <w:szCs w:val="20"/>
          <w:color w:val="auto"/>
        </w:rPr>
      </w:pPr>
    </w:p>
    <w:p>
      <w:pPr>
        <w:ind w:right="380" w:firstLine="464"/>
        <w:spacing w:after="0" w:line="306"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131" w:lineRule="exact"/>
        <w:rPr>
          <w:rFonts w:ascii="Arial" w:cs="Arial" w:eastAsia="Arial" w:hAnsi="Arial"/>
          <w:sz w:val="18"/>
          <w:szCs w:val="18"/>
          <w:color w:val="auto"/>
        </w:rPr>
      </w:pPr>
    </w:p>
    <w:p>
      <w:pPr>
        <w:jc w:val="both"/>
        <w:ind w:right="40" w:firstLine="464"/>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703. Reports by Trustee.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Within 60 days after May 15 of each year commencing with the first May 15 after the first issuance of Securities pursuant to this Indenture, the Trustee shall transmit by mail to all Holders of Securities as provided in TIA Section 313(c) a brief report dated as of such May 15 which meets the requirements of TIA Section 313(a).</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with the Commission and with the Company. The Company shall promptly notify the Trustee of the listing of the Securities on any stock exchange.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704. Reports by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w:t>
      </w:r>
    </w:p>
    <w:p>
      <w:pPr>
        <w:spacing w:after="0" w:line="171" w:lineRule="exact"/>
        <w:rPr>
          <w:sz w:val="20"/>
          <w:szCs w:val="20"/>
          <w:color w:val="auto"/>
        </w:rPr>
      </w:pPr>
    </w:p>
    <w:p>
      <w:pPr>
        <w:ind w:right="100" w:firstLine="464"/>
        <w:spacing w:after="0" w:line="259"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67" w:name="page68"/>
    <w:bookmarkEnd w:id="6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 or Section 15(d) of the Securities Exchange Act of 1934; or, if the Company is not required to file information, documents or reports pursuant to either of such Sections, then it shall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43" w:lineRule="exact"/>
        <w:rPr>
          <w:sz w:val="20"/>
          <w:szCs w:val="20"/>
          <w:color w:val="auto"/>
        </w:rPr>
      </w:pPr>
    </w:p>
    <w:p>
      <w:pPr>
        <w:ind w:firstLine="464"/>
        <w:spacing w:after="0" w:line="259"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Trustee shall 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705. Calculation of Original Issue Discount.</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EIGHT</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801. Company May Consolidate, Etc., Only on Certain Terms.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 shall not consolidate with or merge with or into any other corporation or convey or transfer its properties and assets substantially as an entirety to any Person, unless:</w:t>
      </w:r>
    </w:p>
    <w:p>
      <w:pPr>
        <w:spacing w:after="0" w:line="132" w:lineRule="exact"/>
        <w:rPr>
          <w:sz w:val="20"/>
          <w:szCs w:val="20"/>
          <w:color w:val="auto"/>
        </w:rPr>
      </w:pPr>
    </w:p>
    <w:p>
      <w:pPr>
        <w:ind w:right="40" w:firstLine="464"/>
        <w:spacing w:after="0" w:line="255"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either the Company shall be the continuing corporation, or the corporation (if other than the Company) formed by such consolidation or into which the Company is merged or the Person which acquires by conveyance or transfer the properties and assets of the Company substantially as an entirety shall expressly assume, by an indenture supplemental hereto, executed and delivered to the Trustee, in form satisfactory to the Trustee, the due and punctual payment of the principal of (and premium, if any) and interest, if any, on all the Securities and the performance of every covenant of this Indenture on the part of the Company to be performed or observed;</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71" w:lineRule="exact"/>
        <w:rPr>
          <w:rFonts w:ascii="Arial" w:cs="Arial" w:eastAsia="Arial" w:hAnsi="Arial"/>
          <w:sz w:val="18"/>
          <w:szCs w:val="18"/>
          <w:color w:val="auto"/>
        </w:rPr>
      </w:pPr>
    </w:p>
    <w:p>
      <w:pPr>
        <w:ind w:right="580" w:firstLine="464"/>
        <w:spacing w:after="0" w:line="332"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as a result thereof any property or assets of the Company or a Subsidiary would become subject to any mortgage, lien, pledge, charge or other encumbrance not permitted by (1) through (10) of Section 1006, compliance shall be effected with the first clause of Section 1006; and</w:t>
      </w:r>
    </w:p>
    <w:p>
      <w:pPr>
        <w:spacing w:after="0" w:line="85" w:lineRule="exact"/>
        <w:rPr>
          <w:rFonts w:ascii="Arial" w:cs="Arial" w:eastAsia="Arial" w:hAnsi="Arial"/>
          <w:sz w:val="16"/>
          <w:szCs w:val="16"/>
          <w:color w:val="auto"/>
        </w:rPr>
      </w:pPr>
    </w:p>
    <w:p>
      <w:pPr>
        <w:ind w:right="360" w:firstLine="464"/>
        <w:spacing w:after="0" w:line="259"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and the successor Person have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802. Successor Person Substituted.</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w:t>
      </w:r>
    </w:p>
    <w:p>
      <w:pPr>
        <w:spacing w:after="0" w:line="27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NINE</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SUPPLEMENTAL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901. Supplemental Indentures Without Consent of 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Without the consent of any Holders of Securities or coupons,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140" w:lineRule="exact"/>
        <w:rPr>
          <w:sz w:val="20"/>
          <w:szCs w:val="20"/>
          <w:color w:val="auto"/>
        </w:rPr>
      </w:pPr>
    </w:p>
    <w:p>
      <w:pPr>
        <w:ind w:right="80" w:firstLine="464"/>
        <w:spacing w:after="0" w:line="268"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contained; or</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or any coupon appertaining thereto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40" w:lineRule="exact"/>
        <w:rPr>
          <w:rFonts w:ascii="Arial" w:cs="Arial" w:eastAsia="Arial" w:hAnsi="Arial"/>
          <w:sz w:val="18"/>
          <w:szCs w:val="18"/>
          <w:color w:val="auto"/>
        </w:rPr>
      </w:pPr>
    </w:p>
    <w:p>
      <w:pPr>
        <w:ind w:right="160" w:firstLine="464"/>
        <w:spacing w:after="0" w:line="291"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20" w:lineRule="exact"/>
        <w:rPr>
          <w:rFonts w:ascii="Arial" w:cs="Arial" w:eastAsia="Arial" w:hAnsi="Arial"/>
          <w:sz w:val="16"/>
          <w:szCs w:val="16"/>
          <w:color w:val="auto"/>
        </w:rPr>
      </w:pPr>
    </w:p>
    <w:p>
      <w:pPr>
        <w:ind w:right="260" w:firstLine="464"/>
        <w:spacing w:after="0" w:line="255"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materially adversely affect the interests of the Holders of Securities of any series or any related coupons in any material respect;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9" w:name="page70"/>
    <w:bookmarkEnd w:id="69"/>
    <w:p>
      <w:pPr>
        <w:ind w:right="180" w:firstLine="464"/>
        <w:spacing w:after="0" w:line="332" w:lineRule="auto"/>
        <w:tabs>
          <w:tab w:leader="none" w:pos="705"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change or eliminate any of the provisions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secure the Securities pursuant to the requirements of Section 801 or 1006, or otherwise; or</w:t>
      </w:r>
    </w:p>
    <w:p>
      <w:pPr>
        <w:spacing w:after="0" w:line="171" w:lineRule="exact"/>
        <w:rPr>
          <w:rFonts w:ascii="Arial" w:cs="Arial" w:eastAsia="Arial" w:hAnsi="Arial"/>
          <w:sz w:val="18"/>
          <w:szCs w:val="18"/>
          <w:color w:val="auto"/>
        </w:rPr>
      </w:pPr>
    </w:p>
    <w:p>
      <w:pPr>
        <w:ind w:right="260" w:firstLine="464"/>
        <w:spacing w:after="0" w:line="332" w:lineRule="auto"/>
        <w:tabs>
          <w:tab w:leader="none" w:pos="70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by Sections 201 and 301, including the provisions and procedures relating to Securities convertible into or exchangeable for any securities of any Person (including the Company); or</w:t>
      </w:r>
    </w:p>
    <w:p>
      <w:pPr>
        <w:spacing w:after="0" w:line="85" w:lineRule="exact"/>
        <w:rPr>
          <w:rFonts w:ascii="Arial" w:cs="Arial" w:eastAsia="Arial" w:hAnsi="Arial"/>
          <w:sz w:val="16"/>
          <w:szCs w:val="16"/>
          <w:color w:val="auto"/>
        </w:rPr>
      </w:pPr>
    </w:p>
    <w:p>
      <w:pPr>
        <w:ind w:right="120" w:firstLine="464"/>
        <w:spacing w:after="0" w:line="259"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40" w:lineRule="exact"/>
        <w:rPr>
          <w:rFonts w:ascii="Arial" w:cs="Arial" w:eastAsia="Arial" w:hAnsi="Arial"/>
          <w:sz w:val="18"/>
          <w:szCs w:val="18"/>
          <w:color w:val="auto"/>
        </w:rPr>
      </w:pPr>
    </w:p>
    <w:p>
      <w:pPr>
        <w:ind w:right="180" w:firstLine="464"/>
        <w:spacing w:after="0" w:line="259"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inconsistent with any other provision herein, or to make any other provisions with respect to matters or questions arising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shall not materially adversely affect the interests of the Holders of Securities of any series or any related coupons in any material respect; or</w:t>
      </w:r>
    </w:p>
    <w:p>
      <w:pPr>
        <w:spacing w:after="0" w:line="140" w:lineRule="exact"/>
        <w:rPr>
          <w:rFonts w:ascii="Arial" w:cs="Arial" w:eastAsia="Arial" w:hAnsi="Arial"/>
          <w:sz w:val="18"/>
          <w:szCs w:val="18"/>
          <w:color w:val="auto"/>
        </w:rPr>
      </w:pPr>
    </w:p>
    <w:p>
      <w:pPr>
        <w:jc w:val="both"/>
        <w:ind w:right="260" w:firstLine="464"/>
        <w:spacing w:after="0" w:line="306" w:lineRule="auto"/>
        <w:tabs>
          <w:tab w:leader="none" w:pos="793"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action shall not materially adversely affect the interests of the Holders of Securities of such series and any related coupons or any other series of Securities in any material respect.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902. Supplemental Indentures with Consent of Holders.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affects such series of Securities or of modifying in any manner the rights of the Holders of such series of Securities and any related coupons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144" w:lineRule="exact"/>
        <w:rPr>
          <w:sz w:val="20"/>
          <w:szCs w:val="20"/>
          <w:color w:val="auto"/>
        </w:rPr>
      </w:pPr>
    </w:p>
    <w:p>
      <w:pPr>
        <w:ind w:right="60" w:firstLine="464"/>
        <w:spacing w:after="0" w:line="289"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801(1) and permitted by Section 901(1)), or reduce the portion of the principal of an Original Issue Discount Security or Indexed Security that would be due and payable upon a declaration of acceleration of 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70" w:name="page71"/>
    <w:bookmarkEnd w:id="7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 the case of redemption or repayment at the option of the Holder, on or after the Redemption Date or the Repayment Date, as the case may be), or adversely affect any right to convert or exchange any Security as may be provided pursuant to Section 301 herein, or</w:t>
      </w:r>
    </w:p>
    <w:p>
      <w:pPr>
        <w:spacing w:after="0" w:line="132" w:lineRule="exact"/>
        <w:rPr>
          <w:sz w:val="20"/>
          <w:szCs w:val="20"/>
          <w:color w:val="auto"/>
        </w:rPr>
      </w:pPr>
    </w:p>
    <w:p>
      <w:pPr>
        <w:ind w:right="120" w:firstLine="464"/>
        <w:spacing w:after="0" w:line="256"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143" w:lineRule="exact"/>
        <w:rPr>
          <w:rFonts w:ascii="Arial" w:cs="Arial" w:eastAsia="Arial" w:hAnsi="Arial"/>
          <w:sz w:val="18"/>
          <w:szCs w:val="18"/>
          <w:color w:val="auto"/>
        </w:rPr>
      </w:pPr>
    </w:p>
    <w:p>
      <w:pPr>
        <w:ind w:right="180" w:firstLine="464"/>
        <w:spacing w:after="0" w:line="298"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modify any of the provisions of this Section, Section 513 or Section 1007,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shall not be deemed to require the consent of any Holder of a Security or coupon with respect to changes in the references to “the Trustee” and concomitant changes in this Section, or the deletion of this proviso, in accordance with the requirements of Sections 610(b) and 901(8).</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903. Execution of Supplemental Indentures.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 thereby of the trusts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created by this Indenture, the Trustee shall be entitled to receive, and shall be fully protected in relying upon, in addition to the documents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102 of this Indenture, an Opinion of Counsel stating that the execution of such supplemental indenture is authorized or permitted by this Indenture.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may, but shall not be obligated to, enter into any such supplemental indenture which affects the Trustee’s own rights, duties or immunities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Indenture or otherwise.</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904. Effect of Supplemental Indentures.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905. Conformity with Trust Indenture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supplemental indenture executed pursuant to this Article shall conform to the requirements of the Trust Indenture Act as then in effect.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906. Reference in Securities to Supplemental Indentures.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TEN</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1001. Payment of Principal, Premium, if any, and Interest.</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covenants and agrees for the benefit of the Holders of each series of Securities and any coupons appertaining thereto that it will duly and punctually pay the principal of (and premium, if any) and interest, if any, on the Securities of that series in accordance with the terms of such series of Securities, any coupons appertaining thereto and this Indenture. Any interest due on Bearer Securities on or before Maturity, other than Additional Amounts, if any, payable as provided in Section 1004 in respect of principal of (or premium, if any) such a Security,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1002. Maintenance of Office or Agency.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Securities of a series are issuable only as Registered Securities, 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If Securities of a series are issuable as Bearer Securities, the Company will maintain (A) in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72" w:name="page73"/>
    <w:bookmarkEnd w:id="7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1004);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the Luxembourg Stock Exchange or any other stock exchange located outside the United States and such stock exchange shall so require, the Company shall maintain a Paying Agent for the Securities of that series in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The Company shall give prompt written notice to the Trustee of the location, and any change in the location, of each such office or agency. If at any time the Company shall fail to maintain any such required office or agency in respect of any series of Securities or shall fail to furnish the Trustee with the address thereof, such presentations, surrenders, notices and demands may be made or served at the Corporate Trust Office of the Trustee; provided that Bearer Securities of that series and the related coupons may be presented and surrendered for payment (including payment of any Additional Amounts payable on Bearer Securities of that series pursuant to Section 1004)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Unless otherwise specified with respect to any Securities pursuant to Section 301, no payment of principal, premium or interest on Bearer Securities shall be made at any office or agency of the Company in the United States or by check mailed to any address in the United States or by transfer to any account maintained with a financial institution located in the United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Securities of a series are denominated and payable in Dollars, payment of principal of (and premium, if any) and interest, if any, on any Bearer Security (including payment of any Additional Amounts payable on Bearer Securities of that series pursuant to Section 1004) shall be made at the office of the Company’s Paying Agent in The City of New York, if (but only if) payment in Dollars of the full amount of such principal, premium, if any, interest or Additional Amounts, as the case may be, at all offices or agencies outside the United States maintained for such purpose by the Company in accordance with this Indenture, is illegal or effectively precluded by exchange controls or other similar restrictions.</w:t>
      </w:r>
    </w:p>
    <w:p>
      <w:pPr>
        <w:spacing w:after="0" w:line="14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City of New York, and initially appoints the Trustee at its Corporate Trust Office as Paying Agent in The City of New York and as its agent to receive all such presentations, surrenders, notices and demands.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73" w:name="page74"/>
    <w:bookmarkEnd w:id="73"/>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shall maintain with respect to each such series of Securities, or as so required, at least one Exchange Rate Agent.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1003. Money for Securities Payments to Be Held in Trust.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Company at any time acts as its own Paying Agent with respect to any series of any Securities and any related coupons, it shall,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shall promptly notify the Trustee of its action or failure so to act.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Whenever the Company has one or more Paying Agents for any series of Securities and any related coupons, it shall,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shall promptly notify the Trustee of its action or failure so to act.</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or any coupon appertaining thereto, and remaining unclaimed for two years after such principal, premium or interest has become due and payable shall be paid to the Company upon Company Request, or (if then held by the Company) shall be discharged from such trust; and the Holder of such Security or any coupon appertaining thereto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shall be repaid to the Company.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1004. Additional Amounts.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the Securities of a series provide for the payment of Additional Amounts, the Company shall pay to the Holder of any Security of such series or any coupon appertaining thereto such Additional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74" w:name="page75"/>
    <w:bookmarkEnd w:id="7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as may be specified as contemplated by Section 301. Whenever in this Indenture there is mentioned, in any context, the payment of the principal of (or premium, if any) or interest, if any, on any Security of any series or payment of any related coupon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2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shall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or any related coupons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or related coupons and the Company shall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or related coupons until it shall have received a certificate advising otherwise and (ii) to make all payments of principal and interest with respect to the Securities of a series or related coupons without withholding or deductions until otherwise advised.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1005. Statement as to Compliance.</w:t>
      </w:r>
    </w:p>
    <w:p>
      <w:pPr>
        <w:spacing w:after="0" w:line="96" w:lineRule="exact"/>
        <w:rPr>
          <w:sz w:val="20"/>
          <w:szCs w:val="20"/>
          <w:color w:val="auto"/>
        </w:rPr>
      </w:pPr>
    </w:p>
    <w:p>
      <w:pPr>
        <w:ind w:right="100" w:firstLine="464"/>
        <w:spacing w:after="0" w:line="298" w:lineRule="auto"/>
        <w:tabs>
          <w:tab w:leader="none" w:pos="695"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ending after the date hereof so long as any Security is Outstanding hereunder, a brief certificate from the principal executive officer, principal financial officer or principal accounting officer of the Company as to his or her knowledge of the Company’s compliance with all conditions and covenants under this Indenture. For purposes of this Section 1005, such compliance shall be determined without regard to any period of grace or requirement of notice under this Indenture.</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Company shall, so long as any series of Securities are Outstanding, deliver to the Trustee, as promptly as practicable upon any officer listed in</w:t>
      </w:r>
    </w:p>
    <w:p>
      <w:pPr>
        <w:spacing w:after="0" w:line="38" w:lineRule="exact"/>
        <w:rPr>
          <w:rFonts w:ascii="Arial" w:cs="Arial" w:eastAsia="Arial" w:hAnsi="Arial"/>
          <w:sz w:val="16"/>
          <w:szCs w:val="16"/>
          <w:color w:val="auto"/>
        </w:rPr>
      </w:pPr>
    </w:p>
    <w:p>
      <w:pPr>
        <w:jc w:val="both"/>
        <w:ind w:right="60" w:firstLine="8"/>
        <w:spacing w:after="0" w:line="255" w:lineRule="auto"/>
        <w:tabs>
          <w:tab w:leader="none" w:pos="2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above becoming aware of any Default, Event of Default or default in the performance of any covenant, agreement or condition contained in this Indenture, an Officer’s Certificate specifying such Default, Event of Default, default or event of default and what action the Company is taking or proposes to take with respect thereto and the status thereof.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1006. Limitations on Liens.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Except as hereinbelow in this Section provided, the Company shall not, and shall not permit any Subsidiary to, at any time pledge or otherwise subject to any lien any of its property or assets, or any of the property or assets of a Subsidiary, without thereby expressly securing the due and punctual payment of the principal of and the interest on the Securities equally and ratably with any and all other obligations and indebtedness secured by such pledge or other lien, so long as any such other obligations and indebtedness shall be so secured, and the Company covenants that if and when any such pledge or other lien is created, the Securities shall be so secured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restriction shall not apply to:</w:t>
      </w:r>
    </w:p>
    <w:p>
      <w:pPr>
        <w:spacing w:after="0" w:line="35" w:lineRule="exact"/>
        <w:rPr>
          <w:sz w:val="20"/>
          <w:szCs w:val="20"/>
          <w:color w:val="auto"/>
        </w:rPr>
      </w:pPr>
    </w:p>
    <w:p>
      <w:pPr>
        <w:ind w:left="1080" w:hanging="177"/>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liens to secure debt incurred under the $300 million revolving senior secured credit facility entered into by the Company on June 25, 2007;</w:t>
      </w:r>
    </w:p>
    <w:p>
      <w:pPr>
        <w:spacing w:after="0" w:line="113" w:lineRule="exact"/>
        <w:rPr>
          <w:rFonts w:ascii="Arial" w:cs="Arial" w:eastAsia="Arial" w:hAnsi="Arial"/>
          <w:sz w:val="16"/>
          <w:szCs w:val="16"/>
          <w:color w:val="auto"/>
        </w:rPr>
      </w:pPr>
    </w:p>
    <w:p>
      <w:pPr>
        <w:ind w:left="460" w:firstLine="443"/>
        <w:spacing w:after="0" w:line="294" w:lineRule="auto"/>
        <w:tabs>
          <w:tab w:leader="none" w:pos="1074" w:val="left"/>
        </w:tabs>
        <w:numPr>
          <w:ilvl w:val="0"/>
          <w:numId w:val="81"/>
        </w:numPr>
        <w:rPr>
          <w:rFonts w:ascii="Arial" w:cs="Arial" w:eastAsia="Arial" w:hAnsi="Arial"/>
          <w:sz w:val="16"/>
          <w:szCs w:val="16"/>
          <w:color w:val="auto"/>
        </w:rPr>
      </w:pPr>
      <w:r>
        <w:rPr>
          <w:rFonts w:ascii="Arial" w:cs="Arial" w:eastAsia="Arial" w:hAnsi="Arial"/>
          <w:sz w:val="16"/>
          <w:szCs w:val="16"/>
          <w:color w:val="auto"/>
        </w:rPr>
        <w:t>liens to secure the purchase or lease of fixed assets or other physical properties and purchase money debt incurred in the ordinary course of business of the Company or any Subsidiary; provided that any such lien may not extend to any property of the Company or any Subsidiary other than the property acquired, constructed or leased and any improvements or accessions to such property (including, in the case of the acquisition of capital stock of a person that becomes a Subsidiary, liens on the property of the person whose capital stock was acquired), and such lien is incurred within 180 days of the acquisition, construction or lease of such property;</w:t>
      </w:r>
    </w:p>
    <w:p>
      <w:pPr>
        <w:spacing w:after="0" w:line="34" w:lineRule="exact"/>
        <w:rPr>
          <w:rFonts w:ascii="Arial" w:cs="Arial" w:eastAsia="Arial" w:hAnsi="Arial"/>
          <w:sz w:val="16"/>
          <w:szCs w:val="16"/>
          <w:color w:val="auto"/>
        </w:rPr>
      </w:pPr>
    </w:p>
    <w:p>
      <w:pPr>
        <w:ind w:left="460" w:right="420" w:firstLine="443"/>
        <w:spacing w:after="0" w:line="259" w:lineRule="auto"/>
        <w:tabs>
          <w:tab w:leader="none" w:pos="10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or levies on the property of the Company or any Subsidiary for taxes, assessments or other governmental charges, if the same are being contested in good faith and by appropriate proceedings promptly instituted and diligently concluded, provided that any reserve or other appropriate provision shall have been made therefor;</w:t>
      </w:r>
    </w:p>
    <w:p>
      <w:pPr>
        <w:spacing w:after="0" w:line="59" w:lineRule="exact"/>
        <w:rPr>
          <w:rFonts w:ascii="Arial" w:cs="Arial" w:eastAsia="Arial" w:hAnsi="Arial"/>
          <w:sz w:val="18"/>
          <w:szCs w:val="18"/>
          <w:color w:val="auto"/>
        </w:rPr>
      </w:pPr>
    </w:p>
    <w:p>
      <w:pPr>
        <w:jc w:val="both"/>
        <w:ind w:left="460" w:right="140" w:firstLine="443"/>
        <w:spacing w:after="0" w:line="335" w:lineRule="auto"/>
        <w:tabs>
          <w:tab w:leader="none" w:pos="1074" w:val="left"/>
        </w:tabs>
        <w:numPr>
          <w:ilvl w:val="0"/>
          <w:numId w:val="81"/>
        </w:numPr>
        <w:rPr>
          <w:rFonts w:ascii="Arial" w:cs="Arial" w:eastAsia="Arial" w:hAnsi="Arial"/>
          <w:sz w:val="15"/>
          <w:szCs w:val="15"/>
          <w:color w:val="auto"/>
        </w:rPr>
      </w:pPr>
      <w:r>
        <w:rPr>
          <w:rFonts w:ascii="Arial" w:cs="Arial" w:eastAsia="Arial" w:hAnsi="Arial"/>
          <w:sz w:val="15"/>
          <w:szCs w:val="15"/>
          <w:color w:val="auto"/>
        </w:rPr>
        <w:t>liens imposed by law, such as carriers’, warehousemen’s, landlord’s, repairmen’s and mechanics’ liens and other similar liens, on the property of the Company or any Subsidiary arising in the ordinary course of business and securing payment of obligations that are not more than 60 days past due or are being contested in good faith and by appropriate proceedings, provided that any reserve or other appropriate provision shall have been made therefor;</w:t>
      </w:r>
    </w:p>
    <w:p>
      <w:pPr>
        <w:spacing w:after="0" w:line="7" w:lineRule="exact"/>
        <w:rPr>
          <w:rFonts w:ascii="Arial" w:cs="Arial" w:eastAsia="Arial" w:hAnsi="Arial"/>
          <w:sz w:val="15"/>
          <w:szCs w:val="15"/>
          <w:color w:val="auto"/>
        </w:rPr>
      </w:pPr>
    </w:p>
    <w:p>
      <w:pPr>
        <w:ind w:left="460" w:right="80" w:firstLine="443"/>
        <w:spacing w:after="0" w:line="298" w:lineRule="auto"/>
        <w:tabs>
          <w:tab w:leader="none" w:pos="1074" w:val="left"/>
        </w:tabs>
        <w:numPr>
          <w:ilvl w:val="0"/>
          <w:numId w:val="81"/>
        </w:numPr>
        <w:rPr>
          <w:rFonts w:ascii="Arial" w:cs="Arial" w:eastAsia="Arial" w:hAnsi="Arial"/>
          <w:sz w:val="16"/>
          <w:szCs w:val="16"/>
          <w:color w:val="auto"/>
        </w:rPr>
      </w:pPr>
      <w:r>
        <w:rPr>
          <w:rFonts w:ascii="Arial" w:cs="Arial" w:eastAsia="Arial" w:hAnsi="Arial"/>
          <w:sz w:val="16"/>
          <w:szCs w:val="16"/>
          <w:color w:val="auto"/>
        </w:rPr>
        <w:t>liens on property in place at the time the Company or a Subsidiary acquired such property, including any acquisition by means of a merger or consolidation with or into the Company or any Subsidiary; provided, however, that any such lien may not extend to any other property of the Company or any Subsidiary; provided further, that such liens shall not have been incurred in anticipation of or in connection with the transaction or series of transactions pursuant to which such property was acquired by the Company or any Subsidiary;</w:t>
      </w:r>
    </w:p>
    <w:p>
      <w:pPr>
        <w:spacing w:after="0" w:line="31" w:lineRule="exact"/>
        <w:rPr>
          <w:rFonts w:ascii="Arial" w:cs="Arial" w:eastAsia="Arial" w:hAnsi="Arial"/>
          <w:sz w:val="16"/>
          <w:szCs w:val="16"/>
          <w:color w:val="auto"/>
        </w:rPr>
      </w:pPr>
    </w:p>
    <w:p>
      <w:pPr>
        <w:ind w:left="460" w:right="40" w:firstLine="443"/>
        <w:spacing w:after="0" w:line="306" w:lineRule="auto"/>
        <w:tabs>
          <w:tab w:leader="none" w:pos="1074" w:val="left"/>
        </w:tabs>
        <w:numPr>
          <w:ilvl w:val="0"/>
          <w:numId w:val="81"/>
        </w:numPr>
        <w:rPr>
          <w:rFonts w:ascii="Arial" w:cs="Arial" w:eastAsia="Arial" w:hAnsi="Arial"/>
          <w:sz w:val="16"/>
          <w:szCs w:val="16"/>
          <w:color w:val="auto"/>
        </w:rPr>
      </w:pPr>
      <w:r>
        <w:rPr>
          <w:rFonts w:ascii="Arial" w:cs="Arial" w:eastAsia="Arial" w:hAnsi="Arial"/>
          <w:sz w:val="16"/>
          <w:szCs w:val="16"/>
          <w:color w:val="auto"/>
        </w:rPr>
        <w:t>liens on the property of a person at the time such person becomes a Subsidiary; provided, however, that any such lien may not extend to any other property of the Company or any other Subsidiary that is not a direct Subsidiary of such person; provided further, that any such lien was not incurred in anticipation of or in connection with the transaction or series of transactions pursuant to which such person became a Subsidiary;</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0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mortgages, pledges, liens or charges existing on property acquired by the Company or a Subsidiary through the exercise of rights arising out of defaults on receivables acquired in the ordinary course of business;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76" w:name="page77"/>
    <w:bookmarkEnd w:id="76"/>
    <w:p>
      <w:pPr>
        <w:jc w:val="both"/>
        <w:ind w:right="60" w:firstLine="443"/>
        <w:spacing w:after="0" w:line="256" w:lineRule="auto"/>
        <w:tabs>
          <w:tab w:leader="none" w:pos="614"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pledges or deposits by the Company or any Subsidiary under workers’ compensation laws, social security, unemployment insurance laws, old-age pensions or similar legislation, or good faith deposits in connection with bids, tenders, contracts (other than for the payment of Debt) or leases to which the Company or any Subsidiary is party, or deposits to secure public or statutory obligations of the Company, or deposits for the payment of rent, in each case incurred in the ordinary course of business;</w:t>
      </w:r>
    </w:p>
    <w:p>
      <w:pPr>
        <w:spacing w:after="0" w:line="62" w:lineRule="exact"/>
        <w:rPr>
          <w:rFonts w:ascii="Arial" w:cs="Arial" w:eastAsia="Arial" w:hAnsi="Arial"/>
          <w:sz w:val="18"/>
          <w:szCs w:val="18"/>
          <w:color w:val="auto"/>
        </w:rPr>
      </w:pPr>
    </w:p>
    <w:p>
      <w:pPr>
        <w:ind w:right="400" w:firstLine="443"/>
        <w:spacing w:after="0" w:line="268" w:lineRule="auto"/>
        <w:tabs>
          <w:tab w:leader="none" w:pos="614" w:val="left"/>
        </w:tabs>
        <w:numPr>
          <w:ilvl w:val="0"/>
          <w:numId w:val="82"/>
        </w:numPr>
        <w:rPr>
          <w:rFonts w:ascii="Arial" w:cs="Arial" w:eastAsia="Arial" w:hAnsi="Arial"/>
          <w:sz w:val="18"/>
          <w:szCs w:val="18"/>
          <w:color w:val="auto"/>
        </w:rPr>
      </w:pPr>
      <w:r>
        <w:rPr>
          <w:rFonts w:ascii="Arial" w:cs="Arial" w:eastAsia="Arial" w:hAnsi="Arial"/>
          <w:sz w:val="18"/>
          <w:szCs w:val="18"/>
          <w:color w:val="auto"/>
        </w:rPr>
        <w:t>utility easements, building restrictions and such other encumbrances or charges against real property as are of a nature generally existing with respect to properties of a similar character;</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liens on the property of the Company or any Subsidiary to secure any refinancing debt in respect of debt secured by liens described under clause</w:t>
      </w:r>
    </w:p>
    <w:p>
      <w:pPr>
        <w:spacing w:after="0" w:line="49" w:lineRule="exact"/>
        <w:rPr>
          <w:rFonts w:ascii="Arial" w:cs="Arial" w:eastAsia="Arial" w:hAnsi="Arial"/>
          <w:sz w:val="15"/>
          <w:szCs w:val="15"/>
          <w:color w:val="auto"/>
        </w:rPr>
      </w:pPr>
    </w:p>
    <w:p>
      <w:pPr>
        <w:spacing w:after="0" w:line="292" w:lineRule="auto"/>
        <w:rPr>
          <w:rFonts w:ascii="Arial" w:cs="Arial" w:eastAsia="Arial" w:hAnsi="Arial"/>
          <w:sz w:val="15"/>
          <w:szCs w:val="15"/>
          <w:color w:val="auto"/>
        </w:rPr>
      </w:pPr>
      <w:r>
        <w:rPr>
          <w:rFonts w:ascii="Arial" w:cs="Arial" w:eastAsia="Arial" w:hAnsi="Arial"/>
          <w:sz w:val="16"/>
          <w:szCs w:val="16"/>
          <w:color w:val="auto"/>
        </w:rPr>
        <w:t>(1)-(3) and (5)-(7) of this definition; provided, however, that any such lien shall be limited to all or part of the same property that secured the original lien (together with improvements and accessions to such property), and the aggregate principal amount of debt that is secured by such lien shall not be increased to an amount greater than the sum of (i) the outstanding principal amount, or, if greater, the committed amount, of the debt being refinanced at the time the original lien became a Permitted Lien under the Indenture, and (ii) an amount necessary to pay any fees and expenses, including premiums and defeasance costs, incurred by the Company or such Subsidiary in connection with such refinancing;</w:t>
      </w:r>
    </w:p>
    <w:p>
      <w:pPr>
        <w:spacing w:after="0" w:line="35" w:lineRule="exact"/>
        <w:rPr>
          <w:rFonts w:ascii="Arial" w:cs="Arial" w:eastAsia="Arial" w:hAnsi="Arial"/>
          <w:sz w:val="15"/>
          <w:szCs w:val="15"/>
          <w:color w:val="auto"/>
        </w:rPr>
      </w:pPr>
    </w:p>
    <w:p>
      <w:pPr>
        <w:ind w:firstLine="443"/>
        <w:spacing w:after="0" w:line="268"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on property used to defease or to satisfy and discharge debt; provided that (i) the incurrence of such debt was not prohibited by the Indenture and (ii) such defeasance or satisfaction and discharge is not prohibited by the Indenture;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in favor of the Company or any Subsidiary;</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rights of banks to set off deposits against Debt owed to said bank;</w:t>
      </w:r>
    </w:p>
    <w:p>
      <w:pPr>
        <w:spacing w:after="0" w:line="90" w:lineRule="exact"/>
        <w:rPr>
          <w:rFonts w:ascii="Arial" w:cs="Arial" w:eastAsia="Arial" w:hAnsi="Arial"/>
          <w:sz w:val="18"/>
          <w:szCs w:val="18"/>
          <w:color w:val="auto"/>
        </w:rPr>
      </w:pPr>
    </w:p>
    <w:p>
      <w:pPr>
        <w:ind w:firstLine="443"/>
        <w:spacing w:after="0" w:line="268" w:lineRule="auto"/>
        <w:tabs>
          <w:tab w:leader="none" w:pos="7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commercial letters of credit which encumber documents and other assets relating to such letters of credit and products and proceeds thereof;</w:t>
      </w:r>
    </w:p>
    <w:p>
      <w:pPr>
        <w:spacing w:after="0" w:line="50" w:lineRule="exact"/>
        <w:rPr>
          <w:rFonts w:ascii="Arial" w:cs="Arial" w:eastAsia="Arial" w:hAnsi="Arial"/>
          <w:sz w:val="18"/>
          <w:szCs w:val="18"/>
          <w:color w:val="auto"/>
        </w:rPr>
      </w:pPr>
    </w:p>
    <w:p>
      <w:pPr>
        <w:ind w:right="20" w:firstLine="443"/>
        <w:spacing w:after="0" w:line="259" w:lineRule="auto"/>
        <w:tabs>
          <w:tab w:leader="none" w:pos="7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deposit or pledge of assets with any surety company or clerk of any court, or in escrow, as collateral in connection with, or in lieu of, any bond on appeal from any judgment or decree against the Company or a Subsidiary, or in connection with other proceedings or actions at law or in equity by or against the Company or a Subsidiary;</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mortgages and pledges, liens or charges by a Subsidiary as security for indebtedness owed to the Company;</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judgment liens, so long as the finality of such judgment is being contested in good faith and execution thereon is stayed;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claim in favor of the Trustee or any predecessor, pursuant to Section 607;</w:t>
      </w:r>
    </w:p>
    <w:p>
      <w:pPr>
        <w:spacing w:after="0" w:line="90" w:lineRule="exact"/>
        <w:rPr>
          <w:rFonts w:ascii="Arial" w:cs="Arial" w:eastAsia="Arial" w:hAnsi="Arial"/>
          <w:sz w:val="18"/>
          <w:szCs w:val="18"/>
          <w:color w:val="auto"/>
        </w:rPr>
      </w:pPr>
    </w:p>
    <w:p>
      <w:pPr>
        <w:ind w:right="20" w:firstLine="443"/>
        <w:spacing w:after="0" w:line="332" w:lineRule="auto"/>
        <w:tabs>
          <w:tab w:leader="none" w:pos="7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pledge or lien (other than directly or indirectly to secure borrowed money) if, after giving effect thereto, the aggregate principal sums secured by pledges or liens otherwise within the restrictions in this Section 1006 contained do not exceed $10,000,000; and</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700" w:top="280" w:right="239" w:bottom="1440" w:gutter="0" w:footer="0" w:header="0"/>
        </w:sectPr>
      </w:pPr>
    </w:p>
    <w:bookmarkStart w:id="77" w:name="page78"/>
    <w:bookmarkEnd w:id="77"/>
    <w:p>
      <w:pPr>
        <w:ind w:left="460" w:right="120" w:firstLine="443"/>
        <w:spacing w:after="0" w:line="268" w:lineRule="auto"/>
        <w:tabs>
          <w:tab w:leader="none" w:pos="1162"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transaction characterized as a sale of receivables (retail or wholesale) but reflected as secured indebtedness on a balance sheet in conformity with generally accepted accounting principles then in effect.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1007. Waiver of Certain Covenants.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may omit in any particular instance to comply with any covenant or condition set forth in Section 1006, and, as specified pursuant to Section 301(15) for Securities of any series, in any covenants of the Company added to Article Ten pursuant to Section 301(14) or Section 301 (15)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1101. Applicability of Article.</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1102. Election to Redeem; Notice to Trustee.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1103. Selection by Trustee of Securities to Be Redeemed.</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78" w:name="page79"/>
    <w:bookmarkEnd w:id="78"/>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minimum authorized denomination for Securities of that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partial redemption shall reduce the portion of the principal amount of a Security not redeemed to less than the minimum authorized denomination for Securities of such series.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1104. Notice of Redemption.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171" w:lineRule="exact"/>
        <w:rPr>
          <w:sz w:val="20"/>
          <w:szCs w:val="20"/>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Redemption Price and accrued interest, if any, to the Redemption Date payable as provided in Section 1106,</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31" w:lineRule="exact"/>
        <w:rPr>
          <w:rFonts w:ascii="Arial" w:cs="Arial" w:eastAsia="Arial" w:hAnsi="Arial"/>
          <w:sz w:val="18"/>
          <w:szCs w:val="18"/>
          <w:color w:val="auto"/>
        </w:rPr>
      </w:pPr>
    </w:p>
    <w:p>
      <w:pPr>
        <w:ind w:right="220"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40"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140"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79" w:name="page80"/>
    <w:bookmarkEnd w:id="79"/>
    <w:p>
      <w:pPr>
        <w:jc w:val="both"/>
        <w:ind w:right="120" w:firstLine="464"/>
        <w:spacing w:after="0" w:line="306"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for such series and any Paying Agent is furnished,</w:t>
      </w:r>
    </w:p>
    <w:p>
      <w:pPr>
        <w:spacing w:after="0" w:line="106"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 and</w:t>
      </w:r>
    </w:p>
    <w:p>
      <w:pPr>
        <w:spacing w:after="0" w:line="140" w:lineRule="exact"/>
        <w:rPr>
          <w:rFonts w:ascii="Arial" w:cs="Arial" w:eastAsia="Arial" w:hAnsi="Arial"/>
          <w:sz w:val="18"/>
          <w:szCs w:val="18"/>
          <w:color w:val="auto"/>
        </w:rPr>
      </w:pPr>
    </w:p>
    <w:p>
      <w:pPr>
        <w:ind w:left="800" w:hanging="336"/>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CUSIP number of such Security, if any.</w:t>
      </w:r>
    </w:p>
    <w:p>
      <w:pPr>
        <w:spacing w:after="0" w:line="171"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 notice of redemption published as contemplated by Section 106 need not identify particular Registered Securities to be redeemed. Notice of redemption of Securities to be redeemed shall be given by the Company or, at the Company’s request, by the Trustee in the name and at the expense of the Company.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1105. Deposit of Redemption Price.</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On or prior to 10:00 am, New York City time, on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1106. Securities Payable on Redemption Date.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80" w:name="page81"/>
    <w:bookmarkEnd w:id="80"/>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1107. Securities Redeemed in Part.</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TWELVE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SINKING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1201. Applicability of Article.</w:t>
      </w:r>
    </w:p>
    <w:p>
      <w:pPr>
        <w:spacing w:after="0" w:line="9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 series except as otherwise specified as contemplated by Section 301 for Securities of such series.</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1202. Satisfaction of Sinking Fund Payments with Securities.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1203. Redemption of Securities for Sinking Fund.</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 less than 60 days prior to each sinking fund payment date for Securities of any series, the Company shall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REPAYMENT AT THE OPTION OF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1301. Applicability of Article.</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1302. Repayment of Securities.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of any series subject to repayment in whole or in part at the option of the Holders thereof shall,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Repayment Date it shall deposit with the Trustee or with a Paying Agent (or, if the Company is acting as its own Paying Agent, segregate and hold in trust as provided in Section 1003) an amount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82" w:name="page83"/>
    <w:bookmarkEnd w:id="82"/>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1303. Exercise of Option.</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Securities of any series subject to repayment at the option of the Holders thereof shall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1304. When Securities Presented for Repayment Become Due and Payable.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2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83" w:name="page84"/>
    <w:bookmarkEnd w:id="8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44"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1305. Securities Repaid in Part.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which is not to be repaid. If a temporary global Security or permanent global Security is so surrendered, such new Security so issued shall be a new temporary global Security or a new permanent global Security, respectively.</w:t>
      </w:r>
    </w:p>
    <w:p>
      <w:pPr>
        <w:spacing w:after="0" w:line="27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ARTICLE FOURTEEN</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DEFEASANCE AND COVENANT DEFEASANCE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1401. Applicability of Article; Company’s Option to Effect Defeasance or Covenant Defeasance.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either Section 1402 (if applicable) or Section 1403 (if applicable) be applied to such Outstanding Securities and any coupons appertaining thereto upon compliance with the conditions set forth below in this Article.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1402. Defeasance and Discharge.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and after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of this Section, and to have satisfied all its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84" w:name="page85"/>
    <w:bookmarkEnd w:id="8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if any) and interest, if any, on such Securities and any coupons appertaining thereto when such payments are due, (B) the Company’s obligations with respect to such Securities under Sections 305, 306, 1002 and 1003 and with respect to the payment of Additional Amounts, if any, on such Securities as contemplated by 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 Following a defeasance, payment of such Securities may not be accelerated because of an Event of Default.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1403. Covenant Defeasance.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Upon the Company’s exercise of the above option applicable to this Section with respect to any Securities of or within a series, the Company shall be released from its obligations under Section 1006, and, if specified pursuant to Section 301, its obligations under any other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 1006,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 Section 1503.</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1404. Conditions to Defeasance or Covenant Defeasance.</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shall be the conditions to application of either Section 1402 or Section 1403 to any Outstanding Securities of or within a series and any coupons appertaining thereto:</w:t>
      </w:r>
    </w:p>
    <w:p>
      <w:pPr>
        <w:spacing w:after="0" w:line="132" w:lineRule="exact"/>
        <w:rPr>
          <w:sz w:val="20"/>
          <w:szCs w:val="20"/>
          <w:color w:val="auto"/>
        </w:rPr>
      </w:pPr>
    </w:p>
    <w:p>
      <w:pPr>
        <w:ind w:right="40" w:firstLine="464"/>
        <w:spacing w:after="0" w:line="291"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 and any coupons appertaining thereto are then specified as payable at Stated Maturity), or (2) 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85" w:name="page86"/>
    <w:bookmarkEnd w:id="85"/>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w:t>
      </w:r>
    </w:p>
    <w:p>
      <w:pPr>
        <w:spacing w:after="0" w:line="2" w:lineRule="exact"/>
        <w:rPr>
          <w:sz w:val="20"/>
          <w:szCs w:val="20"/>
          <w:color w:val="auto"/>
        </w:rPr>
      </w:pPr>
    </w:p>
    <w:p>
      <w:pPr>
        <w:ind w:right="140" w:firstLine="8"/>
        <w:spacing w:after="0" w:line="323" w:lineRule="auto"/>
        <w:tabs>
          <w:tab w:leader="none" w:pos="258"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92" w:lineRule="exact"/>
        <w:rPr>
          <w:rFonts w:ascii="Arial" w:cs="Arial" w:eastAsia="Arial" w:hAnsi="Arial"/>
          <w:sz w:val="16"/>
          <w:szCs w:val="16"/>
          <w:color w:val="auto"/>
        </w:rPr>
      </w:pPr>
    </w:p>
    <w:p>
      <w:pPr>
        <w:ind w:right="260" w:firstLine="464"/>
        <w:spacing w:after="0" w:line="268" w:lineRule="auto"/>
        <w:tabs>
          <w:tab w:leader="none" w:pos="705"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31" w:lineRule="exact"/>
        <w:rPr>
          <w:rFonts w:ascii="Arial" w:cs="Arial" w:eastAsia="Arial" w:hAnsi="Arial"/>
          <w:sz w:val="18"/>
          <w:szCs w:val="18"/>
          <w:color w:val="auto"/>
        </w:rPr>
      </w:pPr>
    </w:p>
    <w:p>
      <w:pPr>
        <w:ind w:right="100" w:firstLine="464"/>
        <w:spacing w:after="0" w:line="306" w:lineRule="auto"/>
        <w:tabs>
          <w:tab w:leader="none" w:pos="695" w:val="left"/>
        </w:tabs>
        <w:numPr>
          <w:ilvl w:val="1"/>
          <w:numId w:val="87"/>
        </w:numPr>
        <w:rPr>
          <w:rFonts w:ascii="Arial" w:cs="Arial" w:eastAsia="Arial" w:hAnsi="Arial"/>
          <w:sz w:val="16"/>
          <w:szCs w:val="16"/>
          <w:color w:val="auto"/>
        </w:rPr>
      </w:pPr>
      <w:r>
        <w:rPr>
          <w:rFonts w:ascii="Arial" w:cs="Arial" w:eastAsia="Arial" w:hAnsi="Arial"/>
          <w:sz w:val="16"/>
          <w:szCs w:val="16"/>
          <w:color w:val="auto"/>
        </w:rPr>
        <w:t>No Default or Event of Default with respect to such Securities and any coupons appertaining thereto shall have occurred and be continuing on the date of such deposit or, insofar as Sections 501(5) and 501(6) are concerned, at any time during the period ending on the 123</w:t>
      </w:r>
      <w:r>
        <w:rPr>
          <w:rFonts w:ascii="Arial" w:cs="Arial" w:eastAsia="Arial" w:hAnsi="Arial"/>
          <w:sz w:val="10"/>
          <w:szCs w:val="10"/>
          <w:color w:val="auto"/>
        </w:rPr>
        <w:t>rd</w:t>
      </w:r>
      <w:r>
        <w:rPr>
          <w:rFonts w:ascii="Arial" w:cs="Arial" w:eastAsia="Arial" w:hAnsi="Arial"/>
          <w:sz w:val="16"/>
          <w:szCs w:val="16"/>
          <w:color w:val="auto"/>
        </w:rPr>
        <w:t xml:space="preserve"> day after the date of such deposit (it being understood that this condition shall not be deemed satisfied until the expiration of such period).</w:t>
      </w:r>
    </w:p>
    <w:p>
      <w:pPr>
        <w:spacing w:after="0" w:line="106" w:lineRule="exact"/>
        <w:rPr>
          <w:rFonts w:ascii="Arial" w:cs="Arial" w:eastAsia="Arial" w:hAnsi="Arial"/>
          <w:sz w:val="16"/>
          <w:szCs w:val="16"/>
          <w:color w:val="auto"/>
        </w:rPr>
      </w:pPr>
    </w:p>
    <w:p>
      <w:pPr>
        <w:ind w:firstLine="464"/>
        <w:spacing w:after="0" w:line="254" w:lineRule="auto"/>
        <w:tabs>
          <w:tab w:leader="none" w:pos="705"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shall confirm that, the Holders of such Outstanding Securities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44" w:lineRule="exact"/>
        <w:rPr>
          <w:rFonts w:ascii="Arial" w:cs="Arial" w:eastAsia="Arial" w:hAnsi="Arial"/>
          <w:sz w:val="18"/>
          <w:szCs w:val="18"/>
          <w:color w:val="auto"/>
        </w:rPr>
      </w:pPr>
    </w:p>
    <w:p>
      <w:pPr>
        <w:ind w:right="40" w:firstLine="464"/>
        <w:spacing w:after="0" w:line="256" w:lineRule="auto"/>
        <w:tabs>
          <w:tab w:leader="none" w:pos="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43" w:lineRule="exact"/>
        <w:rPr>
          <w:rFonts w:ascii="Arial" w:cs="Arial" w:eastAsia="Arial" w:hAnsi="Arial"/>
          <w:sz w:val="18"/>
          <w:szCs w:val="18"/>
          <w:color w:val="auto"/>
        </w:rPr>
      </w:pPr>
    </w:p>
    <w:p>
      <w:pPr>
        <w:ind w:right="20" w:firstLine="464"/>
        <w:spacing w:after="0" w:line="294" w:lineRule="auto"/>
        <w:tabs>
          <w:tab w:leader="none" w:pos="676"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15" w:lineRule="exact"/>
        <w:rPr>
          <w:rFonts w:ascii="Arial" w:cs="Arial" w:eastAsia="Arial" w:hAnsi="Arial"/>
          <w:sz w:val="16"/>
          <w:szCs w:val="16"/>
          <w:color w:val="auto"/>
        </w:rPr>
      </w:pPr>
    </w:p>
    <w:p>
      <w:pPr>
        <w:ind w:right="240" w:firstLine="464"/>
        <w:spacing w:after="0" w:line="332" w:lineRule="auto"/>
        <w:tabs>
          <w:tab w:leader="none" w:pos="705" w:val="left"/>
        </w:tabs>
        <w:numPr>
          <w:ilvl w:val="1"/>
          <w:numId w:val="87"/>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80" w:right="27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1405. Deposited Money and Government Obligations to Be Held in Trust; Other Miscellaneous Provisions.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if any) and interest, if any, but such money need not be segregated from other funds except to the extent required by law.</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312(b) or the terms of such Security to receive payment in a Currency other than that in which the deposit pursuant to Section 1404(a) has been made in respect of such Security, or (b) a Conversion Event occurs as contemplated in Section 312(d) or 312(e) or by the terms of any Security in respect of which the deposit pursuant to Section 1404(a) has been made, the indebtedness represented by such Security and any coupons appertaining thereto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12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26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FIFTEEN</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MEETINGS OF HOLDERS OF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1501. Purposes for Which Meetings May Be Called.</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74" w:right="27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1502. Call, Notice and Place of Meetings.</w:t>
      </w:r>
    </w:p>
    <w:p>
      <w:pPr>
        <w:spacing w:after="0" w:line="96" w:lineRule="exact"/>
        <w:rPr>
          <w:sz w:val="20"/>
          <w:szCs w:val="20"/>
          <w:color w:val="auto"/>
        </w:rPr>
      </w:pPr>
    </w:p>
    <w:p>
      <w:pPr>
        <w:ind w:firstLine="464"/>
        <w:spacing w:after="0" w:line="256"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in The City of New York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43" w:lineRule="exact"/>
        <w:rPr>
          <w:rFonts w:ascii="Arial" w:cs="Arial" w:eastAsia="Arial" w:hAnsi="Arial"/>
          <w:sz w:val="18"/>
          <w:szCs w:val="18"/>
          <w:color w:val="auto"/>
        </w:rPr>
      </w:pPr>
    </w:p>
    <w:p>
      <w:pPr>
        <w:ind w:right="60" w:firstLine="464"/>
        <w:spacing w:after="0" w:line="291"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City of New York for such meeting and may call such meeting for such purposes by giving notice thereof as provided in subsection (a) of this Section.</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1503. Persons Entitled to Vote at Meetings.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1504. Quorum; Action.</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waiver, request, demand, notice, authorization, direction or other action which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88" w:name="page89"/>
    <w:bookmarkEnd w:id="88"/>
    <w:p>
      <w:pPr>
        <w:ind w:right="60"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62" w:lineRule="exact"/>
        <w:rPr>
          <w:sz w:val="20"/>
          <w:szCs w:val="20"/>
          <w:color w:val="auto"/>
        </w:rPr>
      </w:pPr>
    </w:p>
    <w:p>
      <w:pPr>
        <w:ind w:left="1120" w:hanging="217"/>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90" w:lineRule="exact"/>
        <w:rPr>
          <w:rFonts w:ascii="Arial" w:cs="Arial" w:eastAsia="Arial" w:hAnsi="Arial"/>
          <w:sz w:val="18"/>
          <w:szCs w:val="18"/>
          <w:color w:val="auto"/>
        </w:rPr>
      </w:pPr>
    </w:p>
    <w:p>
      <w:pPr>
        <w:ind w:left="460" w:right="180" w:firstLine="443"/>
        <w:spacing w:after="0" w:line="259" w:lineRule="auto"/>
        <w:tabs>
          <w:tab w:leader="none" w:pos="11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1505. Determination of Voting Rights; Conduct and Adjournment of Meetings.</w:t>
      </w:r>
    </w:p>
    <w:p>
      <w:pPr>
        <w:spacing w:after="0" w:line="96" w:lineRule="exact"/>
        <w:rPr>
          <w:sz w:val="20"/>
          <w:szCs w:val="20"/>
          <w:color w:val="auto"/>
        </w:rPr>
      </w:pPr>
    </w:p>
    <w:p>
      <w:pPr>
        <w:ind w:right="80" w:firstLine="464"/>
        <w:spacing w:after="0" w:line="289"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18" w:lineRule="exact"/>
        <w:rPr>
          <w:rFonts w:ascii="Arial" w:cs="Arial" w:eastAsia="Arial" w:hAnsi="Arial"/>
          <w:sz w:val="16"/>
          <w:szCs w:val="16"/>
          <w:color w:val="auto"/>
        </w:rPr>
      </w:pPr>
    </w:p>
    <w:p>
      <w:pPr>
        <w:ind w:right="100" w:firstLine="464"/>
        <w:spacing w:after="0" w:line="298"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89" w:name="page90"/>
    <w:bookmarkEnd w:id="89"/>
    <w:p>
      <w:pPr>
        <w:ind w:firstLine="464"/>
        <w:spacing w:after="0" w:line="256"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any meeting of Holders, each Holder of a Security of such series or proxy shall be entitled to one vote for each $1,000 principal amount of the Outstanding Securities of such series held or represented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43" w:lineRule="exact"/>
        <w:rPr>
          <w:rFonts w:ascii="Arial" w:cs="Arial" w:eastAsia="Arial" w:hAnsi="Arial"/>
          <w:sz w:val="18"/>
          <w:szCs w:val="18"/>
          <w:color w:val="auto"/>
        </w:rPr>
      </w:pPr>
    </w:p>
    <w:p>
      <w:pPr>
        <w:jc w:val="both"/>
        <w:ind w:right="240"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1506. Counting Votes and Recording Action of Meetings.</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1601. Agreement to Subordinate.</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for itself, its successors and assigns, covenants and agrees, and each Holder of Senior Subordinated Securities by his acceptance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1602. Distribution on Dissolution, Liquidation and Reorganization; Subrogation of Subordinated Securities.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43" w:lineRule="exact"/>
        <w:rPr>
          <w:sz w:val="20"/>
          <w:szCs w:val="20"/>
          <w:color w:val="auto"/>
        </w:rPr>
      </w:pPr>
    </w:p>
    <w:p>
      <w:pPr>
        <w:ind w:right="100" w:firstLine="464"/>
        <w:spacing w:after="0" w:line="259"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thereof (and premium, if any) and interest due thereon before the Holders of the Subordinated Securities are entitled to receive any payment upon the principal (or premium, if any) or interest, if any, on indebtedness evidenced by the Subordinated Securities; and</w:t>
      </w:r>
    </w:p>
    <w:p>
      <w:pPr>
        <w:spacing w:after="0" w:line="140" w:lineRule="exact"/>
        <w:rPr>
          <w:rFonts w:ascii="Arial" w:cs="Arial" w:eastAsia="Arial" w:hAnsi="Arial"/>
          <w:sz w:val="18"/>
          <w:szCs w:val="18"/>
          <w:color w:val="auto"/>
        </w:rPr>
      </w:pPr>
    </w:p>
    <w:p>
      <w:pPr>
        <w:jc w:val="both"/>
        <w:ind w:right="540" w:firstLine="464"/>
        <w:spacing w:after="0" w:line="259"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140" w:lineRule="exact"/>
        <w:rPr>
          <w:rFonts w:ascii="Arial" w:cs="Arial" w:eastAsia="Arial" w:hAnsi="Arial"/>
          <w:sz w:val="18"/>
          <w:szCs w:val="18"/>
          <w:color w:val="auto"/>
        </w:rPr>
      </w:pPr>
    </w:p>
    <w:p>
      <w:pPr>
        <w:ind w:right="60" w:firstLine="464"/>
        <w:spacing w:after="0" w:line="290"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18" w:lineRule="exact"/>
        <w:rPr>
          <w:rFonts w:ascii="Arial" w:cs="Arial" w:eastAsia="Arial" w:hAnsi="Arial"/>
          <w:sz w:val="16"/>
          <w:szCs w:val="16"/>
          <w:color w:val="auto"/>
        </w:rPr>
      </w:pPr>
    </w:p>
    <w:p>
      <w:pPr>
        <w:ind w:firstLine="464"/>
        <w:spacing w:after="0" w:line="291"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91" w:name="page92"/>
    <w:bookmarkEnd w:id="9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provisions of this Article Sixteen are and are intended solely for the purpose of defining the relative rights of the Holders of the Subordinated Securities, on the one hand, and the holders of the Senior Indebtedness, 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2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 The Trustee does not owe any fiduciary duties to the holders of Securities other than Securities issued under this Indenture.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1603. No Payment on Subordinated Securities in Event of Default on Senior Indebtedness.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1604. Payments on Subordinated Securities Permitted.</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 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1605. Authorization of Holders to Trustee to Effect Subordination.</w:t>
      </w:r>
    </w:p>
    <w:p>
      <w:pPr>
        <w:spacing w:after="0" w:line="9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1606. Notices to Trustee.</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satisfactory to the Trustee of such holding of Senior Indebtedness or of the authority of such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1607. Trustee as Holder of Senior Indebtedness.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Sixteen in respect of any Senior Indebtedness at any time held by it to the same extent as any other holder of Senior Indebtedness and nothing in Section 613 or elsewhere in this Indenture shall be construed to deprive the Trustee of any of its rights as such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Sixteen shall apply to claims of, or payments to, the Trustee under or pursuant to Section 606.</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1608. Modifications of Terms of Senior Indebtedness.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93" w:name="page94"/>
    <w:bookmarkEnd w:id="93"/>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1609. Reliance on Judicial Order or Certificate of Liquidating Agent.</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Indenture may be executed in any number of counterparts, each of which so executed shall be deemed to be an original, but all such counterparts shall together constitute but one and the same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80" w:right="27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PENNANTPARK INVESTMENT CORPORATION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STOCK TRANSFER &amp; TRUST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COMPANY, LLC, as Trustee</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Karishma P. Kadian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Karishma P. Kadian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Counsel</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100"/>
          </w:cols>
          <w:pgMar w:left="700" w:top="280" w:right="1099" w:bottom="1440" w:gutter="0" w:footer="0" w:header="0"/>
        </w:sectPr>
      </w:pPr>
    </w:p>
    <w:bookmarkStart w:id="95" w:name="page96"/>
    <w:bookmarkEnd w:id="95"/>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FORMS OF CERTIFICATION</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A-1</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FORM OF CERTIFICATE TO BE GIVEN BY PERSON ENTITLED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RECEIVE BEARER SECURITY OR TO OBTAIN INTEREST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PAYABLE PRIOR TO THE EXCHANGE DATE</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CERTIFICATE</w:t>
      </w:r>
    </w:p>
    <w:p>
      <w:pPr>
        <w:spacing w:after="0" w:line="17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[Insert title or sufficient description of Securities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delivered]</w:t>
      </w:r>
    </w:p>
    <w:p>
      <w:pPr>
        <w:spacing w:after="0" w:line="16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w:t>
      </w:r>
    </w:p>
    <w:p>
      <w:pPr>
        <w:spacing w:after="0" w:line="1" w:lineRule="exact"/>
        <w:rPr>
          <w:sz w:val="20"/>
          <w:szCs w:val="20"/>
          <w:color w:val="auto"/>
        </w:rPr>
      </w:pPr>
    </w:p>
    <w:p>
      <w:pPr>
        <w:ind w:right="140" w:firstLine="8"/>
        <w:spacing w:after="0" w:line="252" w:lineRule="auto"/>
        <w:tabs>
          <w:tab w:leader="none" w:pos="239"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 (b), each such United States financial institution hereby agrees, on its own behalf or through its agent, that you may advise PennantPark Investment Corporation or its agent that such financial institution shall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4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74" w:right="259" w:bottom="1440" w:gutter="0" w:footer="0" w:header="0"/>
        </w:sectPr>
      </w:pPr>
    </w:p>
    <w:bookmarkStart w:id="96" w:name="page97"/>
    <w:bookmarkEnd w:id="9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dated no earlier than the 15th day prior to (i)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Exchange Date or (ii) the relevant Interest Payment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occurring prior to the Exchange Date, as applicable]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Signatory)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60"/>
          </w:cols>
          <w:pgMar w:left="240" w:top="280" w:right="299" w:bottom="1440" w:gutter="0" w:footer="0" w:header="0"/>
        </w:sectPr>
      </w:pPr>
    </w:p>
    <w:bookmarkStart w:id="97" w:name="page98"/>
    <w:bookmarkEnd w:id="97"/>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FORM OF CERTIFICATE TO BE GIVEN BY EUROCLEAR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CLEARSTREAM IN CONNECTION WITH THE EXCHANGE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PORTION OF A TEMPORARY GLOBAL SECURITY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TO OBTAIN INTEREST PAYABLE PRIOR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EXCHANGE DATE</w:t>
      </w:r>
    </w:p>
    <w:p>
      <w:pPr>
        <w:spacing w:after="0" w:line="15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CERTIFICATE</w:t>
      </w:r>
    </w:p>
    <w:p>
      <w:pPr>
        <w:spacing w:after="0" w:line="17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[Insert title or sufficient description of Securities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w:t>
      </w:r>
    </w:p>
    <w:p>
      <w:pPr>
        <w:spacing w:after="0" w:line="16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PennantPark Investment Corporation or its agent that such financial institution shall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w:t>
      </w:r>
    </w:p>
    <w:p>
      <w:pPr>
        <w:spacing w:after="0" w:line="5" w:lineRule="exact"/>
        <w:rPr>
          <w:sz w:val="20"/>
          <w:szCs w:val="20"/>
          <w:color w:val="auto"/>
        </w:rPr>
      </w:pPr>
    </w:p>
    <w:p>
      <w:pPr>
        <w:ind w:right="180"/>
        <w:spacing w:after="0" w:line="361" w:lineRule="auto"/>
        <w:rPr>
          <w:sz w:val="20"/>
          <w:szCs w:val="20"/>
          <w:color w:val="auto"/>
        </w:rPr>
      </w:pPr>
      <w:r>
        <w:rPr>
          <w:rFonts w:ascii="Arial" w:cs="Arial" w:eastAsia="Arial" w:hAnsi="Arial"/>
          <w:sz w:val="15"/>
          <w:szCs w:val="15"/>
          <w:color w:val="auto"/>
        </w:rPr>
        <w:t>(7)),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6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4" w:right="239" w:bottom="1440" w:gutter="0" w:footer="0" w:header="0"/>
        </w:sectPr>
      </w:pPr>
    </w:p>
    <w:bookmarkStart w:id="98" w:name="page99"/>
    <w:bookmarkEnd w:id="98"/>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ectPr>
          <w:pgSz w:w="11900" w:h="16838" w:orient="portrait"/>
          <w:cols w:equalWidth="0" w:num="1">
            <w:col w:w="11100"/>
          </w:cols>
          <w:pgMar w:left="240" w:top="280" w:right="559" w:bottom="1440" w:gutter="0" w:footer="0" w:header="0"/>
        </w:sectPr>
      </w:pPr>
    </w:p>
    <w:p>
      <w:pPr>
        <w:spacing w:after="0" w:line="225" w:lineRule="exact"/>
        <w:rPr>
          <w:sz w:val="20"/>
          <w:szCs w:val="20"/>
          <w:color w:val="auto"/>
        </w:rPr>
      </w:pPr>
    </w:p>
    <w:p>
      <w:pPr>
        <w:jc w:val="both"/>
        <w:ind w:right="1675"/>
        <w:spacing w:after="0" w:line="259" w:lineRule="auto"/>
        <w:rPr>
          <w:sz w:val="20"/>
          <w:szCs w:val="20"/>
          <w:color w:val="auto"/>
        </w:rPr>
      </w:pPr>
      <w:r>
        <w:rPr>
          <w:rFonts w:ascii="Arial" w:cs="Arial" w:eastAsia="Arial" w:hAnsi="Arial"/>
          <w:sz w:val="18"/>
          <w:szCs w:val="18"/>
          <w:color w:val="auto"/>
        </w:rPr>
        <w:t>[To be dated no earlier than the Exchange Date or the relevant Interest Payment Date occurring prior to the Exchange Date,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15"/>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right="1900" w:hanging="5"/>
        <w:spacing w:after="0" w:line="268" w:lineRule="auto"/>
        <w:tabs>
          <w:tab w:leader="none" w:pos="94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as Operator of the Euroclear System</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10795</wp:posOffset>
            </wp:positionV>
            <wp:extent cx="25215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6135" w:space="720"/>
            <w:col w:w="4245"/>
          </w:cols>
          <w:pgMar w:left="240" w:top="280" w:right="55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(d)(9)</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STOCK TRANSFER &amp; TRUST COMPANY,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22,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17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THIS FIRST SUPPLEMENTAL INDENTURE (this “First Supplemental Indenture”), dated as of January 22, 2013, is between PennantPark Investment Corporation, a Maryland corporation (the “Company”), and American Stock Transfer &amp; Trust Company, LLC, as trustee (the “Trustee”). All capitalized terms used but not otherwise defined herein shall have the meaning set forth in the Base Indenture (as defined below).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WHEREAS, the Company and the Trustee executed and delivered an Indenture, dated as of January 22, 2013 (the “Base Indenture,” and, as supplemented by this First Supplemental Indenture, the “Indenture”), to provide for the issuance by the Company from time to time of the Company’s debt securities (the “Securities”) evidencing its unsecured indebtedness, to be issued in one or more series as provided in the Base Indenture;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Company desires to issue and sell up to $77,625,000 aggregate principal amount (including up to $10,125,000 aggregate principal amount pursuant to the underwriters’ overallotment option) of the Company’s 6.25% Senior Notes due 2025 (the “Notes”);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WHEREAS, Sections 901(5) and 901(7)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Base Indenture when there is no Security Outstanding of any series created prior to the execution of a supplemental indenture that is entitled to the benefit of such provision and (ii) establish the form or terms of Securities of any series as permitted by Sections 201 and 301 of the Base Indenture;</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 and</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WHEREAS, the Company has duly authorized the execution and delivery of this First Supplemental Indenture to provide for the issuance of the Notes and all acts and things necessary to make this First Supplemental Indenture a valid and legally binding obligation of the Company and to constitute a valid agreement of the Company, in accordance with its terms, have been done and performed;</w:t>
      </w:r>
    </w:p>
    <w:p>
      <w:pPr>
        <w:sectPr>
          <w:pgSz w:w="11900" w:h="16838" w:orient="portrait"/>
          <w:cols w:equalWidth="0" w:num="1">
            <w:col w:w="11420"/>
          </w:cols>
          <w:pgMar w:left="240" w:top="125" w:right="23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THIS INDENTURE WITNESSETH:</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as follows: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OF THE NOTES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Terms of the Notes.</w:t>
      </w:r>
      <w:r>
        <w:rPr>
          <w:rFonts w:ascii="Arial" w:cs="Arial" w:eastAsia="Arial" w:hAnsi="Arial"/>
          <w:sz w:val="18"/>
          <w:szCs w:val="18"/>
          <w:color w:val="auto"/>
        </w:rPr>
        <w:t xml:space="preserve"> The following terms relating to the Notes are hereby established:</w:t>
      </w:r>
    </w:p>
    <w:p>
      <w:pPr>
        <w:spacing w:after="0" w:line="171" w:lineRule="exact"/>
        <w:rPr>
          <w:sz w:val="20"/>
          <w:szCs w:val="20"/>
          <w:color w:val="auto"/>
        </w:rPr>
      </w:pPr>
    </w:p>
    <w:p>
      <w:pPr>
        <w:ind w:right="440" w:firstLine="921"/>
        <w:spacing w:after="0" w:line="268" w:lineRule="auto"/>
        <w:tabs>
          <w:tab w:leader="none" w:pos="11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Notes shall constitute a series of Securities having the title “6.25% Senior Notes due 2025” and shall be designated as Senior Securities under the Indenture. The Notes shall bear a CUSIP number of 708062 302 and an ISIN number of US7080623025.</w:t>
      </w:r>
    </w:p>
    <w:p>
      <w:pPr>
        <w:spacing w:after="0" w:line="131" w:lineRule="exact"/>
        <w:rPr>
          <w:rFonts w:ascii="Arial" w:cs="Arial" w:eastAsia="Arial" w:hAnsi="Arial"/>
          <w:sz w:val="18"/>
          <w:szCs w:val="18"/>
          <w:color w:val="auto"/>
        </w:rPr>
      </w:pPr>
    </w:p>
    <w:p>
      <w:pPr>
        <w:ind w:right="20" w:firstLine="921"/>
        <w:spacing w:after="0" w:line="290" w:lineRule="auto"/>
        <w:tabs>
          <w:tab w:leader="none" w:pos="116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up to $77,625,000 aggregate principal amount (including up to $10,125,000 aggregate principal amount pursuant to the underwriters’ overallotment option).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and other terms as the Notes. Any Additional Notes and the existing Notes shall constitute a single series under the Indenture and all references to the relevant Notes herein shall include the Additional Notes unless the context otherwise requires.</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entire outstanding principal of the Notes shall be payable on February 1, 2025.</w:t>
      </w:r>
    </w:p>
    <w:p>
      <w:pPr>
        <w:spacing w:after="0" w:line="171" w:lineRule="exact"/>
        <w:rPr>
          <w:rFonts w:ascii="Arial" w:cs="Arial" w:eastAsia="Arial" w:hAnsi="Arial"/>
          <w:sz w:val="18"/>
          <w:szCs w:val="18"/>
          <w:color w:val="auto"/>
        </w:rPr>
      </w:pPr>
    </w:p>
    <w:p>
      <w:pPr>
        <w:ind w:firstLine="921"/>
        <w:spacing w:after="0" w:line="285" w:lineRule="auto"/>
        <w:tabs>
          <w:tab w:leader="none" w:pos="116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rate at which the Notes shall bear interest shall be 6.25% per annum (the “Applicable Interest Rate”). The date from which interest shall accrue on the Notes shall be January 22, 2013, or the most recent Interest Payment Date to which interest has been paid or provided for; the Interest Payment Dates for the Notes shall be February 1, May 1, August 1 and November 1 of each year, commencing May 1, 2013 (</w:t>
      </w:r>
      <w:r>
        <w:rPr>
          <w:rFonts w:ascii="Arial" w:cs="Arial" w:eastAsia="Arial" w:hAnsi="Arial"/>
          <w:sz w:val="16"/>
          <w:szCs w:val="16"/>
          <w:i w:val="1"/>
          <w:iCs w:val="1"/>
          <w:color w:val="auto"/>
        </w:rPr>
        <w:t>provided</w:t>
      </w:r>
      <w:r>
        <w:rPr>
          <w:rFonts w:ascii="Arial" w:cs="Arial" w:eastAsia="Arial" w:hAnsi="Arial"/>
          <w:sz w:val="16"/>
          <w:szCs w:val="16"/>
          <w:color w:val="auto"/>
        </w:rPr>
        <w:t>, that if an Interest Payment Date falls on a day that is not a Business Day in The City of New York, then the applicable interest payment shall be made on the next succeeding Business Day and no additional interest shall accrue as a result of such delayed payment); the initial interest period shall be the period from, and including, January 22, 2013 (or the most recent Interest Payment Date to which interest has been paid or provided for), to, but excluding, the initial Interest Payment Date, and the subsequent interest periods shall be the periods from, and including, an Interest Payment Date to, but excluding, the next Interest Payment Date or the Stated Maturity, as the case may be; the interest so payable, and punctually paid or duly provided for, on any Interest Payment Date, shall be paid to the Person in whose name the Note (or one or more predecessor Notes) is registered at the close of business on the Regular Record Date for such interest, which shall be January 15, April 15, July 15 and October 15 of each year, commencing April 15, 2013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Regular Record Date falls on a day that is not a Business Day in The City of New York, then that Regular Record Date shall be the next succeeding Business Day), as the case may be, next preceding such Interest Payment Date. Payment of principal of (and premium, if any) and any such interest on the Notes shall be made at the Corporate Trust Office of the Trustee in such coin or currency of the United States of America as at the time of payment is legal tender for payment of public and private debts;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the Company payment of interest may be made by check mailed to the address of the Person entitled thereto as such address shall appear in the Security Register. Interest on the Notes shall be computed on the basis of a 360-day year of twelve 30-day months.</w:t>
      </w:r>
    </w:p>
    <w:p>
      <w:pPr>
        <w:spacing w:after="0" w:line="126" w:lineRule="exact"/>
        <w:rPr>
          <w:rFonts w:ascii="Arial" w:cs="Arial" w:eastAsia="Arial" w:hAnsi="Arial"/>
          <w:sz w:val="16"/>
          <w:szCs w:val="16"/>
          <w:color w:val="auto"/>
        </w:rPr>
      </w:pPr>
    </w:p>
    <w:p>
      <w:pPr>
        <w:ind w:right="40" w:firstLine="921"/>
        <w:spacing w:after="0" w:line="291" w:lineRule="auto"/>
        <w:tabs>
          <w:tab w:leader="none" w:pos="1152"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First Supplemental Indenture. Each Global Note shall represent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principal amount of outstanding Notes represented thereby shall be made by the Trustee or the Security Registrar, in accordance with Sections 203 and 305 of the Base Indenture.</w:t>
      </w:r>
    </w:p>
    <w:p>
      <w:pPr>
        <w:spacing w:after="0" w:line="120" w:lineRule="exact"/>
        <w:rPr>
          <w:rFonts w:ascii="Arial" w:cs="Arial" w:eastAsia="Arial" w:hAnsi="Arial"/>
          <w:sz w:val="16"/>
          <w:szCs w:val="16"/>
          <w:color w:val="auto"/>
        </w:rPr>
      </w:pPr>
    </w:p>
    <w:p>
      <w:pPr>
        <w:ind w:right="160" w:firstLine="921"/>
        <w:spacing w:after="0" w:line="268" w:lineRule="auto"/>
        <w:tabs>
          <w:tab w:leader="none" w:pos="113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depositary for such Global Notes (the “Depositary”) shall be The Depository Trust Company, New York, New York. The Security Registrar with respect to the Global Notes shall be the Trustee.</w:t>
      </w:r>
    </w:p>
    <w:p>
      <w:pPr>
        <w:spacing w:after="0" w:line="13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Notes shall be defeasible pursuant to Section 1402 or Section 1403 of the Base Indenture. Covenant defeasance contained in Section 1403 of the Base Indenture shall apply to the covenants contained in Sections 1008 and 1009 of the Indenture.</w:t>
      </w:r>
    </w:p>
    <w:p>
      <w:pPr>
        <w:sectPr>
          <w:pgSz w:w="11900" w:h="16838" w:orient="portrait"/>
          <w:cols w:equalWidth="0" w:num="1">
            <w:col w:w="11420"/>
          </w:cols>
          <w:pgMar w:left="240" w:top="280" w:right="239" w:bottom="1440" w:gutter="0" w:footer="0" w:header="0"/>
        </w:sectPr>
      </w:pPr>
    </w:p>
    <w:bookmarkStart w:id="101" w:name="page102"/>
    <w:bookmarkEnd w:id="101"/>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shall be redeemable pursuant to Section 1101 of the Base Indenture and as follows:</w:t>
      </w:r>
    </w:p>
    <w:p>
      <w:pPr>
        <w:spacing w:after="0" w:line="171" w:lineRule="exact"/>
        <w:rPr>
          <w:rFonts w:ascii="Arial" w:cs="Arial" w:eastAsia="Arial" w:hAnsi="Arial"/>
          <w:sz w:val="18"/>
          <w:szCs w:val="18"/>
          <w:color w:val="auto"/>
        </w:rPr>
      </w:pPr>
    </w:p>
    <w:p>
      <w:pPr>
        <w:jc w:val="both"/>
        <w:ind w:right="40" w:firstLine="1492"/>
        <w:spacing w:after="0" w:line="259" w:lineRule="auto"/>
        <w:tabs>
          <w:tab w:leader="none" w:pos="169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Notes shall be redeemable in whole or in part, at any time or from time to time, at the option of the Company, on or after February 1, 2016, at a redemption price of $25 per Note plus accrued and unpaid interest payments otherwise payable for the then-current quarterly interest period accrued to, but excluding, the Redemption Date.</w:t>
      </w:r>
    </w:p>
    <w:p>
      <w:pPr>
        <w:spacing w:after="0" w:line="140" w:lineRule="exact"/>
        <w:rPr>
          <w:rFonts w:ascii="Arial" w:cs="Arial" w:eastAsia="Arial" w:hAnsi="Arial"/>
          <w:sz w:val="18"/>
          <w:szCs w:val="18"/>
          <w:color w:val="auto"/>
        </w:rPr>
      </w:pPr>
    </w:p>
    <w:p>
      <w:pPr>
        <w:ind w:right="40" w:firstLine="1492"/>
        <w:spacing w:after="0" w:line="256" w:lineRule="auto"/>
        <w:tabs>
          <w:tab w:leader="none" w:pos="17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Notice of redemption shall be given in writing and mailed, first-class postage prepaid or by overnight courier guaranteeing next-day delivery, to each Holder of the Notes to be redeemed, not less than thirty (30) nor more than sixty (60) days prior to the Redemption Date, at the Holder’s address appearing in the Security Register. All notices of redemption shall contain the information set forth in Section 1104 of the Base Indenture and the delivery of such shall be subject to the terms of the Indenture.</w:t>
      </w:r>
    </w:p>
    <w:p>
      <w:pPr>
        <w:spacing w:after="0" w:line="143" w:lineRule="exact"/>
        <w:rPr>
          <w:rFonts w:ascii="Arial" w:cs="Arial" w:eastAsia="Arial" w:hAnsi="Arial"/>
          <w:sz w:val="18"/>
          <w:szCs w:val="18"/>
          <w:color w:val="auto"/>
        </w:rPr>
      </w:pPr>
    </w:p>
    <w:p>
      <w:pPr>
        <w:ind w:left="1800" w:hanging="308"/>
        <w:spacing w:after="0"/>
        <w:tabs>
          <w:tab w:leader="none" w:pos="18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exercise of the Company’s option to redeem the Notes shall be done in compliance with the Investment Company Act (as defined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164" w:lineRule="exact"/>
        <w:rPr>
          <w:rFonts w:ascii="Arial" w:cs="Arial" w:eastAsia="Arial" w:hAnsi="Arial"/>
          <w:sz w:val="16"/>
          <w:szCs w:val="16"/>
          <w:color w:val="auto"/>
        </w:rPr>
      </w:pPr>
    </w:p>
    <w:p>
      <w:pPr>
        <w:ind w:right="80" w:firstLine="1492"/>
        <w:spacing w:after="0" w:line="268" w:lineRule="auto"/>
        <w:tabs>
          <w:tab w:leader="none" w:pos="1781"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Company elects to redeem only a portion of the Notes, the Trustee shall determine the method for selecting the particular Notes to be redeemed, in accordance with the Investment Company Act.</w:t>
      </w:r>
    </w:p>
    <w:p>
      <w:pPr>
        <w:spacing w:after="0" w:line="131" w:lineRule="exact"/>
        <w:rPr>
          <w:rFonts w:ascii="Arial" w:cs="Arial" w:eastAsia="Arial" w:hAnsi="Arial"/>
          <w:sz w:val="18"/>
          <w:szCs w:val="18"/>
          <w:color w:val="auto"/>
        </w:rPr>
      </w:pPr>
    </w:p>
    <w:p>
      <w:pPr>
        <w:ind w:firstLine="1492"/>
        <w:spacing w:after="0" w:line="268" w:lineRule="auto"/>
        <w:tabs>
          <w:tab w:leader="none" w:pos="17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Unless the Company defaults in payment of the Redemption Price, on and after the Redemption Date, interest shall cease to accrue on the Notes called for redemption hereunder.</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Notes shall not be subject to any sinking fund pursuant to Section 1201 of the Base Indenture.</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Notes shall be issuable in denominations of $25 and integral multiples of $25 in excess thereof.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Holders of the Notes shall not have the option to have the Notes repaid prior to the Stated Maturity.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OTHER PROVISIONS OF GENERAL APPLICATION</w:t>
      </w:r>
    </w:p>
    <w:p>
      <w:pPr>
        <w:spacing w:after="0" w:line="16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replacing the definition of “Subsidiary” in Section 101 with the following:</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2.02.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in appropriate alphabetical sequence, as follows: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the rules, regulations and interpretations promulgated thereunder, to the extent applicable, and any statute successor thereto.”</w:t>
      </w:r>
    </w:p>
    <w:p>
      <w:pPr>
        <w:sectPr>
          <w:pgSz w:w="11900" w:h="16838" w:orient="portrait"/>
          <w:cols w:equalWidth="0" w:num="1">
            <w:col w:w="11420"/>
          </w:cols>
          <w:pgMar w:left="240" w:top="280" w:right="239" w:bottom="1440" w:gutter="0" w:footer="0" w:header="0"/>
        </w:sectPr>
      </w:pPr>
    </w:p>
    <w:bookmarkStart w:id="102" w:name="page103"/>
    <w:bookmarkEnd w:id="102"/>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REMEDIES</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Section 3.01. Except as may be provided in a Future Supplemental Indenture, for the benefit of the Holders of the Notes but no other series of Securities under the Indenture, whether now or hereafter issued and Outstanding, Section 501 of the Base Indenture shall be amended by replacing clause (2) thereof in its entirety with the following:</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default in the payment of the principal (or premium, if any) of any Note when it becomes due and payable at its Maturity; or”</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CONSOLIDATION, MERGER, CONVEYANCE OR TRANSFER</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Section 4.01. Except as may be provided in a Future Supplemental Indenture, for the benefit of the Holders of the Notes but no other series of Securities under the Indenture, whether now or hereafter issued and Outstanding, Section 801 of the Base Indenture shall be amended by replacing clause (3) thereof in its entirety with the following:</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[RESERVED]; and”</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SUPPLEMENTAL INDENTURES</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Section 5.01. Except as may be provided in a Future Supplemental Indenture, for the benefit of the Holders of the Notes but no other series of Securities under the Indenture, whether now or hereafter issued and Outstanding, Section 901 of the Base Indenture shall be amended by replacing clause (6) thereof in its entirety with the following:</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 to secure the Securities pursuant to the requirements of Section 801 or otherwise; or”</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Section 6.01.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1006 thereof in its entirety with the following:</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1006. [RESERVED]</w:t>
      </w:r>
      <w:r>
        <w:rPr>
          <w:rFonts w:ascii="Arial" w:cs="Arial" w:eastAsia="Arial" w:hAnsi="Arial"/>
          <w:sz w:val="18"/>
          <w:szCs w:val="18"/>
          <w:color w:val="auto"/>
        </w:rPr>
        <w:t>”</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Section 6.02.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thereof in its entirety with the following:</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1007. Waiver of Certain Covenants.</w:t>
      </w:r>
    </w:p>
    <w:p>
      <w:pPr>
        <w:spacing w:after="0" w:line="96" w:lineRule="exact"/>
        <w:rPr>
          <w:sz w:val="20"/>
          <w:szCs w:val="20"/>
          <w:color w:val="auto"/>
        </w:rPr>
      </w:pPr>
    </w:p>
    <w:p>
      <w:pPr>
        <w:ind w:left="920" w:firstLine="420"/>
        <w:spacing w:after="0" w:line="290" w:lineRule="auto"/>
        <w:rPr>
          <w:sz w:val="20"/>
          <w:szCs w:val="20"/>
          <w:color w:val="auto"/>
        </w:rPr>
      </w:pPr>
      <w:r>
        <w:rPr>
          <w:rFonts w:ascii="Arial" w:cs="Arial" w:eastAsia="Arial" w:hAnsi="Arial"/>
          <w:sz w:val="16"/>
          <w:szCs w:val="16"/>
          <w:color w:val="auto"/>
        </w:rPr>
        <w:t>The Company may omit in any particular instance to comply with any covenant or condition, as specified pursuant to Section 301(15), for Securities of any series, in any covenants of the Company added to Article Ten pursuant to Section 301(14) or Section 301(15)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ectPr>
          <w:pgSz w:w="11900" w:h="16838" w:orient="portrait"/>
          <w:cols w:equalWidth="0" w:num="1">
            <w:col w:w="11240"/>
          </w:cols>
          <w:pgMar w:left="240" w:top="280" w:right="419" w:bottom="1440" w:gutter="0" w:footer="0" w:header="0"/>
        </w:sectPr>
      </w:pPr>
    </w:p>
    <w:bookmarkStart w:id="103" w:name="page104"/>
    <w:bookmarkEnd w:id="103"/>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6.03.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1008 and 1009 thereto, each as set forth below:</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1008. Section 18(a)(1)(A) of the Investment Company Act.</w:t>
      </w:r>
    </w:p>
    <w:p>
      <w:pPr>
        <w:spacing w:after="0" w:line="96" w:lineRule="exact"/>
        <w:rPr>
          <w:sz w:val="20"/>
          <w:szCs w:val="20"/>
          <w:color w:val="auto"/>
        </w:rPr>
      </w:pPr>
    </w:p>
    <w:p>
      <w:pPr>
        <w:jc w:val="both"/>
        <w:ind w:left="920" w:right="40" w:firstLine="420"/>
        <w:spacing w:after="0" w:line="259" w:lineRule="auto"/>
        <w:rPr>
          <w:sz w:val="20"/>
          <w:szCs w:val="20"/>
          <w:color w:val="auto"/>
        </w:rPr>
      </w:pPr>
      <w:r>
        <w:rPr>
          <w:rFonts w:ascii="Arial" w:cs="Arial" w:eastAsia="Arial" w:hAnsi="Arial"/>
          <w:sz w:val="18"/>
          <w:szCs w:val="18"/>
          <w:color w:val="auto"/>
        </w:rPr>
        <w:t>The Company hereby agrees that for the period of time during which Notes are Outstanding, the Company will not violate, whether or not it is subject to, Section 18(a)(1)(A) as modified by Section 61(a)(1) of the Investment Company Act, each as in effect from time to time or any successor provisions thereto of the Investment Company Act.”</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1009. Commission Reports and Reports to Holders.</w:t>
      </w:r>
    </w:p>
    <w:p>
      <w:pPr>
        <w:spacing w:after="0" w:line="96" w:lineRule="exact"/>
        <w:rPr>
          <w:sz w:val="20"/>
          <w:szCs w:val="20"/>
          <w:color w:val="auto"/>
        </w:rPr>
      </w:pPr>
    </w:p>
    <w:p>
      <w:pPr>
        <w:ind w:left="920" w:right="120" w:firstLine="420"/>
        <w:spacing w:after="0" w:line="254" w:lineRule="auto"/>
        <w:rPr>
          <w:sz w:val="20"/>
          <w:szCs w:val="20"/>
          <w:color w:val="auto"/>
        </w:rPr>
      </w:pPr>
      <w:r>
        <w:rPr>
          <w:rFonts w:ascii="Arial" w:cs="Arial" w:eastAsia="Arial" w:hAnsi="Arial"/>
          <w:sz w:val="18"/>
          <w:szCs w:val="18"/>
          <w:color w:val="auto"/>
        </w:rPr>
        <w:t>If, at any time, the Company is not subject to the reporting requirements of Sections 13 or 15(d) of the Securities Exchange Act of 1934, as amended, to file any periodic reports with the Commission, the Company agrees to furnish to the Holders of Notes and the Trustee for the period of time during which the Notes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DEFEASANCE AND COVENANT DEFEASANCE</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7.01. Except as may be provided in a Future Supplemental Indenture, for the benefit of the Holders of the Notes but no other series of Securities under the Indenture, whether now or hereafter issued and Outstanding, Article Fourteen of the Base Indenture shall be amended by replacing Section 1403 thereof in its entirety with the following:</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1403. Covenant Defeasance.</w:t>
      </w:r>
    </w:p>
    <w:p>
      <w:pPr>
        <w:spacing w:after="0" w:line="96" w:lineRule="exact"/>
        <w:rPr>
          <w:sz w:val="20"/>
          <w:szCs w:val="20"/>
          <w:color w:val="auto"/>
        </w:rPr>
      </w:pPr>
    </w:p>
    <w:p>
      <w:pPr>
        <w:ind w:left="920" w:right="20" w:firstLine="420"/>
        <w:spacing w:after="0" w:line="286"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if specified pursuant to Section 301, its obligations under any other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such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 Section 1503.”</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Section 8.01. This First Supplemental Indenture and the Notes shall be governed by and construed in accordance with the laws of the State of New York. This First Supplemental Indenture is subject to the provisions of the Trust Indenture Act of 1939, as amended, that are required to be part of the Indenture and shall, to the extent applicable, be governed by such provisions.</w:t>
      </w:r>
    </w:p>
    <w:p>
      <w:pPr>
        <w:sectPr>
          <w:pgSz w:w="11900" w:h="16838" w:orient="portrait"/>
          <w:cols w:equalWidth="0" w:num="1">
            <w:col w:w="11400"/>
          </w:cols>
          <w:pgMar w:left="240" w:top="280" w:right="259" w:bottom="1440" w:gutter="0" w:footer="0" w:header="0"/>
        </w:sectPr>
      </w:pPr>
    </w:p>
    <w:bookmarkStart w:id="104" w:name="page105"/>
    <w:bookmarkEnd w:id="104"/>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8.02. In case any provision in this First Supplemental Indenture or in the Notes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8.03. This First Supplemental Indenture may be executed in any number of counterparts, each of which so executed shall be deemed to be an original, but all such counterparts shall together constitute but one and the same First Supplemental Indenture. The exchange of copies of this First Supplemental Indenture and of signature pages by facsimile, .pdf transmission, email or other electronic means shall constitute effective execution and delivery of this First Supplemental Indenture for all purposes. Signatures of the parties hereto transmitted by facsimile, .pdf transmission, email or other electronic means shall be deemed to be their original signatures for all purposes.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8.04. The Base Indenture, as supplemented and amended by this First Supplemental Indenture, is in all respects ratified and confirmed, and the Base Indenture and this First Supplemental Indenture shall be read, taken and construed as one and the same instrument with respect to the Notes. All provisions included in this First Supplemental Indenture supersede any conflicting provisions included in the Base Indenture with respect to the Notes, unless not permitted by law. The Trustee accepts the trusts created by the Indenture, as supplemented by this First Supplemental Indenture, and agrees to perform the same upon the terms and conditions of the Base Indenture, as supplemented by this First Supplemental Indenture.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8.05. The provisions of this First Supplemental Indenture shall become effective as of the date hereof.</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Section 8.06. Notwithstanding anything else to the contrary herein, the terms and provisions of this First Supplemental Indenture shall apply only to the Notes and shall not apply to any other series of Securities under the Indenture and this First Supplemental Indenture shall not and does not otherwise affect, modify, alter, supplement or change the terms and provisions of any other series of Securities under the Indenture, whether now or hereafter issued and Outstanding.</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8.07.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First Supplemental Indenture, the Notes or any Additional Notes, except that the Trustee represents that it is duly authorized to execute and deliver this First Supplemental Indenture, authenticate the Notes and any Additional Notes and perform its obligations hereunder. The Trustee shall not be accountable for the use or application by the Company of the Notes or any Additional Notes or the proceeds thereof.</w:t>
      </w:r>
    </w:p>
    <w:p>
      <w:pPr>
        <w:sectPr>
          <w:pgSz w:w="11900" w:h="16838" w:orient="portrait"/>
          <w:cols w:equalWidth="0" w:num="1">
            <w:col w:w="11320"/>
          </w:cols>
          <w:pgMar w:left="240" w:top="280"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First Supplemental Indenture to be duly executed as of the date first above written.</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LLC, as Trustee</w:t>
      </w:r>
    </w:p>
    <w:p>
      <w:pPr>
        <w:spacing w:after="0" w:line="21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Karishma P. Kadian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10795</wp:posOffset>
            </wp:positionV>
            <wp:extent cx="25215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Karishma P. Kadian</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Counsel</w:t>
      </w:r>
    </w:p>
    <w:p>
      <w:pPr>
        <w:spacing w:after="0" w:line="16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ectPr>
          <w:pgSz w:w="11900" w:h="16838" w:orient="portrait"/>
          <w:cols w:equalWidth="0" w:num="1">
            <w:col w:w="10500"/>
          </w:cols>
          <w:pgMar w:left="1160" w:top="2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GLOBAL NOTE]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SECURITY IS A GLOBAL NOTE WITHIN THE MEANING OF THE INDENTURE HEREINAFTER DEFINED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TO THE COMPANY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ectPr>
          <w:pgSz w:w="11900" w:h="16838" w:orient="portrait"/>
          <w:cols w:equalWidth="0" w:num="1">
            <w:col w:w="11420"/>
          </w:cols>
          <w:pgMar w:left="240" w:top="274"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CUSIP No. 708062 302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ISIN No. US7080623025</w:t>
      </w:r>
    </w:p>
    <w:p>
      <w:pPr>
        <w:spacing w:after="0" w:line="200" w:lineRule="exact"/>
        <w:rPr>
          <w:sz w:val="20"/>
          <w:szCs w:val="20"/>
          <w:color w:val="auto"/>
        </w:rPr>
      </w:pPr>
    </w:p>
    <w:p>
      <w:pPr>
        <w:sectPr>
          <w:pgSz w:w="11900" w:h="16838" w:orient="portrait"/>
          <w:cols w:equalWidth="0" w:num="2">
            <w:col w:w="8640" w:space="720"/>
            <w:col w:w="2060"/>
          </w:cols>
          <w:pgMar w:left="240" w:top="274" w:right="2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6.25% Senior Notes due 2025</w:t>
      </w:r>
    </w:p>
    <w:p>
      <w:pPr>
        <w:sectPr>
          <w:pgSz w:w="11900" w:h="16838" w:orient="portrait"/>
          <w:cols w:equalWidth="0" w:num="1">
            <w:col w:w="11420"/>
          </w:cols>
          <w:pgMar w:left="240" w:top="274" w:right="239" w:bottom="1440" w:gutter="0" w:footer="0" w:header="0"/>
          <w:type w:val="continuous"/>
        </w:sectPr>
      </w:pPr>
    </w:p>
    <w:p>
      <w:pPr>
        <w:spacing w:after="0" w:line="206" w:lineRule="exact"/>
        <w:rPr>
          <w:sz w:val="20"/>
          <w:szCs w:val="20"/>
          <w:color w:val="auto"/>
        </w:rPr>
      </w:pPr>
    </w:p>
    <w:p>
      <w:pPr>
        <w:ind w:right="100" w:firstLine="913"/>
        <w:spacing w:after="0" w:line="305" w:lineRule="auto"/>
        <w:rPr>
          <w:sz w:val="20"/>
          <w:szCs w:val="20"/>
          <w:color w:val="auto"/>
        </w:rPr>
      </w:pPr>
      <w:r>
        <w:rPr>
          <w:rFonts w:ascii="Arial" w:cs="Arial" w:eastAsia="Arial" w:hAnsi="Arial"/>
          <w:sz w:val="15"/>
          <w:szCs w:val="15"/>
          <w:color w:val="auto"/>
        </w:rPr>
        <w:t>PennantPark Investment Corporation, a corporation duly organized and existing under the laws of the State of Maryland (herein called the “Company”, which term includes any successor Person under the Indenture hereinafter referred to), for value received, hereby promises to pay to Cede &amp; Co., or</w:t>
      </w:r>
    </w:p>
    <w:p>
      <w:pPr>
        <w:ind w:right="60"/>
        <w:spacing w:after="0" w:line="285" w:lineRule="auto"/>
        <w:rPr>
          <w:sz w:val="20"/>
          <w:szCs w:val="20"/>
          <w:color w:val="auto"/>
        </w:rPr>
      </w:pPr>
      <w:r>
        <w:rPr>
          <w:rFonts w:ascii="Arial" w:cs="Arial" w:eastAsia="Arial" w:hAnsi="Arial"/>
          <w:sz w:val="16"/>
          <w:szCs w:val="16"/>
          <w:color w:val="auto"/>
        </w:rPr>
        <w:t>registered assigns, the principal sum of(U.S. $ ) on February 1, 2025, and to pay interest thereon from January 22, 2013 or from the most recent Interest Payment Date to which interest has been paid or duly provided for, quarterly on February 1, May 1, August 1 and November 1 of each year, commencing May 1, 2013 (</w:t>
      </w:r>
      <w:r>
        <w:rPr>
          <w:rFonts w:ascii="Arial" w:cs="Arial" w:eastAsia="Arial" w:hAnsi="Arial"/>
          <w:sz w:val="16"/>
          <w:szCs w:val="16"/>
          <w:i w:val="1"/>
          <w:iCs w:val="1"/>
          <w:color w:val="auto"/>
        </w:rPr>
        <w:t>provided</w:t>
      </w:r>
      <w:r>
        <w:rPr>
          <w:rFonts w:ascii="Arial" w:cs="Arial" w:eastAsia="Arial" w:hAnsi="Arial"/>
          <w:sz w:val="16"/>
          <w:szCs w:val="16"/>
          <w:color w:val="auto"/>
        </w:rPr>
        <w:t>, that if an Interest Payment Date falls on a day that is not a Business Day in The City of New York, then the applicable interest payment shall be made on the next succeeding Business Day and no additional interest shall accrue as a result of such delayed payment), at the rate of 6.25% per annum, until the principal hereof is paid or made available for payment. The interest so payable, and punctually paid or duly provided for, on any Interest Payment Date shall, as provided in such Indenture, be paid to the Person in whose name this Security is registered at the close of business on the Regular Record Date for such interest, which shall be January 15, April 15, July 15 and October 15 of each year, commencing April 15, 2013 (</w:t>
      </w:r>
      <w:r>
        <w:rPr>
          <w:rFonts w:ascii="Arial" w:cs="Arial" w:eastAsia="Arial" w:hAnsi="Arial"/>
          <w:sz w:val="16"/>
          <w:szCs w:val="16"/>
          <w:i w:val="1"/>
          <w:iCs w:val="1"/>
          <w:color w:val="auto"/>
        </w:rPr>
        <w:t>provided</w:t>
      </w:r>
      <w:r>
        <w:rPr>
          <w:rFonts w:ascii="Arial" w:cs="Arial" w:eastAsia="Arial" w:hAnsi="Arial"/>
          <w:sz w:val="16"/>
          <w:szCs w:val="16"/>
          <w:color w:val="auto"/>
        </w:rPr>
        <w:t>, that if a Regular Record Date falls on a day that is not a Business Day in The City of New York, then that Regular Record Date shall be the next succeeding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22"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Payment of the principal of (and premium, if any) and any such interest on this Security shall be made at the Corporate Trust Office of the Trustee in New York, New York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at the option of the Company payment of interest may be made by check mailed to the address of the Person entitled thereto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shall appear in the Security Register.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type w:val="continuous"/>
        </w:sectPr>
      </w:pPr>
    </w:p>
    <w:bookmarkStart w:id="107" w:name="page108"/>
    <w:bookmarkEnd w:id="10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240" w:top="280" w:right="419" w:bottom="1440" w:gutter="0" w:footer="0" w:header="0"/>
        </w:sectPr>
      </w:pPr>
    </w:p>
    <w:bookmarkStart w:id="108" w:name="page109"/>
    <w:bookmarkEnd w:id="10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by the undersigned officer.</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PENNANTPARK INVESTMENT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22, 2013</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560"/>
          </w:cols>
          <w:pgMar w:left="240" w:top="280" w:right="1099" w:bottom="1440" w:gutter="0" w:footer="0" w:header="0"/>
        </w:sectPr>
      </w:pPr>
    </w:p>
    <w:bookmarkStart w:id="109" w:name="page110"/>
    <w:bookmarkEnd w:id="10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Securities of the series designated therein referred to in the within-mentioned Indenture.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AMERICAN STOCK TRANSFER &amp; TRUST COMPANY,</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LLC, 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22, 2013</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60"/>
          </w:cols>
          <w:pgMar w:left="240" w:top="280" w:right="5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Investment Corporation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6.25% Senior Notes due 2025</w:t>
      </w:r>
    </w:p>
    <w:p>
      <w:pPr>
        <w:spacing w:after="0" w:line="17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January 22, 2013 (herein called the “Base Indenture”), between the Company and American Stock Transfer &amp; Trust Company, LLC,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First Supplemental Indenture, dated as of January 22, 2013 (the “First Supplemental Indenture” and, together with the Base Indenture, herein called the “Indenture”). In the event of any conflict between the Base Indenture and the First Supplemental Indenture, the First Supplemental Indenture shall govern and control.</w:t>
      </w:r>
    </w:p>
    <w:p>
      <w:pPr>
        <w:spacing w:after="0" w:line="118"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This Security is one of the series designated on the face hereof, initially limited in aggregate principal amount to $ . Under a Board Resolution, an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Any Additional Securities and the existing Securities shall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2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Securities of this series are subject to redemption in whole or in part at any time or from time to time, at the option of the Company, on or after February 1, 2016, at a redemption price of $25 per security plus accrued and unpaid interest payments otherwise payable for the then-current quarterly interest period accrued to the date fixed for redemption.</w:t>
      </w:r>
    </w:p>
    <w:p>
      <w:pPr>
        <w:spacing w:after="0" w:line="14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Notice of redemption shall be given in writing and mailed, first-class postage prepaid or by overnight courier guaranteeing next-day delivery, to each Holder of the Securities to be redeemed, not less than thirty (30) nor more than sixty (60) days prior to the Redemption Date, at the Holder’s address appearing in the Security Register. All notices of redemption shall contain the information set forth in Section 1104 of the Base Indenture.</w:t>
      </w:r>
    </w:p>
    <w:p>
      <w:pPr>
        <w:spacing w:after="0" w:line="107" w:lineRule="exact"/>
        <w:rPr>
          <w:sz w:val="20"/>
          <w:szCs w:val="20"/>
          <w:color w:val="auto"/>
        </w:rPr>
      </w:pPr>
    </w:p>
    <w:p>
      <w:pPr>
        <w:jc w:val="both"/>
        <w:ind w:firstLine="913"/>
        <w:spacing w:after="0" w:line="370" w:lineRule="auto"/>
        <w:rPr>
          <w:sz w:val="20"/>
          <w:szCs w:val="20"/>
          <w:color w:val="auto"/>
        </w:rPr>
      </w:pPr>
      <w:r>
        <w:rPr>
          <w:rFonts w:ascii="Arial" w:cs="Arial" w:eastAsia="Arial" w:hAnsi="Arial"/>
          <w:sz w:val="15"/>
          <w:szCs w:val="15"/>
          <w:color w:val="auto"/>
        </w:rPr>
        <w:t>Any exercise of the Company’s option to redeem the Securities shall be done in compliance with the Investment Company Act of 1940, as amended, and the rules, regulations and interpretations promulgated thereunder, to the extent applicable, and any statute successor thereto (the “Investment Company Act”).</w:t>
      </w:r>
    </w:p>
    <w:p>
      <w:pPr>
        <w:spacing w:after="0" w:line="6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If the Company elects to redeem only a portion of the Securities, the Trustee shall determine the method for selecting the particular Securities to be redeemed, in accordance with the Investment Company Act, and the rules and regulations promulgated thereunder, to the extent applicable. In the event of redemption of this Security in part only, a new Security or Securities of this series and of like tenor for the unredeemed portion hereof shall be issued in the name of the Holder hereof upon the cancellation hereof.</w:t>
      </w:r>
    </w:p>
    <w:p>
      <w:pPr>
        <w:spacing w:after="0" w:line="14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shall cease to accrue on the Securities called for redemption.</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Holders of Securities do not have the option to have the Securities repaid prior to February 1, 2025.</w:t>
      </w:r>
    </w:p>
    <w:p>
      <w:pPr>
        <w:spacing w:after="0" w:line="171"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74" w:right="279" w:bottom="1440" w:gutter="0" w:footer="0" w:header="0"/>
        </w:sectPr>
      </w:pPr>
    </w:p>
    <w:bookmarkStart w:id="111" w:name="page112"/>
    <w:bookmarkEnd w:id="111"/>
    <w:p>
      <w:pPr>
        <w:ind w:right="10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18"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(1) such Holder shall have previously given the Trustee written notice of a continuing Event of Default with respect to the Securities of this series, (2) the Holders of not less than 25% in principal amount of the Securities of this series at the time Outstanding shall have made written request to the Trustee to institute proceedings in respect of such Event of Default as Trustee, (3) such Holder offered the Trustee indemnity satisfactory to the Trustee against the costs, expenses and liabilities to be incurred in compliance with such request, (4) for sixty (60) days after receipt of such notice, request and offer of indemnity, the Trustee shall have failed to institute any such proceeding, and</w:t>
      </w:r>
    </w:p>
    <w:p>
      <w:pPr>
        <w:spacing w:after="0" w:line="1" w:lineRule="exact"/>
        <w:rPr>
          <w:sz w:val="20"/>
          <w:szCs w:val="20"/>
          <w:color w:val="auto"/>
        </w:rPr>
      </w:pPr>
    </w:p>
    <w:p>
      <w:pPr>
        <w:ind w:right="120" w:firstLine="8"/>
        <w:spacing w:after="0" w:line="255" w:lineRule="auto"/>
        <w:tabs>
          <w:tab w:leader="none" w:pos="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shall not have received from the Holders of a majority in principal amount of Securities of this series at the time Outstanding a direction inconsistent with such request. The foregoing shall not apply to any suit instituted by the Holder of this Security for the enforcement of any payment of principal hereof or any premium or interest hereon on or after the respective due dates expressed herein.</w:t>
      </w:r>
    </w:p>
    <w:p>
      <w:pPr>
        <w:spacing w:after="0" w:line="144"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40"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shall be issued to the designated transferee or transferees.</w:t>
      </w:r>
    </w:p>
    <w:p>
      <w:pPr>
        <w:spacing w:after="0" w:line="116"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$25 and any integral multiples of $25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07"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and this Security shall be governed by and construed in accordance with the laws of the State of New York.</w:t>
      </w:r>
    </w:p>
    <w:p>
      <w:pPr>
        <w:sectPr>
          <w:pgSz w:w="11900" w:h="16838" w:orient="portrait"/>
          <w:cols w:equalWidth="0" w:num="1">
            <w:col w:w="9299"/>
          </w:cols>
          <w:pgMar w:left="1160" w:top="280" w:right="1440" w:bottom="1440" w:gutter="0" w:footer="0" w:header="0"/>
        </w:sectPr>
      </w:pPr>
    </w:p>
    <w:p>
      <w:pPr>
        <w:spacing w:after="0" w:line="19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9299"/>
          </w:cols>
          <w:pgMar w:left="1160" w:top="280" w:right="1440"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(h)(6)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$67,500,000 Aggregate Principal Amount 6.25% Senior Notes due 2025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January16,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501 N.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PennantPark Investment Corporation, a Maryland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issue and sell $67,500,000 aggregate principal amount of 6.25% Senior Notes due 2025 (the “</w:t>
      </w:r>
      <w:r>
        <w:rPr>
          <w:rFonts w:ascii="Arial" w:cs="Arial" w:eastAsia="Arial" w:hAnsi="Arial"/>
          <w:sz w:val="16"/>
          <w:szCs w:val="16"/>
          <w:b w:val="1"/>
          <w:bCs w:val="1"/>
          <w:i w:val="1"/>
          <w:iCs w:val="1"/>
          <w:color w:val="auto"/>
        </w:rPr>
        <w:t>Senior Notes</w:t>
      </w:r>
      <w:r>
        <w:rPr>
          <w:rFonts w:ascii="Arial" w:cs="Arial" w:eastAsia="Arial" w:hAnsi="Arial"/>
          <w:sz w:val="16"/>
          <w:szCs w:val="16"/>
          <w:color w:val="auto"/>
        </w:rPr>
        <w:t>”). It is understood that, subject to the conditions hereinafter stated, the Senior Notes will be sold by the Company to the several Underwriters named in Schedule A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in connection with the offer and sale of such Senior Notes. Stifel, Nicolaus &amp; Company, Incorporated and RBC Capital Markets, LLC shall act as joint book-running managers (the “</w:t>
      </w:r>
      <w:r>
        <w:rPr>
          <w:rFonts w:ascii="Arial" w:cs="Arial" w:eastAsia="Arial" w:hAnsi="Arial"/>
          <w:sz w:val="16"/>
          <w:szCs w:val="16"/>
          <w:b w:val="1"/>
          <w:bCs w:val="1"/>
          <w:i w:val="1"/>
          <w:iCs w:val="1"/>
          <w:color w:val="auto"/>
        </w:rPr>
        <w:t>Joint Book-Running Managers</w:t>
      </w:r>
      <w:r>
        <w:rPr>
          <w:rFonts w:ascii="Arial" w:cs="Arial" w:eastAsia="Arial" w:hAnsi="Arial"/>
          <w:sz w:val="16"/>
          <w:szCs w:val="16"/>
          <w:color w:val="auto"/>
        </w:rPr>
        <w:t>”).</w:t>
      </w:r>
    </w:p>
    <w:p>
      <w:pPr>
        <w:spacing w:after="0" w:line="113"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addition, the Company proposes to grant to the Underwriters the option to purchase from the Company up to an additional $10,125,000 aggregate principal amount of Senior Notes (the “</w:t>
      </w:r>
      <w:r>
        <w:rPr>
          <w:rFonts w:ascii="Arial" w:cs="Arial" w:eastAsia="Arial" w:hAnsi="Arial"/>
          <w:sz w:val="16"/>
          <w:szCs w:val="16"/>
          <w:b w:val="1"/>
          <w:bCs w:val="1"/>
          <w:i w:val="1"/>
          <w:iCs w:val="1"/>
          <w:color w:val="auto"/>
        </w:rPr>
        <w:t>Additional Senior Notes</w:t>
      </w:r>
      <w:r>
        <w:rPr>
          <w:rFonts w:ascii="Arial" w:cs="Arial" w:eastAsia="Arial" w:hAnsi="Arial"/>
          <w:sz w:val="16"/>
          <w:szCs w:val="16"/>
          <w:color w:val="auto"/>
        </w:rPr>
        <w:t>”), to cover overallotments, if any. The Senior Notes and the Additional Senior Notes are hereinafter collectively sometimes referred to as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The Securities are described in the Prospectus which is referred to below.</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Securities will be issued under an indenture dated as of January 22, 2013 (the “</w:t>
      </w:r>
      <w:r>
        <w:rPr>
          <w:rFonts w:ascii="Arial" w:cs="Arial" w:eastAsia="Arial" w:hAnsi="Arial"/>
          <w:sz w:val="16"/>
          <w:szCs w:val="16"/>
          <w:b w:val="1"/>
          <w:bCs w:val="1"/>
          <w:i w:val="1"/>
          <w:iCs w:val="1"/>
          <w:color w:val="auto"/>
        </w:rPr>
        <w:t>Base Indenture</w:t>
      </w:r>
      <w:r>
        <w:rPr>
          <w:rFonts w:ascii="Arial" w:cs="Arial" w:eastAsia="Arial" w:hAnsi="Arial"/>
          <w:sz w:val="16"/>
          <w:szCs w:val="16"/>
          <w:color w:val="auto"/>
        </w:rPr>
        <w:t>”), as supplemented by the First Supplemental Indenture to be dated as of January 22, 2013 (the “</w:t>
      </w:r>
      <w:r>
        <w:rPr>
          <w:rFonts w:ascii="Arial" w:cs="Arial" w:eastAsia="Arial" w:hAnsi="Arial"/>
          <w:sz w:val="16"/>
          <w:szCs w:val="16"/>
          <w:b w:val="1"/>
          <w:bCs w:val="1"/>
          <w:i w:val="1"/>
          <w:iCs w:val="1"/>
          <w:color w:val="auto"/>
        </w:rPr>
        <w:t>First 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American Stock Transfer &amp; Trust Company, LLC,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The Securities will be issued to Cede &amp; Co., as nominee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pursuant to a blanket letter of representations (the “</w:t>
      </w:r>
      <w:r>
        <w:rPr>
          <w:rFonts w:ascii="Arial" w:cs="Arial" w:eastAsia="Arial" w:hAnsi="Arial"/>
          <w:sz w:val="16"/>
          <w:szCs w:val="16"/>
          <w:b w:val="1"/>
          <w:bCs w:val="1"/>
          <w:i w:val="1"/>
          <w:iCs w:val="1"/>
          <w:color w:val="auto"/>
        </w:rPr>
        <w:t>DTC Agreement</w:t>
      </w:r>
      <w:r>
        <w:rPr>
          <w:rFonts w:ascii="Arial" w:cs="Arial" w:eastAsia="Arial" w:hAnsi="Arial"/>
          <w:sz w:val="16"/>
          <w:szCs w:val="16"/>
          <w:color w:val="auto"/>
        </w:rPr>
        <w:t>”) to be dated on or prior to the Closing Date (as defined herein), between the Company and DTC. The Indenture has been qualified under the Trust Indenture Act of 1939, as amended (the “</w:t>
      </w:r>
      <w:r>
        <w:rPr>
          <w:rFonts w:ascii="Arial" w:cs="Arial" w:eastAsia="Arial" w:hAnsi="Arial"/>
          <w:sz w:val="16"/>
          <w:szCs w:val="16"/>
          <w:b w:val="1"/>
          <w:bCs w:val="1"/>
          <w:i w:val="1"/>
          <w:iCs w:val="1"/>
          <w:color w:val="auto"/>
        </w:rPr>
        <w:t>Trust Indenture Act</w:t>
      </w:r>
      <w:r>
        <w:rPr>
          <w:rFonts w:ascii="Arial" w:cs="Arial" w:eastAsia="Arial" w:hAnsi="Arial"/>
          <w:sz w:val="16"/>
          <w:szCs w:val="16"/>
          <w:color w:val="auto"/>
        </w:rPr>
        <w: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8842241.10</w:t>
      </w:r>
    </w:p>
    <w:p>
      <w:pPr>
        <w:sectPr>
          <w:pgSz w:w="11900" w:h="16838" w:orient="portrait"/>
          <w:cols w:equalWidth="0" w:num="1">
            <w:col w:w="11420"/>
          </w:cols>
          <w:pgMar w:left="240" w:top="125" w:right="239" w:bottom="1440" w:gutter="0" w:footer="0" w:header="0"/>
        </w:sectPr>
      </w:pPr>
    </w:p>
    <w:bookmarkStart w:id="114" w:name="page115"/>
    <w:bookmarkEnd w:id="114"/>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 No. 333-172524) relating to the Securities. The registration statement, as amended by post-effective amendment No. 1</w:t>
      </w:r>
      <w:r>
        <w:rPr>
          <w:rFonts w:ascii="Arial" w:cs="Arial" w:eastAsia="Arial" w:hAnsi="Arial"/>
          <w:sz w:val="16"/>
          <w:szCs w:val="16"/>
          <w:b w:val="1"/>
          <w:bCs w:val="1"/>
          <w:color w:val="auto"/>
        </w:rPr>
        <w:t>,</w:t>
      </w:r>
      <w:r>
        <w:rPr>
          <w:rFonts w:ascii="Arial" w:cs="Arial" w:eastAsia="Arial" w:hAnsi="Arial"/>
          <w:sz w:val="16"/>
          <w:szCs w:val="16"/>
          <w:color w:val="auto"/>
        </w:rPr>
        <w:t xml:space="preserve"> filed by the Company with the Commission on December 21, 2011, post-effective amendment No. 2, filed by the Company with the Commission on January 24, 2012 and post-effective amendment No. 3, filed by the Company with the Commission on September 26, 2012, and as it may have heretofore been amended subsequently at the time it became effective, including the information (if any) deemed to be part of the registration statement at the time of effectiveness pursuant to Rule 430C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as of January 6, 2012, included in the Registration Statement at the time it became effective on January 6, 2012 (including the information, if any, deemed to be part of the Registration Statement at the time of effectiveness pursuant to Rule 430C and Rule 497 under the Act), in the form in which it was distributed, is hereinafter referred to as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the prospectus supplement dated January 15, 2013 filed with the Commission pursuant to Rule 497 under the Act is hereinafter referred to as the “</w:t>
      </w:r>
      <w:r>
        <w:rPr>
          <w:rFonts w:ascii="Arial" w:cs="Arial" w:eastAsia="Arial" w:hAnsi="Arial"/>
          <w:sz w:val="16"/>
          <w:szCs w:val="16"/>
          <w:b w:val="1"/>
          <w:bCs w:val="1"/>
          <w:i w:val="1"/>
          <w:iCs w:val="1"/>
          <w:color w:val="auto"/>
        </w:rPr>
        <w:t>Pricing 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The prospectus supplement to be filed with the Commission pursuant to Rule 497 after the Execution Time (as defined below) and to be used to confirm sales is hereinafter referred to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certain information relating to the pricing of the Securities omitted from the Pricing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Prospectus that will be included in the Prospectus Supplement and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is hereinafter referred to as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A Notification of Election to be subject to Sections 55 through 65 of the Investment Company Act of 1940 was filed with the Commission on Form N-54A (File No. 814-00743) (the “</w:t>
      </w:r>
      <w:r>
        <w:rPr>
          <w:rFonts w:ascii="Arial" w:cs="Arial" w:eastAsia="Arial" w:hAnsi="Arial"/>
          <w:sz w:val="16"/>
          <w:szCs w:val="16"/>
          <w:b w:val="1"/>
          <w:bCs w:val="1"/>
          <w:i w:val="1"/>
          <w:iCs w:val="1"/>
          <w:color w:val="auto"/>
        </w:rPr>
        <w:t>Notification of Election</w:t>
      </w:r>
      <w:r>
        <w:rPr>
          <w:rFonts w:ascii="Arial" w:cs="Arial" w:eastAsia="Arial" w:hAnsi="Arial"/>
          <w:sz w:val="16"/>
          <w:szCs w:val="16"/>
          <w:color w:val="auto"/>
        </w:rPr>
        <w:t>”) on April 19, 2007 pursuant to Section 54(a) of the Investment Company Act of 1940, as amended, and the rules and 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As used herein,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 day on which the New York Stock Exchange is open for trading.</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entered into an investment advisory and management agreement, dated as of April 17, 2007, as renewed in February 2012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color w:val="auto"/>
        </w:rPr>
        <w:t>”), with PennantPark Investment Advisers, LLC, a Delaware limited liability company registered as an investment adviser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under the Investment Advisers Act of 1940, as amended, and the rules and regulations thereunder (collectively,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18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Company has entered into an administration agreement, dated as of April 17, 2007, as renewed in February 2012 (the “</w:t>
      </w:r>
      <w:r>
        <w:rPr>
          <w:rFonts w:ascii="Arial" w:cs="Arial" w:eastAsia="Arial" w:hAnsi="Arial"/>
          <w:sz w:val="16"/>
          <w:szCs w:val="16"/>
          <w:b w:val="1"/>
          <w:bCs w:val="1"/>
          <w:i w:val="1"/>
          <w:iCs w:val="1"/>
          <w:color w:val="auto"/>
        </w:rPr>
        <w:t>Administration Agreement</w:t>
      </w:r>
      <w:r>
        <w:rPr>
          <w:rFonts w:ascii="Arial" w:cs="Arial" w:eastAsia="Arial" w:hAnsi="Arial"/>
          <w:sz w:val="16"/>
          <w:szCs w:val="16"/>
          <w:color w:val="auto"/>
        </w:rPr>
        <w:t>”), with PennantPark Investment Administration, LLC, a Delaware limited liability company (the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171" w:lineRule="exact"/>
        <w:rPr>
          <w:sz w:val="20"/>
          <w:szCs w:val="20"/>
          <w:color w:val="auto"/>
        </w:rPr>
      </w:pPr>
    </w:p>
    <w:p>
      <w:pPr>
        <w:ind w:right="120" w:firstLine="464"/>
        <w:spacing w:after="0" w:line="268" w:lineRule="auto"/>
        <w:tabs>
          <w:tab w:leader="none" w:pos="6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Sale and Purchase</w:t>
      </w:r>
      <w:r>
        <w:rPr>
          <w:rFonts w:ascii="Arial" w:cs="Arial" w:eastAsia="Arial" w:hAnsi="Arial"/>
          <w:sz w:val="18"/>
          <w:szCs w:val="18"/>
          <w:color w:val="auto"/>
        </w:rPr>
        <w:t>. Upon the basis of the representations and warranties and subject to the terms and conditions herein set forth, the Company agrees to issue and sell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15" w:name="page116"/>
    <w:bookmarkEnd w:id="115"/>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respective Underwriters and each of the Underwriters, severally and not jointly, agrees to purchase from the Company at the price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to be paid by the several Underwriters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the aggregate principal amount of Senior Notes set forth opposite the name of such Underwriter in Schedule A attached hereto, subject to adjustment in accordance with Section 8 hereof. The Company is advised by you that the Underwriters intend initially to offer the Senior Notes upon the terms set forth in the Prospectus. You may from time to time increase or decrease the public offering price after the public offering to such extent as you may determine.</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Senior Notes to be purchased by each of them, all or a portion of the Additional Senior Notes as may be necessary to cover overallotments made in connection with the offering of the Senior Notes, at the same purchase price to be paid by the Underwriters to the Company for the Senior Notes (without giving effect to any accrued interest from the time of purchase to the additional time of purchase, as those terms are defined herein) solely to cover overallotments made in connection with the offering of the Senior Notes. This overallotment option may be exercised by the Joint Book-Running Managers on behalf of the several Underwriters in whole or from time to time in part at any time (but not more than twice) on or before the thirtieth day following the date of the Prospectus, by written notice to the Company. Such notice shall set forth the aggregate principal amount of Additional Senior Notes as to which the overallotment option is being exercised, and the date and time when the Additional Senior Notes are to be delivered (such date and time being herein referred to as the “a</w:t>
      </w:r>
      <w:r>
        <w:rPr>
          <w:rFonts w:ascii="Arial" w:cs="Arial" w:eastAsia="Arial" w:hAnsi="Arial"/>
          <w:sz w:val="16"/>
          <w:szCs w:val="16"/>
          <w:b w:val="1"/>
          <w:bCs w:val="1"/>
          <w:i w:val="1"/>
          <w:iCs w:val="1"/>
          <w:color w:val="auto"/>
        </w:rPr>
        <w:t>dditional time of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later than three business days after the date of such notice. The aggregate principal amount of Additional Senior Notes to be sold to each Underwriter shall be the aggregate principal amount which bears the same proportion to the aggregate principal amount of Additional Senior Notes being purchased as the number of Senior Notes set forth opposite the name of such Underwriter on Schedule A hereto bears to the total aggregate principal amount of Senior Notes, subject to adjustment in accordance with Section 8 hereof.</w:t>
      </w:r>
    </w:p>
    <w:p>
      <w:pPr>
        <w:spacing w:after="0" w:line="128" w:lineRule="exact"/>
        <w:rPr>
          <w:sz w:val="20"/>
          <w:szCs w:val="20"/>
          <w:color w:val="auto"/>
        </w:rPr>
      </w:pPr>
    </w:p>
    <w:p>
      <w:pPr>
        <w:ind w:right="220" w:firstLine="464"/>
        <w:spacing w:after="0" w:line="294" w:lineRule="auto"/>
        <w:tabs>
          <w:tab w:leader="none" w:pos="63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of the purchase price for the Senior Notes shall be made to the Company by Federal Funds wire transfer, against delivery of the Senior Notes to you through the facilities of DTC for the respective accounts of the Underwriters. Such payment and delivery shall be made at 10:00 A.M., New York City time, on January 22, 2013 (unless another time shall be agreed to by you and the Company or unless postponed in accordance with the provisions of Section 8 hereof). The time at which such payment and delivery are to be made is hereinafter sometimes called “</w:t>
      </w:r>
      <w:r>
        <w:rPr>
          <w:rFonts w:ascii="Arial" w:cs="Arial" w:eastAsia="Arial" w:hAnsi="Arial"/>
          <w:sz w:val="16"/>
          <w:szCs w:val="16"/>
          <w:b w:val="1"/>
          <w:bCs w:val="1"/>
          <w:i w:val="1"/>
          <w:iCs w:val="1"/>
          <w:color w:val="auto"/>
        </w:rPr>
        <w:t>the time of purchase</w:t>
      </w:r>
      <w:r>
        <w:rPr>
          <w:rFonts w:ascii="Arial" w:cs="Arial" w:eastAsia="Arial" w:hAnsi="Arial"/>
          <w:sz w:val="16"/>
          <w:szCs w:val="16"/>
          <w:color w:val="auto"/>
        </w:rPr>
        <w:t>.” Electronic transfer of the Senior Notes shall be made to you at the time of purchase in such names and in such denominations as you shall specify.</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Payment of the purchase price for the Additional Senior Notes shall be made at the additional time of purchase, if any, in the same manner and at the same office as the payment for the Senior Notes. Electronic transfer of the Additional Senior Notes shall be made to you at the additional time of purchase in such names and in such denominations as you shall specify.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6" w:name="page117"/>
    <w:bookmarkEnd w:id="116"/>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Deliveries of the documents described in Section 6 hereof with respect to the purchase of the Securities shall be made at the offices of Fried, Frank, Harris, Shriver &amp; Jacobson LLP, One New York Plaza, New York, N.Y. 10004 at 10:00 A.M., New York City time, on the date of the closing of the purchase of the Senior Notes or the Additional Senior Notes, as the case may be.</w:t>
      </w:r>
    </w:p>
    <w:p>
      <w:pPr>
        <w:spacing w:after="0" w:line="140" w:lineRule="exact"/>
        <w:rPr>
          <w:sz w:val="20"/>
          <w:szCs w:val="20"/>
          <w:color w:val="auto"/>
        </w:rPr>
      </w:pPr>
    </w:p>
    <w:p>
      <w:pPr>
        <w:ind w:right="280" w:firstLine="464"/>
        <w:spacing w:after="0" w:line="332" w:lineRule="auto"/>
        <w:tabs>
          <w:tab w:leader="none" w:pos="63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each of the Underwriters, and the Adviser and the Administrator, jointly and severally, represent and warrant to and agree with each of the Underwriters that:</w:t>
      </w:r>
    </w:p>
    <w:p>
      <w:pPr>
        <w:spacing w:after="0" w:line="85" w:lineRule="exact"/>
        <w:rPr>
          <w:sz w:val="20"/>
          <w:szCs w:val="20"/>
          <w:color w:val="auto"/>
        </w:rPr>
      </w:pPr>
    </w:p>
    <w:p>
      <w:pPr>
        <w:ind w:firstLine="464"/>
        <w:spacing w:after="0" w:line="284" w:lineRule="auto"/>
        <w:tabs>
          <w:tab w:leader="none" w:pos="69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19, 2007 under the Investment Company Act; the Pricing Prospectus taken together with the Pricing Information, as of the date and time that this Agreement is executed and delivered by the parties hereto (the “</w:t>
      </w:r>
      <w:r>
        <w:rPr>
          <w:rFonts w:ascii="Arial" w:cs="Arial" w:eastAsia="Arial" w:hAnsi="Arial"/>
          <w:sz w:val="16"/>
          <w:szCs w:val="16"/>
          <w:b w:val="1"/>
          <w:bCs w:val="1"/>
          <w:i w:val="1"/>
          <w:iCs w:val="1"/>
          <w:color w:val="auto"/>
        </w:rPr>
        <w:t>Execution Time</w:t>
      </w:r>
      <w:r>
        <w:rPr>
          <w:rFonts w:ascii="Arial" w:cs="Arial" w:eastAsia="Arial" w:hAnsi="Arial"/>
          <w:sz w:val="16"/>
          <w:szCs w:val="16"/>
          <w:color w:val="auto"/>
        </w:rPr>
        <w:t xml:space="preserve">”), and at the time of purchase and any additional time of purchase,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applicable requirements of the Act and the Investment Company Act and the Prospectus (and any supplements thereto), as of the date it is first filed in accordance with Rule 497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the Adviser and the Administrator make no warranty or representation with respect to any statement or omission contained in the 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Securities other than the Registration Statement, the Pricing Prospectus and the Prospectus; any Road Show Materials (as defined below), when considered together with the Pricing Prospectus, do not contain any untrue statement of material fact or omit to state a material fact necessary to make the statements therein, in the light of the circumstances under which they were made, not misleading;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7" w:name="page118"/>
    <w:bookmarkEnd w:id="117"/>
    <w:p>
      <w:pPr>
        <w:ind w:firstLine="464"/>
        <w:spacing w:after="0" w:line="289" w:lineRule="auto"/>
        <w:tabs>
          <w:tab w:leader="none" w:pos="705"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Execution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for the offering” in the section of the Prospectus entitled “Capitalization” (subject, in the case of the time of purchase and in the event that the time of purchase and the additional time of purchase occur concurrently, to the issues of the Additional Senior Notes, and subject, in the case of the additional time of purchase, to the issuance of the Additional Senior Notes as well as the issuance of any shares pursuant to the Company’s dividend reinvestment plan); all of the issued and outstanding shares of capital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118" w:lineRule="exact"/>
        <w:rPr>
          <w:rFonts w:ascii="Arial" w:cs="Arial" w:eastAsia="Arial" w:hAnsi="Arial"/>
          <w:sz w:val="16"/>
          <w:szCs w:val="16"/>
          <w:color w:val="auto"/>
        </w:rPr>
      </w:pPr>
    </w:p>
    <w:p>
      <w:pPr>
        <w:ind w:right="160" w:firstLine="464"/>
        <w:spacing w:after="0" w:line="306"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the Indenture, the Securities and the DTC Agreement;</w:t>
      </w:r>
    </w:p>
    <w:p>
      <w:pPr>
        <w:spacing w:after="0" w:line="106" w:lineRule="exact"/>
        <w:rPr>
          <w:rFonts w:ascii="Arial" w:cs="Arial" w:eastAsia="Arial" w:hAnsi="Arial"/>
          <w:sz w:val="16"/>
          <w:szCs w:val="16"/>
          <w:color w:val="auto"/>
        </w:rPr>
      </w:pPr>
    </w:p>
    <w:p>
      <w:pPr>
        <w:ind w:firstLine="464"/>
        <w:spacing w:after="0" w:line="291" w:lineRule="auto"/>
        <w:tabs>
          <w:tab w:leader="none" w:pos="70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and its subsidiaries PennantPark SBIC LP, PennantPark SBIC II LP, PennantPark SBIC GP, LLC, PennantPark SBIC GP II, LLC, PNNT Alabama Holdings Inc., PNNT Acentia, LLC, PNNT CI (GALLS) Prime Investment Holdings, LLC, PNNT Transportation 100 Holdco, LLC, SuttonPark Holdings, Inc. and SuttonPark Capital LLC (each a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Subsidiaries</w:t>
      </w:r>
      <w:r>
        <w:rPr>
          <w:rFonts w:ascii="Arial" w:cs="Arial" w:eastAsia="Arial" w:hAnsi="Arial"/>
          <w:sz w:val="16"/>
          <w:szCs w:val="16"/>
          <w:color w:val="auto"/>
        </w:rPr>
        <w:t>”) taken as a whole (a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firstLine="464"/>
        <w:spacing w:after="0" w:line="288"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Company has no subsidiary, other than PennantPark SBIC LP, that is a significant subsidiary of the Company within the meaning of Rule 1-02(w) of Regulation S-X under the Act; the Company has no subsidiary (as defined in the Act) other than the Subsidiaries; each of the Subsidiaries has been duly organized, is validly existing as a Delaware limited partnership, a Delaware limited liability company and a Delaware corporation, as the case may be, is in good standing under the laws of the jurisdiction in which it was organized, has the power and authority to own, lease and operate its properties and to conduct its business as described in the Pricing Prospectus, the Prospectus and the Registration Statement, as applicable; complete and correct copies of the articles of incorporation, certificate of formation, certificate of limited partnership, limited liability company operating agreement, limited partnership agreement and bylaws, as applicable, of each of the Company and of the Subsidiaries, and all amendments thereto through the date hereof, have been delivered to you; the Company, either directly or through a wholly-owned subsidiary, owns all of the outstanding equity interests of the Subsidiaries free and clear of any liens, charges or encumbrances in favor of any third parties. PNNT Alabama Holdings Inc. does not employ any persons or conduct any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8" w:name="page119"/>
    <w:bookmarkEnd w:id="118"/>
    <w:p>
      <w:pPr>
        <w:ind w:left="-40" w:right="180" w:firstLine="464"/>
        <w:spacing w:after="0" w:line="259" w:lineRule="auto"/>
        <w:tabs>
          <w:tab w:leader="none" w:pos="6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Subsidiaries are duly qualified to do business as a foreign entity and are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40" w:lineRule="exact"/>
        <w:rPr>
          <w:rFonts w:ascii="Arial" w:cs="Arial" w:eastAsia="Arial" w:hAnsi="Arial"/>
          <w:sz w:val="18"/>
          <w:szCs w:val="18"/>
          <w:color w:val="auto"/>
        </w:rPr>
      </w:pPr>
    </w:p>
    <w:p>
      <w:pPr>
        <w:ind w:left="-40" w:right="100" w:firstLine="464"/>
        <w:spacing w:after="0" w:line="255" w:lineRule="auto"/>
        <w:tabs>
          <w:tab w:leader="none" w:pos="6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Indenture (including the First Supplemental Indenture) has been duly authorized, and at the time of purchase, will be executed and delivered by the Company and when duly authorized, executed and delivered by the Trustee will constitute a valid and legally binding obligation of the Company, enforceable against the Company in accordance with its terms, subject, as to enforcement, to applicable bankruptcy, reorganization, insolvency, moratorium or other laws affecting creditors’ rights generally and to general principles of equity (regardless of whether enforcement is considered in a proceeding in equity or law) (collectively, the “</w:t>
      </w:r>
      <w:r>
        <w:rPr>
          <w:rFonts w:ascii="Arial" w:cs="Arial" w:eastAsia="Arial" w:hAnsi="Arial"/>
          <w:sz w:val="18"/>
          <w:szCs w:val="18"/>
          <w:b w:val="1"/>
          <w:bCs w:val="1"/>
          <w:i w:val="1"/>
          <w:iCs w:val="1"/>
          <w:color w:val="auto"/>
        </w:rPr>
        <w:t>Enforceability Exceptions</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left="-40" w:right="220" w:firstLine="464"/>
        <w:spacing w:after="0" w:line="268" w:lineRule="auto"/>
        <w:tabs>
          <w:tab w:leader="none" w:pos="6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DTC Agreement has been duly authorized, executed and delivered by the Company and is a valid and legally binding obligation of the Company, enforceable against the Company in accordance with its terms, subject to the Enforceability Exceptions;</w:t>
      </w:r>
    </w:p>
    <w:p>
      <w:pPr>
        <w:spacing w:after="0" w:line="131" w:lineRule="exact"/>
        <w:rPr>
          <w:rFonts w:ascii="Arial" w:cs="Arial" w:eastAsia="Arial" w:hAnsi="Arial"/>
          <w:sz w:val="18"/>
          <w:szCs w:val="18"/>
          <w:color w:val="auto"/>
        </w:rPr>
      </w:pPr>
    </w:p>
    <w:p>
      <w:pPr>
        <w:ind w:left="-40" w:right="20" w:firstLine="464"/>
        <w:spacing w:after="0" w:line="294" w:lineRule="auto"/>
        <w:tabs>
          <w:tab w:leader="none" w:pos="62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Securities have been duly authorized for sale to the Underwriters pursuant to this Agreement and, when executed and delivered by the Company and authenticated by the Trustee pursuant to the provisions of this Agreement and of the Indenture relating thereto, against payment of the consideration set forth in this Agreement, will be valid and legally binding obligations of the Company enforceable in accordance with their terms, subject to the Enforceability Exceptions, and will be entitled to the benefits of the Indenture relating thereto; and the Securities and the Indenture conform in all material respect to the statements relating thereto contained in the Pricing Prospectus and the Prospectus;</w:t>
      </w:r>
    </w:p>
    <w:p>
      <w:pPr>
        <w:spacing w:after="0" w:line="115" w:lineRule="exact"/>
        <w:rPr>
          <w:rFonts w:ascii="Arial" w:cs="Arial" w:eastAsia="Arial" w:hAnsi="Arial"/>
          <w:sz w:val="16"/>
          <w:szCs w:val="16"/>
          <w:color w:val="auto"/>
        </w:rPr>
      </w:pPr>
    </w:p>
    <w:p>
      <w:pPr>
        <w:ind w:left="-40" w:firstLine="464"/>
        <w:spacing w:after="0" w:line="255" w:lineRule="auto"/>
        <w:tabs>
          <w:tab w:leader="none" w:pos="6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this Agreement, the Investment Advisory Agreement and the Administration Agreement have been duly authorized, executed and delivered by the Company and constitute the valid and legally binding agreements of the Company, enforceable against the Company, in accordance with their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by the Enforceability Exceptions;</w:t>
      </w:r>
    </w:p>
    <w:p>
      <w:pPr>
        <w:spacing w:after="0" w:line="142" w:lineRule="exact"/>
        <w:rPr>
          <w:rFonts w:ascii="Arial" w:cs="Arial" w:eastAsia="Arial" w:hAnsi="Arial"/>
          <w:sz w:val="18"/>
          <w:szCs w:val="18"/>
          <w:color w:val="auto"/>
        </w:rPr>
      </w:pPr>
    </w:p>
    <w:p>
      <w:pPr>
        <w:ind w:left="-40" w:right="20" w:firstLine="464"/>
        <w:spacing w:after="0" w:line="291" w:lineRule="auto"/>
        <w:tabs>
          <w:tab w:leader="none" w:pos="66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neither the Company nor any Subsidiary is (i) in violation of its charter, by-laws, certificate of formation, limited liability company operating agreement, or other organizational documents of the Company or any Subsidiary, as applicable,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 (iii) in contravention of any law, regulation or rule or any decree, judgment or order applicable to the Company or any Subsidiary, as applicable, except, with respect to clause (ii) and (iii), to the extent that any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19" w:name="page120"/>
    <w:bookmarkEnd w:id="119"/>
    <w:p>
      <w:pPr>
        <w:ind w:right="4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contravention would not have a Material Adverse Effect; and the execution, delivery and performance by the Company of this Agreement, the Indenture (including the First Supplemental Indenture), the Securities and the DTC Agreement and the consummation of the transactions contemplated hereby will not</w:t>
      </w:r>
    </w:p>
    <w:p>
      <w:pPr>
        <w:ind w:right="100" w:firstLine="8"/>
        <w:spacing w:after="0" w:line="288" w:lineRule="auto"/>
        <w:tabs>
          <w:tab w:leader="none" w:pos="21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violate the charter, by-laws or other organizational documents of the Company,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 (iii) contravene any law, regulation or rule or any decree, judgment or order applicable to the Company or any Subsidiary, as applicable,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122" w:lineRule="exact"/>
        <w:rPr>
          <w:rFonts w:ascii="Arial" w:cs="Arial" w:eastAsia="Arial" w:hAnsi="Arial"/>
          <w:sz w:val="16"/>
          <w:szCs w:val="16"/>
          <w:color w:val="auto"/>
        </w:rPr>
      </w:pPr>
    </w:p>
    <w:p>
      <w:pPr>
        <w:ind w:firstLine="464"/>
        <w:spacing w:after="0" w:line="254" w:lineRule="auto"/>
        <w:tabs>
          <w:tab w:leader="none" w:pos="6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no approval, authorization, consent or order of or filing with any governmental or regulatory body or agency is required in connection with the performance by the Company of its obligations under this Agreement and the consummation of the transactions contemplated by this Agreement, the Indenture, the Securities and the DTC Agreement other than (A) registration of the Securities under the Act, which has been effected, and any necessary qualification under Trust Indenture Act, the securities or blue sky laws of the various jurisdictions in which the Securities are being offered by the Underwriters or under the rules and regulations of the Financial Industry Regulatory Authority (“</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and (B) in connection with the listing of the Securities on the New York Stock Exchange (“</w:t>
      </w:r>
      <w:r>
        <w:rPr>
          <w:rFonts w:ascii="Arial" w:cs="Arial" w:eastAsia="Arial" w:hAnsi="Arial"/>
          <w:sz w:val="18"/>
          <w:szCs w:val="18"/>
          <w:b w:val="1"/>
          <w:bCs w:val="1"/>
          <w:i w:val="1"/>
          <w:iCs w:val="1"/>
          <w:color w:val="auto"/>
        </w:rPr>
        <w:t>NYSE</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60" w:firstLine="464"/>
        <w:spacing w:after="0" w:line="298" w:lineRule="auto"/>
        <w:tabs>
          <w:tab w:leader="none" w:pos="75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to act as an underwriter or as a financial advisor to the Company in connection with the offer and sale of the Securities,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Securities registered pursuant to the Registration Statement;</w:t>
      </w:r>
    </w:p>
    <w:p>
      <w:pPr>
        <w:spacing w:after="0" w:line="112" w:lineRule="exact"/>
        <w:rPr>
          <w:rFonts w:ascii="Arial" w:cs="Arial" w:eastAsia="Arial" w:hAnsi="Arial"/>
          <w:sz w:val="16"/>
          <w:szCs w:val="16"/>
          <w:color w:val="auto"/>
        </w:rPr>
      </w:pPr>
    </w:p>
    <w:p>
      <w:pPr>
        <w:ind w:firstLine="464"/>
        <w:spacing w:after="0" w:line="253" w:lineRule="auto"/>
        <w:tabs>
          <w:tab w:leader="none" w:pos="70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each of the Company and each of the Subsidiaries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any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Subsidiary, except where such violation, default, revocation or modification would not, individually or in the aggregate, have a Material Adverse Effect;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0" w:name="page121"/>
    <w:bookmarkEnd w:id="120"/>
    <w:p>
      <w:pPr>
        <w:ind w:left="-20" w:right="60" w:firstLine="464"/>
        <w:spacing w:after="0" w:line="259" w:lineRule="auto"/>
        <w:tabs>
          <w:tab w:leader="none" w:pos="6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140" w:lineRule="exact"/>
        <w:rPr>
          <w:rFonts w:ascii="Arial" w:cs="Arial" w:eastAsia="Arial" w:hAnsi="Arial"/>
          <w:sz w:val="18"/>
          <w:szCs w:val="18"/>
          <w:color w:val="auto"/>
        </w:rPr>
      </w:pPr>
    </w:p>
    <w:p>
      <w:pPr>
        <w:ind w:left="-20" w:right="120" w:firstLine="464"/>
        <w:spacing w:after="0" w:line="254" w:lineRule="auto"/>
        <w:tabs>
          <w:tab w:leader="none" w:pos="6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Pricing Prospectus and the Prospectus, there are no legal actions, suits, claims, investigations or proceedings pending or, to the Company’s knowledge, threatened to which the Company or the Subsidiaries,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Subsidiaries, as the case may be, have a Material Adverse Effect or prevent consummation of the transactions contemplated hereby;</w:t>
      </w:r>
    </w:p>
    <w:p>
      <w:pPr>
        <w:spacing w:after="0" w:line="144" w:lineRule="exact"/>
        <w:rPr>
          <w:rFonts w:ascii="Arial" w:cs="Arial" w:eastAsia="Arial" w:hAnsi="Arial"/>
          <w:sz w:val="18"/>
          <w:szCs w:val="18"/>
          <w:color w:val="auto"/>
        </w:rPr>
      </w:pPr>
    </w:p>
    <w:p>
      <w:pPr>
        <w:ind w:left="-20" w:right="600" w:firstLine="464"/>
        <w:spacing w:after="0" w:line="268" w:lineRule="auto"/>
        <w:tabs>
          <w:tab w:leader="none" w:pos="6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KPMG LLP, whose report on the statement of assets and liabilities of the Company is filed with the Commission as part of the Prospectus, is an independent registered public accounting firm as required by the Act;</w:t>
      </w:r>
    </w:p>
    <w:p>
      <w:pPr>
        <w:spacing w:after="0" w:line="131" w:lineRule="exact"/>
        <w:rPr>
          <w:rFonts w:ascii="Arial" w:cs="Arial" w:eastAsia="Arial" w:hAnsi="Arial"/>
          <w:sz w:val="18"/>
          <w:szCs w:val="18"/>
          <w:color w:val="auto"/>
        </w:rPr>
      </w:pPr>
    </w:p>
    <w:p>
      <w:pPr>
        <w:ind w:left="-20" w:firstLine="464"/>
        <w:spacing w:after="0" w:line="286" w:lineRule="auto"/>
        <w:tabs>
          <w:tab w:leader="none" w:pos="65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(except that the unaudited financial statements were or are subject to normal year-end adjustments which were not, or are not expected to be, material in amount to the Company);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(except, in each case, as may be permitted by the rules and regulations of the Commission);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Item 10 of Regulation S-K under the Act, to the extent applicable.</w:t>
      </w:r>
    </w:p>
    <w:p>
      <w:pPr>
        <w:spacing w:after="0" w:line="120" w:lineRule="exact"/>
        <w:rPr>
          <w:rFonts w:ascii="Arial" w:cs="Arial" w:eastAsia="Arial" w:hAnsi="Arial"/>
          <w:sz w:val="16"/>
          <w:szCs w:val="16"/>
          <w:color w:val="auto"/>
        </w:rPr>
      </w:pPr>
    </w:p>
    <w:p>
      <w:pPr>
        <w:ind w:left="-20" w:right="120" w:firstLine="464"/>
        <w:spacing w:after="0" w:line="306" w:lineRule="auto"/>
        <w:tabs>
          <w:tab w:leader="none" w:pos="66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121" w:name="page122"/>
    <w:bookmarkEnd w:id="121"/>
    <w:p>
      <w:pPr>
        <w:jc w:val="both"/>
        <w:ind w:left="-20" w:right="140" w:firstLine="464"/>
        <w:spacing w:after="0" w:line="306" w:lineRule="auto"/>
        <w:tabs>
          <w:tab w:leader="none" w:pos="646"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Company and of the Subsidiaries is not and, after giving effect to the offering and sale of the Securities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106" w:lineRule="exact"/>
        <w:rPr>
          <w:rFonts w:ascii="Arial" w:cs="Arial" w:eastAsia="Arial" w:hAnsi="Arial"/>
          <w:sz w:val="16"/>
          <w:szCs w:val="16"/>
          <w:color w:val="auto"/>
        </w:rPr>
      </w:pPr>
    </w:p>
    <w:p>
      <w:pPr>
        <w:ind w:left="-20" w:right="40" w:firstLine="464"/>
        <w:spacing w:after="0" w:line="288" w:lineRule="auto"/>
        <w:tabs>
          <w:tab w:leader="none" w:pos="68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of the Company and of the Subsidiaries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except where the failure to own, license or have such rights would not, individually or in the aggregate, have a Material Adverse Effect; except as disclosed in the Registration Statement, the Pricing Prospectus and the Prospectus, neither the Company nor any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of any Subsidiary, as the case may be, therein, and which infringement or conflict (if the subject of any unfavorable decision, ruling or finding) or invalidity or inadequacy, would result in a Material Adverse Effect;</w:t>
      </w:r>
    </w:p>
    <w:p>
      <w:pPr>
        <w:spacing w:after="0" w:line="119" w:lineRule="exact"/>
        <w:rPr>
          <w:rFonts w:ascii="Arial" w:cs="Arial" w:eastAsia="Arial" w:hAnsi="Arial"/>
          <w:sz w:val="16"/>
          <w:szCs w:val="16"/>
          <w:color w:val="auto"/>
        </w:rPr>
      </w:pPr>
    </w:p>
    <w:p>
      <w:pPr>
        <w:ind w:left="-20" w:firstLine="464"/>
        <w:spacing w:after="0" w:line="306" w:lineRule="auto"/>
        <w:tabs>
          <w:tab w:leader="none" w:pos="68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06" w:lineRule="exact"/>
        <w:rPr>
          <w:rFonts w:ascii="Arial" w:cs="Arial" w:eastAsia="Arial" w:hAnsi="Arial"/>
          <w:sz w:val="16"/>
          <w:szCs w:val="16"/>
          <w:color w:val="auto"/>
        </w:rPr>
      </w:pPr>
    </w:p>
    <w:p>
      <w:pPr>
        <w:ind w:left="-20" w:right="80" w:firstLine="464"/>
        <w:spacing w:after="0" w:line="254" w:lineRule="auto"/>
        <w:tabs>
          <w:tab w:leader="none" w:pos="7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44" w:lineRule="exact"/>
        <w:rPr>
          <w:rFonts w:ascii="Arial" w:cs="Arial" w:eastAsia="Arial" w:hAnsi="Arial"/>
          <w:sz w:val="18"/>
          <w:szCs w:val="18"/>
          <w:color w:val="auto"/>
        </w:rPr>
      </w:pPr>
    </w:p>
    <w:p>
      <w:pPr>
        <w:jc w:val="both"/>
        <w:ind w:left="-20" w:firstLine="464"/>
        <w:spacing w:after="0" w:line="323" w:lineRule="auto"/>
        <w:tabs>
          <w:tab w:leader="none" w:pos="68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97" w:lineRule="exact"/>
        <w:rPr>
          <w:rFonts w:ascii="Arial" w:cs="Arial" w:eastAsia="Arial" w:hAnsi="Arial"/>
          <w:sz w:val="15"/>
          <w:szCs w:val="15"/>
          <w:color w:val="auto"/>
        </w:rPr>
      </w:pPr>
    </w:p>
    <w:p>
      <w:pPr>
        <w:ind w:left="-20" w:right="280" w:firstLine="464"/>
        <w:spacing w:after="0" w:line="268" w:lineRule="auto"/>
        <w:tabs>
          <w:tab w:leader="none" w:pos="6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Exchange Act) that complies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22" w:name="page123"/>
    <w:bookmarkEnd w:id="12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20" w:lineRule="exact"/>
        <w:rPr>
          <w:sz w:val="20"/>
          <w:szCs w:val="20"/>
          <w:color w:val="auto"/>
        </w:rPr>
      </w:pPr>
    </w:p>
    <w:p>
      <w:pPr>
        <w:ind w:right="260" w:firstLine="464"/>
        <w:spacing w:after="0" w:line="259"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Securities;</w:t>
      </w:r>
    </w:p>
    <w:p>
      <w:pPr>
        <w:spacing w:after="0" w:line="140" w:lineRule="exact"/>
        <w:rPr>
          <w:sz w:val="20"/>
          <w:szCs w:val="20"/>
          <w:color w:val="auto"/>
        </w:rPr>
      </w:pPr>
    </w:p>
    <w:p>
      <w:pPr>
        <w:ind w:right="80" w:firstLine="464"/>
        <w:spacing w:after="0" w:line="306" w:lineRule="auto"/>
        <w:tabs>
          <w:tab w:leader="none" w:pos="77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106" w:lineRule="exact"/>
        <w:rPr>
          <w:rFonts w:ascii="Arial" w:cs="Arial" w:eastAsia="Arial" w:hAnsi="Arial"/>
          <w:sz w:val="16"/>
          <w:szCs w:val="16"/>
          <w:color w:val="auto"/>
        </w:rPr>
      </w:pPr>
    </w:p>
    <w:p>
      <w:pPr>
        <w:ind w:right="100" w:firstLine="464"/>
        <w:spacing w:after="0" w:line="268" w:lineRule="auto"/>
        <w:tabs>
          <w:tab w:leader="none" w:pos="79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131" w:lineRule="exact"/>
        <w:rPr>
          <w:rFonts w:ascii="Arial" w:cs="Arial" w:eastAsia="Arial" w:hAnsi="Arial"/>
          <w:sz w:val="18"/>
          <w:szCs w:val="18"/>
          <w:color w:val="auto"/>
        </w:rPr>
      </w:pPr>
    </w:p>
    <w:p>
      <w:pPr>
        <w:ind w:right="180" w:firstLine="464"/>
        <w:spacing w:after="0" w:line="268" w:lineRule="auto"/>
        <w:tabs>
          <w:tab w:leader="none" w:pos="77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31" w:lineRule="exact"/>
        <w:rPr>
          <w:rFonts w:ascii="Arial" w:cs="Arial" w:eastAsia="Arial" w:hAnsi="Arial"/>
          <w:sz w:val="18"/>
          <w:szCs w:val="18"/>
          <w:color w:val="auto"/>
        </w:rPr>
      </w:pPr>
    </w:p>
    <w:p>
      <w:pPr>
        <w:ind w:right="260" w:firstLine="464"/>
        <w:spacing w:after="0" w:line="259" w:lineRule="auto"/>
        <w:tabs>
          <w:tab w:leader="none" w:pos="79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40" w:lineRule="exact"/>
        <w:rPr>
          <w:rFonts w:ascii="Arial" w:cs="Arial" w:eastAsia="Arial" w:hAnsi="Arial"/>
          <w:sz w:val="18"/>
          <w:szCs w:val="18"/>
          <w:color w:val="auto"/>
        </w:rPr>
      </w:pPr>
    </w:p>
    <w:p>
      <w:pPr>
        <w:jc w:val="both"/>
        <w:ind w:right="100" w:firstLine="464"/>
        <w:spacing w:after="0" w:line="298" w:lineRule="auto"/>
        <w:tabs>
          <w:tab w:leader="none" w:pos="77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12" w:lineRule="exact"/>
        <w:rPr>
          <w:rFonts w:ascii="Arial" w:cs="Arial" w:eastAsia="Arial" w:hAnsi="Arial"/>
          <w:sz w:val="16"/>
          <w:szCs w:val="16"/>
          <w:color w:val="auto"/>
        </w:rPr>
      </w:pPr>
    </w:p>
    <w:p>
      <w:pPr>
        <w:ind w:right="100" w:firstLine="464"/>
        <w:spacing w:after="0" w:line="306" w:lineRule="auto"/>
        <w:tabs>
          <w:tab w:leader="none" w:pos="73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 required action has or will have been taken by the Company under the Act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3" w:name="page124"/>
    <w:bookmarkEnd w:id="123"/>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the public offering and consummate the sale of the Securities as provided in this Agreement; the provisions of the corporate charter and by-laws of the Company comply in all material respects with the requirements of the Investment Company Act applicable to business development companies;</w:t>
      </w:r>
    </w:p>
    <w:p>
      <w:pPr>
        <w:spacing w:after="0" w:line="85" w:lineRule="exact"/>
        <w:rPr>
          <w:sz w:val="20"/>
          <w:szCs w:val="20"/>
          <w:color w:val="auto"/>
        </w:rPr>
      </w:pPr>
    </w:p>
    <w:p>
      <w:pPr>
        <w:jc w:val="both"/>
        <w:ind w:firstLine="464"/>
        <w:spacing w:after="0" w:line="256" w:lineRule="auto"/>
        <w:tabs>
          <w:tab w:leader="none" w:pos="7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143" w:lineRule="exact"/>
        <w:rPr>
          <w:rFonts w:ascii="Arial" w:cs="Arial" w:eastAsia="Arial" w:hAnsi="Arial"/>
          <w:sz w:val="18"/>
          <w:szCs w:val="18"/>
          <w:color w:val="auto"/>
        </w:rPr>
      </w:pPr>
    </w:p>
    <w:p>
      <w:pPr>
        <w:jc w:val="both"/>
        <w:ind w:right="680" w:firstLine="464"/>
        <w:spacing w:after="0" w:line="370" w:lineRule="auto"/>
        <w:tabs>
          <w:tab w:leader="none" w:pos="793"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5"/>
          <w:szCs w:val="15"/>
          <w:b w:val="1"/>
          <w:bCs w:val="1"/>
          <w:i w:val="1"/>
          <w:iCs w:val="1"/>
          <w:color w:val="auto"/>
        </w:rPr>
        <w:t>Sarbanes-Oxley Act</w:t>
      </w:r>
      <w:r>
        <w:rPr>
          <w:rFonts w:ascii="Arial" w:cs="Arial" w:eastAsia="Arial" w:hAnsi="Arial"/>
          <w:sz w:val="15"/>
          <w:szCs w:val="15"/>
          <w:color w:val="auto"/>
        </w:rPr>
        <w:t>”), and the Commission’s published rules promulgated thereunder;</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(ii)(i) each of the Company and of the Subsidiaries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has elected to be treated, and operates its business so as to qualify, as a regulated investment company under Subchapter M of the Code;</w:t>
      </w:r>
    </w:p>
    <w:p>
      <w:pPr>
        <w:spacing w:after="0" w:line="116" w:lineRule="exact"/>
        <w:rPr>
          <w:sz w:val="20"/>
          <w:szCs w:val="20"/>
          <w:color w:val="auto"/>
        </w:rPr>
      </w:pPr>
    </w:p>
    <w:p>
      <w:pPr>
        <w:ind w:right="60" w:firstLine="464"/>
        <w:spacing w:after="0" w:line="290" w:lineRule="auto"/>
        <w:tabs>
          <w:tab w:leader="none" w:pos="7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operations of the Company and each of the Subsidiaries are and have been conducted at all times in material compliance with all applicable financial recordkeeping and reporting requirement of the Currency and Foreign Transaction Reporting Act of 1970 (otherwise known as the Bank Secrecy Act), as amended, and the applicable anti-money laundering statutes of jurisdictions where the Company and each of the Subsidiaries conducts business, and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the Subsidiaries with respect to Anti-Money Laundering Laws is pending or, to the best knowledge of the Company or any of the Subsidiaries, threatened;</w:t>
      </w:r>
    </w:p>
    <w:p>
      <w:pPr>
        <w:spacing w:after="0" w:line="118" w:lineRule="exact"/>
        <w:rPr>
          <w:rFonts w:ascii="Arial" w:cs="Arial" w:eastAsia="Arial" w:hAnsi="Arial"/>
          <w:sz w:val="16"/>
          <w:szCs w:val="16"/>
          <w:color w:val="auto"/>
        </w:rPr>
      </w:pPr>
    </w:p>
    <w:p>
      <w:pPr>
        <w:ind w:right="100" w:firstLine="464"/>
        <w:spacing w:after="0" w:line="259" w:lineRule="auto"/>
        <w:tabs>
          <w:tab w:leader="none" w:pos="7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of the Company is aware of or has taken any action, directly or indirectly, that would result in a violation by such entities or persons of the Foreign Corrupt Practices Act of 1977, as amended, and the rules and regulations thereunder any other applicable anti-corruption laws; and</w:t>
      </w:r>
    </w:p>
    <w:p>
      <w:pPr>
        <w:spacing w:after="0" w:line="140" w:lineRule="exact"/>
        <w:rPr>
          <w:rFonts w:ascii="Arial" w:cs="Arial" w:eastAsia="Arial" w:hAnsi="Arial"/>
          <w:sz w:val="18"/>
          <w:szCs w:val="18"/>
          <w:color w:val="auto"/>
        </w:rPr>
      </w:pPr>
    </w:p>
    <w:p>
      <w:pPr>
        <w:ind w:right="20" w:firstLine="464"/>
        <w:spacing w:after="0" w:line="268" w:lineRule="auto"/>
        <w:tabs>
          <w:tab w:leader="none" w:pos="7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or agent of the Company is currently the subject of any sanctions administered by the Office of Foreign Assets Control of the U.S. Treasury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24" w:name="page125"/>
    <w:bookmarkEnd w:id="124"/>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Department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Securities shall be deemed to be a representation and warranty by the Company as to matters covered thereby to each Underwriter.</w:t>
      </w:r>
    </w:p>
    <w:p>
      <w:pPr>
        <w:spacing w:after="0" w:line="140" w:lineRule="exact"/>
        <w:rPr>
          <w:sz w:val="20"/>
          <w:szCs w:val="20"/>
          <w:color w:val="auto"/>
        </w:rPr>
      </w:pPr>
    </w:p>
    <w:p>
      <w:pPr>
        <w:ind w:right="100" w:firstLine="464"/>
        <w:spacing w:after="0" w:line="268"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132" w:lineRule="exact"/>
        <w:rPr>
          <w:sz w:val="20"/>
          <w:szCs w:val="20"/>
          <w:color w:val="auto"/>
        </w:rPr>
      </w:pPr>
    </w:p>
    <w:p>
      <w:pPr>
        <w:ind w:right="80" w:firstLine="464"/>
        <w:spacing w:after="0" w:line="288" w:lineRule="auto"/>
        <w:tabs>
          <w:tab w:leader="none" w:pos="6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6"/>
          <w:szCs w:val="16"/>
          <w:b w:val="1"/>
          <w:bCs w:val="1"/>
          <w:i w:val="1"/>
          <w:iCs w:val="1"/>
          <w:color w:val="auto"/>
        </w:rPr>
        <w:t>Adviser/Administrator Material Adverse Effect</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20" w:firstLine="464"/>
        <w:spacing w:after="0" w:line="298" w:lineRule="auto"/>
        <w:tabs>
          <w:tab w:leader="none" w:pos="70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12" w:lineRule="exact"/>
        <w:rPr>
          <w:rFonts w:ascii="Arial" w:cs="Arial" w:eastAsia="Arial" w:hAnsi="Arial"/>
          <w:sz w:val="16"/>
          <w:szCs w:val="16"/>
          <w:color w:val="auto"/>
        </w:rPr>
      </w:pPr>
    </w:p>
    <w:p>
      <w:pPr>
        <w:ind w:firstLine="464"/>
        <w:spacing w:after="0" w:line="318" w:lineRule="auto"/>
        <w:tabs>
          <w:tab w:leader="none" w:pos="695"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5" w:name="page126"/>
    <w:bookmarkEnd w:id="125"/>
    <w:p>
      <w:pPr>
        <w:ind w:left="-20" w:right="20" w:firstLine="464"/>
        <w:spacing w:after="0" w:line="286" w:lineRule="auto"/>
        <w:tabs>
          <w:tab w:leader="none" w:pos="6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120" w:lineRule="exact"/>
        <w:rPr>
          <w:rFonts w:ascii="Arial" w:cs="Arial" w:eastAsia="Arial" w:hAnsi="Arial"/>
          <w:sz w:val="16"/>
          <w:szCs w:val="16"/>
          <w:color w:val="auto"/>
        </w:rPr>
      </w:pPr>
    </w:p>
    <w:p>
      <w:pPr>
        <w:ind w:left="-20" w:firstLine="464"/>
        <w:spacing w:after="0" w:line="289" w:lineRule="auto"/>
        <w:tabs>
          <w:tab w:leader="none" w:pos="67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118" w:lineRule="exact"/>
        <w:rPr>
          <w:rFonts w:ascii="Arial" w:cs="Arial" w:eastAsia="Arial" w:hAnsi="Arial"/>
          <w:sz w:val="16"/>
          <w:szCs w:val="16"/>
          <w:color w:val="auto"/>
        </w:rPr>
      </w:pPr>
    </w:p>
    <w:p>
      <w:pPr>
        <w:ind w:left="-20" w:right="100" w:firstLine="464"/>
        <w:spacing w:after="0" w:line="253" w:lineRule="auto"/>
        <w:tabs>
          <w:tab w:leader="none" w:pos="65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80" w:right="259" w:bottom="1440" w:gutter="0" w:footer="0" w:header="0"/>
        </w:sectPr>
      </w:pPr>
    </w:p>
    <w:bookmarkStart w:id="126" w:name="page127"/>
    <w:bookmarkEnd w:id="126"/>
    <w:p>
      <w:pPr>
        <w:ind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description of the Adviser and the Administrator contained in the Pricing Prospectus, the Prospectus and the Registration Statement is true, accurate and complete in all material respects;</w:t>
      </w:r>
    </w:p>
    <w:p>
      <w:pPr>
        <w:spacing w:after="0" w:line="131" w:lineRule="exact"/>
        <w:rPr>
          <w:rFonts w:ascii="Arial" w:cs="Arial" w:eastAsia="Arial" w:hAnsi="Arial"/>
          <w:sz w:val="18"/>
          <w:szCs w:val="18"/>
          <w:color w:val="auto"/>
        </w:rPr>
      </w:pPr>
    </w:p>
    <w:p>
      <w:pPr>
        <w:ind w:right="300" w:firstLine="464"/>
        <w:spacing w:after="0" w:line="306"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106" w:lineRule="exact"/>
        <w:rPr>
          <w:rFonts w:ascii="Arial" w:cs="Arial" w:eastAsia="Arial" w:hAnsi="Arial"/>
          <w:sz w:val="16"/>
          <w:szCs w:val="16"/>
          <w:color w:val="auto"/>
        </w:rPr>
      </w:pPr>
    </w:p>
    <w:p>
      <w:pPr>
        <w:jc w:val="both"/>
        <w:ind w:right="60" w:firstLine="464"/>
        <w:spacing w:after="0" w:line="256" w:lineRule="auto"/>
        <w:tabs>
          <w:tab w:leader="none" w:pos="6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43" w:lineRule="exact"/>
        <w:rPr>
          <w:rFonts w:ascii="Arial" w:cs="Arial" w:eastAsia="Arial" w:hAnsi="Arial"/>
          <w:sz w:val="18"/>
          <w:szCs w:val="18"/>
          <w:color w:val="auto"/>
        </w:rPr>
      </w:pPr>
    </w:p>
    <w:p>
      <w:pPr>
        <w:ind w:right="80" w:firstLine="464"/>
        <w:spacing w:after="0" w:line="291" w:lineRule="auto"/>
        <w:tabs>
          <w:tab w:leader="none" w:pos="66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20" w:lineRule="exact"/>
        <w:rPr>
          <w:rFonts w:ascii="Arial" w:cs="Arial" w:eastAsia="Arial" w:hAnsi="Arial"/>
          <w:sz w:val="16"/>
          <w:szCs w:val="16"/>
          <w:color w:val="auto"/>
        </w:rPr>
      </w:pPr>
    </w:p>
    <w:p>
      <w:pPr>
        <w:jc w:val="both"/>
        <w:ind w:right="20"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Securities;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Adviser is not aware that (i) any executive, key employee or significant group of employees of the Company, if any, the Adviser or the</w:t>
      </w:r>
    </w:p>
    <w:p>
      <w:pPr>
        <w:spacing w:after="0" w:line="38" w:lineRule="exact"/>
        <w:rPr>
          <w:rFonts w:ascii="Arial" w:cs="Arial" w:eastAsia="Arial" w:hAnsi="Arial"/>
          <w:sz w:val="16"/>
          <w:szCs w:val="16"/>
          <w:color w:val="auto"/>
        </w:rPr>
      </w:pP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43" w:lineRule="exact"/>
        <w:rPr>
          <w:rFonts w:ascii="Arial" w:cs="Arial" w:eastAsia="Arial" w:hAnsi="Arial"/>
          <w:sz w:val="16"/>
          <w:szCs w:val="16"/>
          <w:color w:val="auto"/>
        </w:rPr>
      </w:pPr>
    </w:p>
    <w:p>
      <w:pPr>
        <w:ind w:right="180" w:firstLine="464"/>
        <w:spacing w:after="0" w:line="259" w:lineRule="auto"/>
        <w:tabs>
          <w:tab w:leader="none" w:pos="7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27" w:name="page128"/>
    <w:bookmarkEnd w:id="127"/>
    <w:p>
      <w:pPr>
        <w:ind w:left="-20" w:right="160" w:firstLine="464"/>
        <w:spacing w:after="0" w:line="298" w:lineRule="auto"/>
        <w:tabs>
          <w:tab w:leader="none" w:pos="6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112" w:lineRule="exact"/>
        <w:rPr>
          <w:rFonts w:ascii="Arial" w:cs="Arial" w:eastAsia="Arial" w:hAnsi="Arial"/>
          <w:sz w:val="16"/>
          <w:szCs w:val="16"/>
          <w:color w:val="auto"/>
        </w:rPr>
      </w:pPr>
    </w:p>
    <w:p>
      <w:pPr>
        <w:ind w:left="-20" w:right="140" w:firstLine="464"/>
        <w:spacing w:after="0" w:line="259"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neither the Adviser nor, to the knowledge of the Adviser, any director, officer, employee or affiliate of the Adviser is aware of or has taken any action, directly or indirectly, that would result in a violation by such entities or persons of the Foreign Corrupt Practices Act of 1977, as amended, and the rules and regulations thereunder; and</w:t>
      </w:r>
    </w:p>
    <w:p>
      <w:pPr>
        <w:spacing w:after="0" w:line="140" w:lineRule="exact"/>
        <w:rPr>
          <w:rFonts w:ascii="Arial" w:cs="Arial" w:eastAsia="Arial" w:hAnsi="Arial"/>
          <w:sz w:val="18"/>
          <w:szCs w:val="18"/>
          <w:color w:val="auto"/>
        </w:rPr>
      </w:pPr>
    </w:p>
    <w:p>
      <w:pPr>
        <w:ind w:left="-20" w:firstLine="464"/>
        <w:spacing w:after="0" w:line="256"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neither the Adviser, any director, officer or employee of the Adviser nor, to the knowledge of the Adviser, any affiliate or agent of the Adviser is currently the subject of any sanctions administered by OFAC; and the Adviser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3" w:lineRule="exact"/>
        <w:rPr>
          <w:sz w:val="20"/>
          <w:szCs w:val="20"/>
          <w:color w:val="auto"/>
        </w:rPr>
      </w:pPr>
    </w:p>
    <w:p>
      <w:pPr>
        <w:ind w:left="-20" w:right="600" w:firstLine="464"/>
        <w:spacing w:after="0" w:line="268" w:lineRule="auto"/>
        <w:tabs>
          <w:tab w:leader="none" w:pos="61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132" w:lineRule="exact"/>
        <w:rPr>
          <w:sz w:val="20"/>
          <w:szCs w:val="20"/>
          <w:color w:val="auto"/>
        </w:rPr>
      </w:pPr>
    </w:p>
    <w:p>
      <w:pPr>
        <w:ind w:left="-20" w:right="100" w:firstLine="464"/>
        <w:spacing w:after="0" w:line="291" w:lineRule="auto"/>
        <w:tabs>
          <w:tab w:leader="none" w:pos="67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furnish such information as may be required and otherwise to cooperate in qualifying the Securities for offering and sale under the securities or blue sky laws of such states or other jurisdictions as you may designate and to use its best efforts to maintain such qualifications in effect so long as you may reasonably request for the distribution of the Securities;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Securities); and to advise you promptly of the receipt by the Company of any notification with respect to the suspension of the qualification of the Securities for sale in any jurisdiction or the initiation or threatening of any proceeding for such purpose;</w:t>
      </w:r>
    </w:p>
    <w:p>
      <w:pPr>
        <w:spacing w:after="0" w:line="120" w:lineRule="exact"/>
        <w:rPr>
          <w:rFonts w:ascii="Arial" w:cs="Arial" w:eastAsia="Arial" w:hAnsi="Arial"/>
          <w:sz w:val="16"/>
          <w:szCs w:val="16"/>
          <w:color w:val="auto"/>
        </w:rPr>
      </w:pPr>
    </w:p>
    <w:p>
      <w:pPr>
        <w:ind w:left="-20" w:right="20" w:firstLine="464"/>
        <w:spacing w:after="0" w:line="290" w:lineRule="auto"/>
        <w:tabs>
          <w:tab w:leader="none" w:pos="6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Securities, the Company will prepare, at the requesting Underwriter’s expense, promptly upon request such amendment or amendments to the Registration Statement and the Prospectus as may be necessary to permit compliance with the requirements of Section 10(a)(3) of the Act;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80" w:right="259" w:bottom="1440" w:gutter="0" w:footer="0" w:header="0"/>
        </w:sectPr>
      </w:pPr>
    </w:p>
    <w:bookmarkStart w:id="128" w:name="page129"/>
    <w:bookmarkEnd w:id="128"/>
    <w:p>
      <w:pPr>
        <w:ind w:left="-60" w:firstLine="464"/>
        <w:spacing w:after="0" w:line="294" w:lineRule="auto"/>
        <w:tabs>
          <w:tab w:leader="none" w:pos="6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if, at the time of this Agreement is executed and delivered, it is necessary for the Registration Statement or any post-effective amendment thereto to be declared effective before the Securities may be sold, the Company will endeavor to cause the Registration Statement or such post-effective amendment to become effective as soon as possible, and the Company will advise you promptly and, if requested by you, will confirm such advice in writing, (i) 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115" w:lineRule="exact"/>
        <w:rPr>
          <w:rFonts w:ascii="Arial" w:cs="Arial" w:eastAsia="Arial" w:hAnsi="Arial"/>
          <w:sz w:val="16"/>
          <w:szCs w:val="16"/>
          <w:color w:val="auto"/>
        </w:rPr>
      </w:pPr>
    </w:p>
    <w:p>
      <w:pPr>
        <w:ind w:left="-60" w:right="40" w:firstLine="464"/>
        <w:spacing w:after="0" w:line="289" w:lineRule="auto"/>
        <w:tabs>
          <w:tab w:leader="none" w:pos="64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118" w:lineRule="exact"/>
        <w:rPr>
          <w:rFonts w:ascii="Arial" w:cs="Arial" w:eastAsia="Arial" w:hAnsi="Arial"/>
          <w:sz w:val="16"/>
          <w:szCs w:val="16"/>
          <w:color w:val="auto"/>
        </w:rPr>
      </w:pPr>
    </w:p>
    <w:p>
      <w:pPr>
        <w:ind w:left="-60" w:right="160" w:firstLine="464"/>
        <w:spacing w:after="0" w:line="259" w:lineRule="auto"/>
        <w:tabs>
          <w:tab w:leader="none" w:pos="6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furnish to the Joint Book-Running Managers a copy of all promotional materials (including “road show slides” or “road show scripts”) prepared by the Company or the Adviser for use in connection with the offering and sale of the Securities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140" w:lineRule="exact"/>
        <w:rPr>
          <w:rFonts w:ascii="Arial" w:cs="Arial" w:eastAsia="Arial" w:hAnsi="Arial"/>
          <w:sz w:val="18"/>
          <w:szCs w:val="18"/>
          <w:color w:val="auto"/>
        </w:rPr>
      </w:pPr>
    </w:p>
    <w:p>
      <w:pPr>
        <w:jc w:val="both"/>
        <w:ind w:left="-60" w:right="40" w:firstLine="464"/>
        <w:spacing w:after="0" w:line="294" w:lineRule="auto"/>
        <w:tabs>
          <w:tab w:leader="none" w:pos="61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15" w:lineRule="exact"/>
        <w:rPr>
          <w:rFonts w:ascii="Arial" w:cs="Arial" w:eastAsia="Arial" w:hAnsi="Arial"/>
          <w:sz w:val="16"/>
          <w:szCs w:val="16"/>
          <w:color w:val="auto"/>
        </w:rPr>
      </w:pPr>
    </w:p>
    <w:p>
      <w:pPr>
        <w:ind w:left="-60" w:right="340" w:firstLine="464"/>
        <w:spacing w:after="0" w:line="268" w:lineRule="auto"/>
        <w:tabs>
          <w:tab w:leader="none" w:pos="6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280" w:right="279" w:bottom="1440" w:gutter="0" w:footer="0" w:header="0"/>
        </w:sectPr>
      </w:pPr>
    </w:p>
    <w:bookmarkStart w:id="129" w:name="page130"/>
    <w:bookmarkEnd w:id="129"/>
    <w:p>
      <w:pPr>
        <w:jc w:val="both"/>
        <w:ind w:right="3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62" w:lineRule="exact"/>
        <w:rPr>
          <w:sz w:val="20"/>
          <w:szCs w:val="20"/>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171" w:lineRule="exact"/>
        <w:rPr>
          <w:rFonts w:ascii="Arial" w:cs="Arial" w:eastAsia="Arial" w:hAnsi="Arial"/>
          <w:sz w:val="18"/>
          <w:szCs w:val="18"/>
          <w:color w:val="auto"/>
        </w:rPr>
      </w:pPr>
    </w:p>
    <w:p>
      <w:pPr>
        <w:ind w:right="120" w:firstLine="464"/>
        <w:spacing w:after="0" w:line="290" w:lineRule="auto"/>
        <w:tabs>
          <w:tab w:leader="none" w:pos="66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advise the Underwriters promptly of the happening of any event within the time during which a prospectus relating to the Securities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118" w:lineRule="exact"/>
        <w:rPr>
          <w:rFonts w:ascii="Arial" w:cs="Arial" w:eastAsia="Arial" w:hAnsi="Arial"/>
          <w:sz w:val="16"/>
          <w:szCs w:val="16"/>
          <w:color w:val="auto"/>
        </w:rPr>
      </w:pPr>
    </w:p>
    <w:p>
      <w:pPr>
        <w:ind w:right="440" w:firstLine="464"/>
        <w:spacing w:after="0" w:line="268" w:lineRule="auto"/>
        <w:tabs>
          <w:tab w:leader="none" w:pos="66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131" w:lineRule="exact"/>
        <w:rPr>
          <w:rFonts w:ascii="Arial" w:cs="Arial" w:eastAsia="Arial" w:hAnsi="Arial"/>
          <w:sz w:val="18"/>
          <w:szCs w:val="18"/>
          <w:color w:val="auto"/>
        </w:rPr>
      </w:pPr>
    </w:p>
    <w:p>
      <w:pPr>
        <w:ind w:right="60" w:firstLine="464"/>
        <w:spacing w:after="0" w:line="332" w:lineRule="auto"/>
        <w:tabs>
          <w:tab w:leader="none" w:pos="70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will promptly deliver to each Underwriter and Fried, Frank, Harris, Shriver &amp; Jacobson LLP, counsel for the Underwriters, a signed copy of the Registration Statement, as initially filed and all amendments thereto, including all consents and exhibits filed therewith;</w:t>
      </w:r>
    </w:p>
    <w:p>
      <w:pPr>
        <w:spacing w:after="0" w:line="85" w:lineRule="exact"/>
        <w:rPr>
          <w:rFonts w:ascii="Arial" w:cs="Arial" w:eastAsia="Arial" w:hAnsi="Arial"/>
          <w:sz w:val="16"/>
          <w:szCs w:val="16"/>
          <w:color w:val="auto"/>
        </w:rPr>
      </w:pPr>
    </w:p>
    <w:p>
      <w:pPr>
        <w:ind w:right="240" w:firstLine="464"/>
        <w:spacing w:after="0" w:line="268" w:lineRule="auto"/>
        <w:tabs>
          <w:tab w:leader="none" w:pos="66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apply the net proceeds from the sale of the Securities in the manner set forth under the caption “Use of Proceeds” in the Pricing Prospectus and the Prospectus;</w:t>
      </w:r>
    </w:p>
    <w:p>
      <w:pPr>
        <w:spacing w:after="0" w:line="131" w:lineRule="exact"/>
        <w:rPr>
          <w:rFonts w:ascii="Arial" w:cs="Arial" w:eastAsia="Arial" w:hAnsi="Arial"/>
          <w:sz w:val="18"/>
          <w:szCs w:val="18"/>
          <w:color w:val="auto"/>
        </w:rPr>
      </w:pPr>
    </w:p>
    <w:p>
      <w:pPr>
        <w:ind w:right="160" w:firstLine="464"/>
        <w:spacing w:after="0" w:line="306" w:lineRule="auto"/>
        <w:tabs>
          <w:tab w:leader="none" w:pos="75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Company will use its best efforts to maintain its status as a business development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106" w:lineRule="exact"/>
        <w:rPr>
          <w:rFonts w:ascii="Arial" w:cs="Arial" w:eastAsia="Arial" w:hAnsi="Arial"/>
          <w:sz w:val="16"/>
          <w:szCs w:val="16"/>
          <w:color w:val="auto"/>
        </w:rPr>
      </w:pPr>
    </w:p>
    <w:p>
      <w:pPr>
        <w:ind w:firstLine="464"/>
        <w:spacing w:after="0" w:line="254"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Securities, including the fees, disbursements and expenses of the Company’s counsel and accountants incurred in connection therewith, and any transfer or other taxes payable upon the sale, issuance or delivery of the Securities to the Underwriters, (iii) the qualification of the Securities for offering and sale under state or foreign laws and the determination of their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30" w:name="page131"/>
    <w:bookmarkEnd w:id="13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all fees and expenses in connection with listing the Securities on the NYSE; (v) any fees charged by rating agencies for rating the Securities, (vi) any filing for review of the public offering of the Securities by FINRA, including the reasonable legal fees and filing fees and other disbursements of counsel to the Underwriters, (vii) attending or hosting meetings with prospective purchasers of the Securities, including all travel expenses of the Company’s officers, directors, employees and affiliates and any other expense of the Company incurred in connection therewith; (viii) the fees and expenses of the Trustee and any transfer agent, registrar or depositorary with respect to the Securities, (ix) the expenses and application fees incurred in connection with the approval of the Securities for book-entry transfer by DTC; and (ix) the performance of the Company’s other obligations hereunder which are not specifically provided for in this Section 5(n). It is understood, however, that except as provided in this Section, Section 8 and Section 9, the Underwriters will pay all of their costs and expenses, including fees and disbursements of their counsel, stock transfer taxes payable in respect of any of the Securities and any advertising expenses connected with any offers they may make. It is further understood that, in accordance with Rule 5110(f)(2)(D) 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121" w:lineRule="exact"/>
        <w:rPr>
          <w:sz w:val="20"/>
          <w:szCs w:val="20"/>
          <w:color w:val="auto"/>
        </w:rPr>
      </w:pPr>
    </w:p>
    <w:p>
      <w:pPr>
        <w:ind w:right="100" w:firstLine="464"/>
        <w:spacing w:after="0" w:line="291" w:lineRule="auto"/>
        <w:tabs>
          <w:tab w:leader="none" w:pos="70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that the Company shall not, and shall cause its Subsidiaries not to,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Act with respect to any of the foregoing for a period of 30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without the prior written consent of Stifel, Nicolaus &amp; Company, Incorporated, which may not be unreasonably withheld. The foregoing sentence shall not apply to the registration of the Securities and the sales to the Underwriters pursuant to this Agreement;</w:t>
      </w:r>
    </w:p>
    <w:p>
      <w:pPr>
        <w:spacing w:after="0" w:line="120" w:lineRule="exact"/>
        <w:rPr>
          <w:rFonts w:ascii="Arial" w:cs="Arial" w:eastAsia="Arial" w:hAnsi="Arial"/>
          <w:sz w:val="16"/>
          <w:szCs w:val="16"/>
          <w:color w:val="auto"/>
        </w:rPr>
      </w:pPr>
    </w:p>
    <w:p>
      <w:pPr>
        <w:ind w:right="580" w:firstLine="464"/>
        <w:spacing w:after="0" w:line="268"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cooperate with the Representative and use its commercially reasonable efforts to permit the offered Securities to be eligible for clearance and settlement through the facilities of DTC;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use its best efforts to effect, within 30 days of the time of purchase, the listing of the Securities on the NYSE.</w:t>
      </w:r>
    </w:p>
    <w:p>
      <w:pPr>
        <w:spacing w:after="0" w:line="171" w:lineRule="exact"/>
        <w:rPr>
          <w:sz w:val="20"/>
          <w:szCs w:val="20"/>
          <w:color w:val="auto"/>
        </w:rPr>
      </w:pPr>
    </w:p>
    <w:p>
      <w:pPr>
        <w:jc w:val="both"/>
        <w:ind w:right="180" w:firstLine="464"/>
        <w:spacing w:after="0" w:line="256" w:lineRule="auto"/>
        <w:tabs>
          <w:tab w:leader="none" w:pos="63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143" w:lineRule="exact"/>
        <w:rPr>
          <w:sz w:val="20"/>
          <w:szCs w:val="20"/>
          <w:color w:val="auto"/>
        </w:rPr>
      </w:pPr>
    </w:p>
    <w:p>
      <w:pPr>
        <w:jc w:val="both"/>
        <w:ind w:right="20" w:firstLine="464"/>
        <w:spacing w:after="0" w:line="256" w:lineRule="auto"/>
        <w:tabs>
          <w:tab w:leader="none" w:pos="68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You shall have received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31" w:name="page132"/>
    <w:bookmarkEnd w:id="131"/>
    <w:p>
      <w:pPr>
        <w:ind w:left="-40" w:right="100" w:firstLine="464"/>
        <w:spacing w:after="0" w:line="259" w:lineRule="auto"/>
        <w:tabs>
          <w:tab w:leader="none" w:pos="6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You shall have received an opinion of Venable LLP, special counsel for the Company,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Venable LLP described in this Section 6(b) shall be rendered to the Underwriters at the request of the Company and shall so state therein.</w:t>
      </w:r>
    </w:p>
    <w:p>
      <w:pPr>
        <w:spacing w:after="0" w:line="140" w:lineRule="exact"/>
        <w:rPr>
          <w:rFonts w:ascii="Arial" w:cs="Arial" w:eastAsia="Arial" w:hAnsi="Arial"/>
          <w:sz w:val="18"/>
          <w:szCs w:val="18"/>
          <w:color w:val="auto"/>
        </w:rPr>
      </w:pPr>
    </w:p>
    <w:p>
      <w:pPr>
        <w:ind w:left="-40" w:right="80" w:firstLine="464"/>
        <w:spacing w:after="0" w:line="298" w:lineRule="auto"/>
        <w:tabs>
          <w:tab w:leader="none" w:pos="65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You shall have received from KPMG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12" w:lineRule="exact"/>
        <w:rPr>
          <w:rFonts w:ascii="Arial" w:cs="Arial" w:eastAsia="Arial" w:hAnsi="Arial"/>
          <w:sz w:val="16"/>
          <w:szCs w:val="16"/>
          <w:color w:val="auto"/>
        </w:rPr>
      </w:pPr>
    </w:p>
    <w:p>
      <w:pPr>
        <w:ind w:left="-40" w:right="120" w:firstLine="464"/>
        <w:spacing w:after="0" w:line="259" w:lineRule="auto"/>
        <w:tabs>
          <w:tab w:leader="none" w:pos="6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Fried, Frank, Harris, Shriver &amp; Jacobson LLP, counsel for the Underwriters, dated the time of purchase or the additional time of purchase, as the case may be, with respect the sale of the Securities and other related matters as the Underwriters may require.</w:t>
      </w:r>
    </w:p>
    <w:p>
      <w:pPr>
        <w:spacing w:after="0" w:line="140" w:lineRule="exact"/>
        <w:rPr>
          <w:rFonts w:ascii="Arial" w:cs="Arial" w:eastAsia="Arial" w:hAnsi="Arial"/>
          <w:sz w:val="18"/>
          <w:szCs w:val="18"/>
          <w:color w:val="auto"/>
        </w:rPr>
      </w:pPr>
    </w:p>
    <w:p>
      <w:pPr>
        <w:ind w:left="-40" w:firstLine="464"/>
        <w:spacing w:after="0" w:line="254"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44" w:lineRule="exact"/>
        <w:rPr>
          <w:rFonts w:ascii="Arial" w:cs="Arial" w:eastAsia="Arial" w:hAnsi="Arial"/>
          <w:sz w:val="18"/>
          <w:szCs w:val="18"/>
          <w:color w:val="auto"/>
        </w:rPr>
      </w:pPr>
    </w:p>
    <w:p>
      <w:pPr>
        <w:ind w:left="-40" w:right="100" w:firstLine="464"/>
        <w:spacing w:after="0" w:line="259" w:lineRule="auto"/>
        <w:tabs>
          <w:tab w:leader="none" w:pos="6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Subsidiaries or the Adviser, taken as a whole, shall occur or become known.</w:t>
      </w:r>
    </w:p>
    <w:p>
      <w:pPr>
        <w:spacing w:after="0" w:line="140" w:lineRule="exact"/>
        <w:rPr>
          <w:rFonts w:ascii="Arial" w:cs="Arial" w:eastAsia="Arial" w:hAnsi="Arial"/>
          <w:sz w:val="18"/>
          <w:szCs w:val="18"/>
          <w:color w:val="auto"/>
        </w:rPr>
      </w:pPr>
    </w:p>
    <w:p>
      <w:pPr>
        <w:ind w:left="-40" w:right="240" w:firstLine="464"/>
        <w:spacing w:after="0" w:line="268" w:lineRule="auto"/>
        <w:tabs>
          <w:tab w:leader="none" w:pos="6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if applicable, at the additional time of purchase, deliver to you a certificate of its Chief Executive Officer and its Chief Financial Officer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80" w:top="280" w:right="259" w:bottom="1440" w:gutter="0" w:footer="0" w:header="0"/>
        </w:sectPr>
      </w:pPr>
    </w:p>
    <w:bookmarkStart w:id="132" w:name="page133"/>
    <w:bookmarkEnd w:id="132"/>
    <w:p>
      <w:pPr>
        <w:ind w:left="720" w:hanging="256"/>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Trustee shall have executed and delivered the Indenture, the First Supplemental Indenture and the Securities.</w:t>
      </w:r>
    </w:p>
    <w:p>
      <w:pPr>
        <w:spacing w:after="0" w:line="171" w:lineRule="exact"/>
        <w:rPr>
          <w:rFonts w:ascii="Arial" w:cs="Arial" w:eastAsia="Arial" w:hAnsi="Arial"/>
          <w:sz w:val="18"/>
          <w:szCs w:val="18"/>
          <w:color w:val="auto"/>
        </w:rPr>
      </w:pPr>
    </w:p>
    <w:p>
      <w:pPr>
        <w:ind w:right="180" w:firstLine="464"/>
        <w:spacing w:after="0" w:line="256" w:lineRule="auto"/>
        <w:tabs>
          <w:tab w:leader="none" w:pos="66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There shall not have been any decrease in the rating of any debt of the Company or any Subsidiary by any “nationally recognized statistical rating organization” (as defined in Section 3(a)(62) of the Exchange Act), or any notice given of any intended or potential decrease in any such rating or of a possible change in any such rating that does not indicate the direction of the possible change, and no such organization shall have publicly announced it has under surveillance or review any such rating.</w:t>
      </w:r>
    </w:p>
    <w:p>
      <w:pPr>
        <w:spacing w:after="0" w:line="143" w:lineRule="exact"/>
        <w:rPr>
          <w:rFonts w:ascii="Arial" w:cs="Arial" w:eastAsia="Arial" w:hAnsi="Arial"/>
          <w:sz w:val="18"/>
          <w:szCs w:val="18"/>
          <w:color w:val="auto"/>
        </w:rPr>
      </w:pPr>
    </w:p>
    <w:p>
      <w:pPr>
        <w:ind w:right="460" w:firstLine="464"/>
        <w:spacing w:after="0" w:line="259" w:lineRule="auto"/>
        <w:tabs>
          <w:tab w:leader="none" w:pos="66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40" w:lineRule="exact"/>
        <w:rPr>
          <w:sz w:val="20"/>
          <w:szCs w:val="20"/>
          <w:color w:val="auto"/>
        </w:rPr>
      </w:pPr>
    </w:p>
    <w:p>
      <w:pPr>
        <w:ind w:firstLine="464"/>
        <w:spacing w:after="0" w:line="285"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Securities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any of the Company’s securities;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Securities on the terms and in the manner contemplated in the Registration Statement, Pricing Prospectus and the Prospectus.</w:t>
      </w:r>
    </w:p>
    <w:p>
      <w:pPr>
        <w:spacing w:after="0" w:line="12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If the sale to the Underwriters of the Securities,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133" w:name="page134"/>
    <w:bookmarkEnd w:id="133"/>
    <w:p>
      <w:pPr>
        <w:ind w:firstLine="464"/>
        <w:spacing w:after="0" w:line="288" w:lineRule="auto"/>
        <w:tabs>
          <w:tab w:leader="none" w:pos="632"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 in Underwriters’ Commitments</w:t>
      </w:r>
      <w:r>
        <w:rPr>
          <w:rFonts w:ascii="Arial" w:cs="Arial" w:eastAsia="Arial" w:hAnsi="Arial"/>
          <w:sz w:val="16"/>
          <w:szCs w:val="16"/>
          <w:color w:val="auto"/>
        </w:rPr>
        <w:t>. Subject to Sections 6 and 7 hereof, if any Underwriter shall default in its obligation to take up and pay for the Senior Notes to be purchased by it hereunder (otherwise than for a failure of a condition set forth in Section 6 hereof or a reason sufficient to justify the termination of this Agreement under the provisions of Section 7 hereof) and if the aggregate principal amount of Senior Notes which all Underwriters so defaulting shall have agreed but failed to take up and pay for does not exceed 10% of the total aggregate principal amount of Senior Notes, the non-defaulting Underwriters shall take up and pay for (in addition to the aggregate principal amount of Senior Notes they are obligated to purchase pursuant to Section 1 hereof) the aggregate principal amount of Senior Notes agreed to be purchased by all such defaulting Underwriters, as hereinafter provided. Such Securities shall be taken up and paid for by such non-defaulting Underwriters in such amount or amounts as you may designate with the consent of each Underwriter so designated or, in the event no such designation is made, such Securities shall be taken up and paid for by all non-defaulting Underwriters pro rata in proportion to the aggregate principal amount of Senior Notes set opposite the names of such non-defaulting Underwriters in Schedule A.</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Senior Notes hereunder unless all of the Senior Notes are purchased by the Underwriters (or by substituted Underwriters selected by you with the approval of the Company or selected by the Company with your approval).</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If the aggregate principal amount of Senior Notes which the defaulting Underwriter or Underwriters agreed to purchase exceeds 10% of the total aggregate principal amount of Senior Notes which all Underwriters agreed to purchase hereunder, and if neither the non-defaulting Underwriters nor the Company shall make arrangements within the five business day-period stated above for the purchase of all the Senior Notes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34" w:name="page135"/>
    <w:bookmarkEnd w:id="134"/>
    <w:p>
      <w:pPr>
        <w:ind w:left="640" w:hanging="17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and Contribution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(a)(1)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w:t>
      </w:r>
    </w:p>
    <w:p>
      <w:pPr>
        <w:spacing w:after="0" w:line="2" w:lineRule="exact"/>
        <w:rPr>
          <w:sz w:val="20"/>
          <w:szCs w:val="20"/>
          <w:color w:val="auto"/>
        </w:rPr>
      </w:pPr>
    </w:p>
    <w:p>
      <w:pPr>
        <w:ind w:right="20" w:firstLine="8"/>
        <w:spacing w:after="0" w:line="286" w:lineRule="auto"/>
        <w:tabs>
          <w:tab w:leader="none" w:pos="21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Registration Statement (or in the Registration Statement as amended by any post-effective amendment thereof by the Company), the Pricing Prospectus together with the Pricing Information, any Road Show Materials or the Prospectus (as amended or supplemented by the Company), or arising out of or based upon any omission or alleged omission to state a material fact required to be stated in either the Registration Statement, the Pricing Prospectus together with the Pricing Information, any Road Show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Road Show Materials or the Prospectus or arising out of or based upon any omission or alleged omission to state a material fact in connection with such information required to be stated in the Registration Statement, the Pricing Prospectus together with the Pricing Information, any Road Show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20" w:lineRule="exact"/>
        <w:rPr>
          <w:rFonts w:ascii="Arial" w:cs="Arial" w:eastAsia="Arial" w:hAnsi="Arial"/>
          <w:sz w:val="16"/>
          <w:szCs w:val="16"/>
          <w:color w:val="auto"/>
        </w:rPr>
      </w:pPr>
    </w:p>
    <w:p>
      <w:pPr>
        <w:ind w:firstLine="464"/>
        <w:spacing w:after="0" w:line="288" w:lineRule="auto"/>
        <w:tabs>
          <w:tab w:leader="none" w:pos="705"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Pricing Prospectus, any Road Show Materials or the Prospectus (as amended or supplemented by the Company) regarding the Adviser or the Administrator or arising out of or is based upon any omission or alleged omission to state a material fact required to be stated in either the Registration Statement, the Pricing Prospectus, any Road Show Materials or the Prospectus or necessary to make the statements made therein not misleading or (y) any untrue statement or alleged untrue statement made by the Adviser or the Administrator in Section 4 hereof.</w:t>
      </w:r>
    </w:p>
    <w:p>
      <w:pPr>
        <w:spacing w:after="0" w:line="119" w:lineRule="exact"/>
        <w:rPr>
          <w:rFonts w:ascii="Arial" w:cs="Arial" w:eastAsia="Arial" w:hAnsi="Arial"/>
          <w:sz w:val="16"/>
          <w:szCs w:val="16"/>
          <w:color w:val="auto"/>
        </w:rPr>
      </w:pPr>
    </w:p>
    <w:p>
      <w:pPr>
        <w:ind w:right="340" w:firstLine="464"/>
        <w:spacing w:after="0" w:line="268" w:lineRule="auto"/>
        <w:tabs>
          <w:tab w:leader="none" w:pos="70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any action, suit or proceeding (each,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is brought against an Underwriter or any such person in respect of which indemnity may be sought against the Company, the Adviser or the Administrator, as appropriate, pursuant to the foregoing paragraph,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35" w:name="page136"/>
    <w:bookmarkEnd w:id="135"/>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36" w:name="page137"/>
    <w:bookmarkEnd w:id="136"/>
    <w:p>
      <w:pPr>
        <w:ind w:firstLine="464"/>
        <w:spacing w:after="0" w:line="286" w:lineRule="auto"/>
        <w:tabs>
          <w:tab w:leader="none" w:pos="7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or the Prospectus, or arises out of or is based upon any omission or alleged omission to state a material fact in connection with such information required to be stated in the Registration Statement, the Pricing Prospectus together with the Pricing Information or the Prospectus or necessary to make such information not misleading.</w:t>
      </w:r>
    </w:p>
    <w:p>
      <w:pPr>
        <w:spacing w:after="0" w:line="12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provided, however,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37" w:name="page138"/>
    <w:bookmarkEnd w:id="137"/>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18" w:lineRule="exact"/>
        <w:rPr>
          <w:sz w:val="20"/>
          <w:szCs w:val="20"/>
          <w:color w:val="auto"/>
        </w:rPr>
      </w:pPr>
    </w:p>
    <w:p>
      <w:pPr>
        <w:ind w:firstLine="464"/>
        <w:spacing w:after="0" w:line="285"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the Adviser and the Administrator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Securities.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38" w:name="page139"/>
    <w:bookmarkEnd w:id="138"/>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43" w:lineRule="exact"/>
        <w:rPr>
          <w:sz w:val="20"/>
          <w:szCs w:val="20"/>
          <w:color w:val="auto"/>
        </w:rPr>
      </w:pPr>
    </w:p>
    <w:p>
      <w:pPr>
        <w:ind w:firstLine="464"/>
        <w:spacing w:after="0" w:line="287" w:lineRule="auto"/>
        <w:tabs>
          <w:tab w:leader="none" w:pos="69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Securities.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Securities, or in connection with the Registration Statement, the Pricing Prospectus or the Prospectus.</w:t>
      </w:r>
    </w:p>
    <w:p>
      <w:pPr>
        <w:spacing w:after="0" w:line="123" w:lineRule="exact"/>
        <w:rPr>
          <w:sz w:val="20"/>
          <w:szCs w:val="20"/>
          <w:color w:val="auto"/>
        </w:rPr>
      </w:pPr>
    </w:p>
    <w:p>
      <w:pPr>
        <w:ind w:right="40" w:firstLine="464"/>
        <w:spacing w:after="0" w:line="255" w:lineRule="auto"/>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Underwriters</w:t>
      </w:r>
      <w:r>
        <w:rPr>
          <w:rFonts w:ascii="Arial" w:cs="Arial" w:eastAsia="Arial" w:hAnsi="Arial"/>
          <w:sz w:val="18"/>
          <w:szCs w:val="18"/>
          <w:color w:val="auto"/>
        </w:rPr>
        <w:t>. The Company acknowledges that (i) the statements regarding delivery of the Securities set forth in the last paragraph of the cover page and in the second and third paragraphs under the heading “Underwriting,”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herein provided, all statements, requests, notices and agreements shall be in writing or by telegram and, if to the</w:t>
      </w:r>
    </w:p>
    <w:p>
      <w:pPr>
        <w:spacing w:after="0" w:line="38" w:lineRule="exact"/>
        <w:rPr>
          <w:rFonts w:ascii="Arial" w:cs="Arial" w:eastAsia="Arial" w:hAnsi="Arial"/>
          <w:sz w:val="16"/>
          <w:szCs w:val="16"/>
          <w:color w:val="auto"/>
        </w:rPr>
      </w:pPr>
    </w:p>
    <w:p>
      <w:pPr>
        <w:ind w:right="20"/>
        <w:spacing w:after="0" w:line="295" w:lineRule="auto"/>
        <w:rPr>
          <w:rFonts w:ascii="Arial" w:cs="Arial" w:eastAsia="Arial" w:hAnsi="Arial"/>
          <w:sz w:val="16"/>
          <w:szCs w:val="16"/>
          <w:color w:val="auto"/>
        </w:rPr>
      </w:pPr>
      <w:r>
        <w:rPr>
          <w:rFonts w:ascii="Arial" w:cs="Arial" w:eastAsia="Arial" w:hAnsi="Arial"/>
          <w:sz w:val="16"/>
          <w:szCs w:val="16"/>
          <w:color w:val="auto"/>
        </w:rPr>
        <w:t>Underwriters, shall be sufficient in all respects if delivered or sent to Stifel, Nicolaus &amp; Company, Incorporated, 501 N. Broadway, St. Louis, Missouri 63102 and a copy, which shall not constitute notice, to Fried, Frank, Harris, Shriver &amp; Jacobson LLP, One New York Plaza, New York, NY 10004, attention of Paul Tropp, Esq.; and, if to the Company, the Adviser or the Administrator shall be sufficient in all respects if delivered or sent to the Company at the offices of the Company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facsimile no. (212) 905-1075, Attention: Arthur Penn.</w:t>
      </w:r>
    </w:p>
    <w:p>
      <w:pPr>
        <w:spacing w:after="0" w:line="115" w:lineRule="exact"/>
        <w:rPr>
          <w:rFonts w:ascii="Arial" w:cs="Arial" w:eastAsia="Arial" w:hAnsi="Arial"/>
          <w:sz w:val="16"/>
          <w:szCs w:val="16"/>
          <w:color w:val="auto"/>
        </w:rPr>
      </w:pPr>
    </w:p>
    <w:p>
      <w:pPr>
        <w:ind w:right="80" w:firstLine="464"/>
        <w:spacing w:after="0" w:line="259" w:lineRule="auto"/>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Governing Law; Construction</w:t>
      </w:r>
      <w:r>
        <w:rPr>
          <w:rFonts w:ascii="Arial" w:cs="Arial" w:eastAsia="Arial" w:hAnsi="Arial"/>
          <w:sz w:val="18"/>
          <w:szCs w:val="18"/>
          <w:color w:val="auto"/>
        </w:rPr>
        <w:t>. This Agreement and any claim, counterclaim or dispute of any kind or nature whatsoever arising out of or in any way relating to this Agreement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directly or indirectly, shall be governed by, and construed in accordance with, the laws of the State of New York applicable to contracts formed and to be performed entirely within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39" w:name="page140"/>
    <w:bookmarkEnd w:id="13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40" w:lineRule="exact"/>
        <w:rPr>
          <w:sz w:val="20"/>
          <w:szCs w:val="20"/>
          <w:color w:val="auto"/>
        </w:rPr>
      </w:pPr>
    </w:p>
    <w:p>
      <w:pPr>
        <w:ind w:right="40" w:firstLine="464"/>
        <w:spacing w:after="0" w:line="286" w:lineRule="auto"/>
        <w:tabs>
          <w:tab w:leader="none" w:pos="72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27" w:lineRule="exact"/>
        <w:rPr>
          <w:rFonts w:ascii="Arial" w:cs="Arial" w:eastAsia="Arial" w:hAnsi="Arial"/>
          <w:sz w:val="16"/>
          <w:szCs w:val="16"/>
          <w:color w:val="auto"/>
        </w:rPr>
      </w:pPr>
    </w:p>
    <w:p>
      <w:pPr>
        <w:ind w:right="180" w:firstLine="464"/>
        <w:spacing w:after="0" w:line="298" w:lineRule="auto"/>
        <w:tabs>
          <w:tab w:leader="none" w:pos="72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9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12" w:lineRule="exact"/>
        <w:rPr>
          <w:rFonts w:ascii="Arial" w:cs="Arial" w:eastAsia="Arial" w:hAnsi="Arial"/>
          <w:sz w:val="16"/>
          <w:szCs w:val="16"/>
          <w:color w:val="auto"/>
        </w:rPr>
      </w:pPr>
    </w:p>
    <w:p>
      <w:pPr>
        <w:ind w:right="240" w:firstLine="464"/>
        <w:spacing w:after="0" w:line="268" w:lineRule="auto"/>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31" w:lineRule="exact"/>
        <w:rPr>
          <w:rFonts w:ascii="Arial" w:cs="Arial" w:eastAsia="Arial" w:hAnsi="Arial"/>
          <w:sz w:val="18"/>
          <w:szCs w:val="18"/>
          <w:color w:val="auto"/>
        </w:rPr>
      </w:pPr>
    </w:p>
    <w:p>
      <w:pPr>
        <w:ind w:firstLine="464"/>
        <w:spacing w:after="0" w:line="259" w:lineRule="auto"/>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40" w:lineRule="exact"/>
        <w:rPr>
          <w:rFonts w:ascii="Arial" w:cs="Arial" w:eastAsia="Arial" w:hAnsi="Arial"/>
          <w:sz w:val="18"/>
          <w:szCs w:val="18"/>
          <w:color w:val="auto"/>
        </w:rPr>
      </w:pPr>
    </w:p>
    <w:p>
      <w:pPr>
        <w:ind w:firstLine="464"/>
        <w:spacing w:after="0" w:line="291" w:lineRule="auto"/>
        <w:tabs>
          <w:tab w:leader="none" w:pos="72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Securities pursuant to this Agreement, including the determination of the price of the Securities and any related compensation, discounts or commissions, is an arm’s-length commercial transaction between the Company, the Adviser and the Administrator, on the one hand, and the Underwriters, on the other hand, (ii) in connection with the offering of the Securities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140" w:name="page141"/>
    <w:bookmarkEnd w:id="14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Adviser or the Administrator with respect to the offering of Securities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Securities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Securities and each of the Company, the Adviser and the Administrator has consulted and will consult its own legal, accounting, regulatory and tax advisors to the extent it deemed appropriate.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80" w:right="319" w:bottom="1440" w:gutter="0" w:footer="0" w:header="0"/>
        </w:sectPr>
      </w:pPr>
    </w:p>
    <w:bookmarkStart w:id="141" w:name="page142"/>
    <w:bookmarkEnd w:id="141"/>
    <w:p>
      <w:pPr>
        <w:ind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Chief Managing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PENNANTPARK INVESTMENT ADMINISTRATION, LLC</w:t>
      </w:r>
    </w:p>
    <w:p>
      <w:pPr>
        <w:spacing w:after="0" w:line="24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Chief Managing Member</w:t>
      </w:r>
    </w:p>
    <w:p>
      <w:pPr>
        <w:sectPr>
          <w:pgSz w:w="11900" w:h="16838" w:orient="portrait"/>
          <w:cols w:equalWidth="0" w:num="1">
            <w:col w:w="11240"/>
          </w:cols>
          <w:pgMar w:left="240" w:top="280" w:right="41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 as of the date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  Stifel, Nicolaus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Allen G.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Allen G. Laufenberg</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RBC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Cramer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Robert Cramer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19"/>
          </w:cols>
          <w:pgMar w:left="240" w:top="280" w:right="1440" w:bottom="1440" w:gutter="0" w:footer="0" w:header="0"/>
        </w:sectPr>
      </w:pPr>
    </w:p>
    <w:bookmarkStart w:id="143" w:name="page144"/>
    <w:bookmarkEnd w:id="143"/>
    <w:tbl>
      <w:tblPr>
        <w:tblLayout w:type="fixed"/>
        <w:tblInd w:w="64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460" w:type="dxa"/>
            <w:vAlign w:val="bottom"/>
            <w:gridSpan w:val="4"/>
          </w:tcPr>
          <w:p>
            <w:pPr>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361"/>
        </w:trPr>
        <w:tc>
          <w:tcPr>
            <w:tcW w:w="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Aggregate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Principal</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Amount of</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color w:val="auto"/>
                <w:w w:val="93"/>
              </w:rPr>
              <w:t>Underwriter</w:t>
            </w:r>
          </w:p>
        </w:tc>
        <w:tc>
          <w:tcPr>
            <w:tcW w:w="260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Senior Notes to</w:t>
            </w:r>
          </w:p>
        </w:tc>
        <w:tc>
          <w:tcPr>
            <w:tcW w:w="0" w:type="dxa"/>
            <w:vAlign w:val="bottom"/>
          </w:tcPr>
          <w:p>
            <w:pPr>
              <w:spacing w:after="0"/>
              <w:rPr>
                <w:sz w:val="1"/>
                <w:szCs w:val="1"/>
                <w:color w:val="auto"/>
              </w:rPr>
            </w:pPr>
          </w:p>
        </w:tc>
      </w:tr>
      <w:tr>
        <w:trPr>
          <w:trHeight w:val="166"/>
        </w:trPr>
        <w:tc>
          <w:tcPr>
            <w:tcW w:w="70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8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80"/>
              </w:rPr>
              <w:t>be Purchased</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Stifel, Nicolaus &amp; Company, Incorporated</w:t>
            </w:r>
          </w:p>
        </w:tc>
        <w:tc>
          <w:tcPr>
            <w:tcW w:w="114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$24,300,000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18,900,000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4,050,000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4,050,000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Stephens Inc.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Sterne, Agee &amp; Leach, Inc.</w:t>
            </w:r>
          </w:p>
        </w:tc>
        <w:tc>
          <w:tcPr>
            <w:tcW w:w="348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4" w:name="page145"/>
    <w:bookmarkEnd w:id="14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Dechert LLP</w:t>
      </w:r>
    </w:p>
    <w:p>
      <w:pPr>
        <w:sectPr>
          <w:pgSz w:w="11900" w:h="16838" w:orient="portrait"/>
          <w:cols w:equalWidth="0" w:num="1">
            <w:col w:w="9019"/>
          </w:cols>
          <w:pgMar w:left="1440" w:top="274"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Form of Opinion of Venable LLP</w:t>
      </w:r>
    </w:p>
    <w:p>
      <w:pPr>
        <w:sectPr>
          <w:pgSz w:w="11900" w:h="16838" w:orient="portrait"/>
          <w:cols w:equalWidth="0" w:num="1">
            <w:col w:w="9019"/>
          </w:cols>
          <w:pgMar w:left="1440" w:top="274" w:right="1440" w:bottom="1440" w:gutter="0" w:footer="0" w:header="0"/>
        </w:sectPr>
      </w:pPr>
    </w:p>
    <w:bookmarkStart w:id="146" w:name="page147"/>
    <w:bookmarkEnd w:id="146"/>
    <w:p>
      <w:pPr>
        <w:jc w:val="center"/>
        <w:ind w:right="-1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7" w:lineRule="exact"/>
        <w:rPr>
          <w:sz w:val="20"/>
          <w:szCs w:val="20"/>
          <w:color w:val="auto"/>
        </w:rPr>
      </w:pPr>
    </w:p>
    <w:p>
      <w:pPr>
        <w:jc w:val="center"/>
        <w:ind w:right="-111"/>
        <w:spacing w:after="0"/>
        <w:rPr>
          <w:sz w:val="20"/>
          <w:szCs w:val="20"/>
          <w:color w:val="auto"/>
        </w:rPr>
      </w:pPr>
      <w:r>
        <w:rPr>
          <w:rFonts w:ascii="Arial" w:cs="Arial" w:eastAsia="Arial" w:hAnsi="Arial"/>
          <w:sz w:val="18"/>
          <w:szCs w:val="18"/>
          <w:u w:val="single" w:color="auto"/>
          <w:color w:val="auto"/>
        </w:rPr>
        <w:t>Form of Certificate Required by Section 6(g)</w:t>
      </w:r>
    </w:p>
    <w:p>
      <w:pPr>
        <w:spacing w:after="0" w:line="212" w:lineRule="exact"/>
        <w:rPr>
          <w:sz w:val="20"/>
          <w:szCs w:val="20"/>
          <w:color w:val="auto"/>
        </w:rPr>
      </w:pPr>
    </w:p>
    <w:p>
      <w:pPr>
        <w:ind w:left="452" w:hanging="452"/>
        <w:spacing w:after="0"/>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90"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5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conditions set forth in paragraphs (e) and (f) of Section 6 of the Underwriting Agreement have been met.</w:t>
      </w:r>
    </w:p>
    <w:p>
      <w:pPr>
        <w:spacing w:after="0" w:line="9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1312"/>
          </w:cols>
          <w:pgMar w:left="248" w:top="274" w:right="339" w:bottom="1440" w:gutter="0" w:footer="0" w:header="0"/>
        </w:sectPr>
      </w:pPr>
    </w:p>
    <w:bookmarkStart w:id="147" w:name="page148"/>
    <w:bookmarkEnd w:id="147"/>
    <w:p>
      <w:pPr>
        <w:jc w:val="center"/>
        <w:ind w:right="3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$67,500,000</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PENNANTPARK INVESTMENT CORPORATION</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6.25% Senior Notes due 2025</w:t>
      </w:r>
    </w:p>
    <w:p>
      <w:pPr>
        <w:spacing w:after="0" w:line="171" w:lineRule="exact"/>
        <w:rPr>
          <w:sz w:val="20"/>
          <w:szCs w:val="20"/>
          <w:color w:val="auto"/>
        </w:rPr>
      </w:pPr>
    </w:p>
    <w:p>
      <w:pPr>
        <w:ind w:left="180" w:hanging="176"/>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aggregate principal amount of the Senior Notes is $67,500,000.</w:t>
      </w:r>
    </w:p>
    <w:p>
      <w:pPr>
        <w:spacing w:after="0" w:line="171" w:lineRule="exact"/>
        <w:rPr>
          <w:rFonts w:ascii="Arial" w:cs="Arial" w:eastAsia="Arial" w:hAnsi="Arial"/>
          <w:sz w:val="18"/>
          <w:szCs w:val="18"/>
          <w:color w:val="auto"/>
        </w:rPr>
      </w:pPr>
    </w:p>
    <w:p>
      <w:pPr>
        <w:ind w:left="180" w:hanging="176"/>
        <w:spacing w:after="0"/>
        <w:tabs>
          <w:tab w:leader="none" w:pos="1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purchase price for the Senior Notes shall be 100% of the aggregate principal amount thereof plus accrued interest, if any, from the date of issuance.</w:t>
      </w:r>
    </w:p>
    <w:p>
      <w:pPr>
        <w:spacing w:after="0" w:line="205" w:lineRule="exact"/>
        <w:rPr>
          <w:rFonts w:ascii="Arial" w:cs="Arial" w:eastAsia="Arial" w:hAnsi="Arial"/>
          <w:sz w:val="15"/>
          <w:szCs w:val="15"/>
          <w:color w:val="auto"/>
        </w:rPr>
      </w:pPr>
    </w:p>
    <w:p>
      <w:pPr>
        <w:ind w:left="180" w:hanging="176"/>
        <w:spacing w:after="0"/>
        <w:tabs>
          <w:tab w:leader="none" w:pos="1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purchase price for the Senior Notes to be paid by the several Underwriters shall be 97% of the aggregate principal amount thereof.</w:t>
      </w:r>
    </w:p>
    <w:p>
      <w:pPr>
        <w:spacing w:after="0" w:line="194" w:lineRule="exact"/>
        <w:rPr>
          <w:rFonts w:ascii="Arial" w:cs="Arial" w:eastAsia="Arial" w:hAnsi="Arial"/>
          <w:sz w:val="16"/>
          <w:szCs w:val="16"/>
          <w:color w:val="auto"/>
        </w:rPr>
      </w:pPr>
    </w:p>
    <w:p>
      <w:pPr>
        <w:ind w:left="180" w:hanging="176"/>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interest rate is 6.25%.</w:t>
      </w:r>
    </w:p>
    <w:p>
      <w:pPr>
        <w:sectPr>
          <w:pgSz w:w="11900" w:h="16838" w:orient="portrait"/>
          <w:cols w:equalWidth="0" w:num="1">
            <w:col w:w="10840"/>
          </w:cols>
          <w:pgMar w:left="700" w:top="274" w:right="35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(l)(5)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746115" cy="5657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461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22,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2620" w:type="dxa"/>
            <w:vAlign w:val="bottom"/>
            <w:gridSpan w:val="2"/>
          </w:tcPr>
          <w:p>
            <w:pPr>
              <w:spacing w:after="0"/>
              <w:rPr>
                <w:sz w:val="20"/>
                <w:szCs w:val="20"/>
                <w:color w:val="auto"/>
              </w:rPr>
            </w:pPr>
            <w:r>
              <w:rPr>
                <w:rFonts w:ascii="Arial" w:cs="Arial" w:eastAsia="Arial" w:hAnsi="Arial"/>
                <w:sz w:val="18"/>
                <w:szCs w:val="18"/>
                <w:color w:val="auto"/>
                <w:w w:val="88"/>
              </w:rPr>
              <w:t>Registration Statement on Form N-2:</w:t>
            </w:r>
          </w:p>
        </w:tc>
      </w:tr>
      <w:tr>
        <w:trPr>
          <w:trHeight w:val="184"/>
        </w:trPr>
        <w:tc>
          <w:tcPr>
            <w:tcW w:w="560" w:type="dxa"/>
            <w:vAlign w:val="bottom"/>
          </w:tcPr>
          <w:p>
            <w:pPr>
              <w:spacing w:after="0"/>
              <w:rPr>
                <w:sz w:val="15"/>
                <w:szCs w:val="15"/>
                <w:color w:val="auto"/>
              </w:rPr>
            </w:pPr>
          </w:p>
        </w:tc>
        <w:tc>
          <w:tcPr>
            <w:tcW w:w="15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9"/>
              </w:rPr>
              <w:t>File No.: 333-172524</w:t>
            </w:r>
          </w:p>
        </w:tc>
        <w:tc>
          <w:tcPr>
            <w:tcW w:w="1100" w:type="dxa"/>
            <w:vAlign w:val="bottom"/>
          </w:tcPr>
          <w:p>
            <w:pPr>
              <w:spacing w:after="0"/>
              <w:rPr>
                <w:sz w:val="15"/>
                <w:szCs w:val="1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have served as Maryland counsel to PennantPark Investment Corporation, a Maryland corporation (the “Company”) and a business development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company under the Investment Company Act of 1940, as amended (the “1940 Act”), in connection with certain matters of Maryland law arising out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by the Company of $77,625,000 aggregate principal amount of the Company’s 6.25% Senior Notes due 2025 (the “Notes”), including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$10,125,000 aggregate principal amount that the underwriters in the offering have the option to purchase solely to cover overallotments, covered by the above-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referenced Registration Statement, and all amendments thereto (the “Registration Statement”), filed by the Company with the United States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“Commission”) under the Securities Act of 1933, as amended (the “1933 Act”).</w:t>
      </w:r>
    </w:p>
    <w:p>
      <w:pPr>
        <w:spacing w:after="0" w:line="165"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right="600" w:firstLine="921"/>
        <w:spacing w:after="0" w:line="268" w:lineRule="auto"/>
        <w:tabs>
          <w:tab w:leader="none" w:pos="108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substantially in the form in which it was transmitted to the Commission under the 1933 Act;</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40" w:firstLine="921"/>
        <w:spacing w:after="0" w:line="268" w:lineRule="auto"/>
        <w:tabs>
          <w:tab w:leader="none" w:pos="108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relating to the authorization of the filing of the Registration Statement and the sale and issuance of the Notes, certified as of the date hereof by an officer of the Company;</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60" w:firstLine="921"/>
        <w:spacing w:after="0" w:line="268" w:lineRule="auto"/>
        <w:tabs>
          <w:tab w:leader="none" w:pos="108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1100" w:hanging="179"/>
        <w:spacing w:after="0"/>
        <w:tabs>
          <w:tab w:leader="none" w:pos="11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1100" w:hanging="179"/>
        <w:spacing w:after="0"/>
        <w:tabs>
          <w:tab w:leader="none" w:pos="11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right="40" w:firstLine="921"/>
        <w:spacing w:after="0" w:line="259" w:lineRule="auto"/>
        <w:tabs>
          <w:tab w:leader="none" w:pos="108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40" w:lineRule="exact"/>
        <w:rPr>
          <w:rFonts w:ascii="Arial" w:cs="Arial" w:eastAsia="Arial" w:hAnsi="Arial"/>
          <w:sz w:val="18"/>
          <w:szCs w:val="18"/>
          <w:color w:val="auto"/>
        </w:rPr>
      </w:pPr>
    </w:p>
    <w:p>
      <w:pPr>
        <w:ind w:firstLine="921"/>
        <w:spacing w:after="0" w:line="254" w:lineRule="auto"/>
        <w:tabs>
          <w:tab w:leader="none" w:pos="108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1100" w:hanging="179"/>
        <w:spacing w:after="0"/>
        <w:tabs>
          <w:tab w:leader="none" w:pos="11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SDAT.</w:t>
      </w:r>
    </w:p>
    <w:p>
      <w:pPr>
        <w:sectPr>
          <w:pgSz w:w="11900" w:h="16838" w:orient="portrait"/>
          <w:cols w:equalWidth="0" w:num="1">
            <w:col w:w="11400"/>
          </w:cols>
          <w:pgMar w:left="240" w:top="280" w:right="2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600" w:firstLine="921"/>
        <w:spacing w:after="0" w:line="268" w:lineRule="auto"/>
        <w:tabs>
          <w:tab w:leader="none" w:pos="108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issuance of the Notes has been duly authorized and, when and if issued and delivered against payment therefor in accordance with the Resolutions, the Notes will be validly issued.</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federal or state securities laws, including the securities laws of the State of Maryland, or the 1940 Act. To the extent that any matter as to which our opinion is expressed herein would be governed by the laws of any jurisdiction other than the State of Maryland, we do not express any opinion on such matter. The opinion expressed herein is subject to the effect of judicial decisions which may permit the introduction of parol evidence to modify the terms or the interpretation of agreements.</w:t>
      </w:r>
    </w:p>
    <w:p>
      <w:pPr>
        <w:spacing w:after="0" w:line="14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420"/>
          </w:cols>
          <w:pgMar w:left="240" w:top="28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(l)(6)</w:t>
      </w:r>
    </w:p>
    <w:p>
      <w:pPr>
        <w:spacing w:after="0" w:line="218"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1900 K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29335" cy="3517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880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+1 202 261 3300 Main</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+1 202 261 3333 Fax</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161290</wp:posOffset>
            </wp:positionV>
            <wp:extent cx="1663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January 22,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have acted as counsel to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(Registration No. 333-172524) as originally filed on February 28, 2011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under the Investment Company Act of 1940, as amended (the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and as subsequently amended on February 28, 2011, April 15, 2011, July 11, 2011, August 22, 2011, December 21, 2011, January 24, 2012, September 26, 2012 and January 22, 2013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the proposed issuance by the Company of</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$77,625,000 aggregate principal amount of 6.25% senior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 including up to $10,125,000 aggregate principal amount of Notes that may be sold pursuant to the underwriters’ over-allotment option, to be sold to underwriters pursuant to an underwriting agreement substantially in the form filed as Exhibit (h)(6) to the Registration Statement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This opinion letter is being furnished to the Company in accordance with the requirements of Item 25 of Form N-2 under the Investment Company Act, and no opinion is expressed herein as to any matter other than as to the legality of Indenture and the Notes.</w:t>
      </w:r>
    </w:p>
    <w:p>
      <w:pPr>
        <w:spacing w:after="0" w:line="1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Notes are to be issued pursuant to the indenture dated as of January 22, 2013 (the “</w:t>
      </w:r>
      <w:r>
        <w:rPr>
          <w:rFonts w:ascii="Arial" w:cs="Arial" w:eastAsia="Arial" w:hAnsi="Arial"/>
          <w:sz w:val="18"/>
          <w:szCs w:val="18"/>
          <w:u w:val="single" w:color="auto"/>
          <w:color w:val="auto"/>
        </w:rPr>
        <w:t>Base Indenture</w:t>
      </w:r>
      <w:r>
        <w:rPr>
          <w:rFonts w:ascii="Arial" w:cs="Arial" w:eastAsia="Arial" w:hAnsi="Arial"/>
          <w:sz w:val="18"/>
          <w:szCs w:val="18"/>
          <w:color w:val="auto"/>
        </w:rPr>
        <w:t>”), between the Company and American Stock Transfer &amp; Trust Company, LLC,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 as supplemented by the first supplemental indenture dated as of January 22, 2013 (together with the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between the Company and the Trustee.</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rendering the opinion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this opinion, including the following documents:</w:t>
      </w:r>
    </w:p>
    <w:p>
      <w:pPr>
        <w:spacing w:after="0" w:line="184"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Registration Statement;</w:t>
      </w:r>
    </w:p>
    <w:p>
      <w:pPr>
        <w:sectPr>
          <w:pgSz w:w="11900" w:h="16838" w:orient="portrait"/>
          <w:cols w:equalWidth="0" w:num="1">
            <w:col w:w="11420"/>
          </w:cols>
          <w:pgMar w:left="240" w:top="125" w:right="239" w:bottom="1440" w:gutter="0" w:footer="0" w:header="0"/>
        </w:sectPr>
      </w:pPr>
    </w:p>
    <w:bookmarkStart w:id="152" w:name="page153"/>
    <w:bookmarkEnd w:id="152"/>
    <w:p>
      <w:pPr>
        <w:ind w:left="9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29335" cy="3517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029335" cy="351790"/>
                    </a:xfrm>
                    <a:prstGeom prst="rect">
                      <a:avLst/>
                    </a:prstGeom>
                    <a:noFill/>
                  </pic:spPr>
                </pic:pic>
              </a:graphicData>
            </a:graphic>
          </wp:anchor>
        </w:drawing>
        <w:t>January 22, 2013</w:t>
      </w:r>
    </w:p>
    <w:p>
      <w:pPr>
        <w:spacing w:after="0" w:line="1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specimen copy of the form of the Notes to be issued pursuant to the Indenture;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Certificate of Incorporation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Bylaws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certificate of good standing with respect to the Company issued by the Secretary of State of the State of Delaware as of a recent date;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relating to, among other things, the authorization and issuance of the Notes.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to the facts upon which this opinion is based, we have relied, to the extent we deem proper, upon certificates of public officials and certificates and written statements of officers, directors, employees and representatives of the Company.</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and (ii) the legal power and authority of all persons signing on behalf of the parties to all documents (other than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and qualifications set forth in this letter, we are of the opinion that:</w:t>
      </w:r>
    </w:p>
    <w:p>
      <w:pPr>
        <w:spacing w:after="0" w:line="90" w:lineRule="exact"/>
        <w:rPr>
          <w:sz w:val="20"/>
          <w:szCs w:val="20"/>
          <w:color w:val="auto"/>
        </w:rPr>
      </w:pPr>
    </w:p>
    <w:p>
      <w:pPr>
        <w:ind w:left="1480" w:right="300" w:hanging="567"/>
        <w:spacing w:after="0" w:line="259"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When the Indenture is duly authorized, executed and delivered by the Company and qualified under the Trust Indenture Act of 1939, as amended, the Indenture will constitute the valid and legally binding obligation of the Company, enforceable against the Company in accordance with its terms.</w:t>
      </w:r>
    </w:p>
    <w:p>
      <w:pPr>
        <w:spacing w:after="0" w:line="59" w:lineRule="exact"/>
        <w:rPr>
          <w:rFonts w:ascii="Arial" w:cs="Arial" w:eastAsia="Arial" w:hAnsi="Arial"/>
          <w:sz w:val="18"/>
          <w:szCs w:val="18"/>
          <w:color w:val="auto"/>
        </w:rPr>
      </w:pPr>
    </w:p>
    <w:p>
      <w:pPr>
        <w:ind w:left="1480" w:right="40" w:hanging="567"/>
        <w:spacing w:after="0" w:line="256"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When duly executed by the Company and authenticated by the Trustee in accordance with the terms of the Indenture and delivered to the Underwriters against payment therefor in accordance with the terms of the Underwriting Agreement, the Notes will constitute the legal and binding obligations of the Company, the valid and legally binding obligation of the Company, enforceable against the Company in accordance with their terms.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opinion set forth herein as to enforceability of obligations of the Company is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w:t>
      </w:r>
    </w:p>
    <w:p>
      <w:pPr>
        <w:sectPr>
          <w:pgSz w:w="11900" w:h="16838" w:orient="portrait"/>
          <w:cols w:equalWidth="0" w:num="1">
            <w:col w:w="11300"/>
          </w:cols>
          <w:pgMar w:left="240" w:top="388" w:right="359" w:bottom="1440" w:gutter="0" w:footer="0" w:header="0"/>
        </w:sectPr>
      </w:pPr>
    </w:p>
    <w:bookmarkStart w:id="153" w:name="page154"/>
    <w:bookmarkEnd w:id="153"/>
    <w:p>
      <w:pPr>
        <w:ind w:left="9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29335" cy="3517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029335" cy="351790"/>
                    </a:xfrm>
                    <a:prstGeom prst="rect">
                      <a:avLst/>
                    </a:prstGeom>
                    <a:noFill/>
                  </pic:spPr>
                </pic:pic>
              </a:graphicData>
            </a:graphic>
          </wp:anchor>
        </w:drawing>
        <w:t>January 22, 2013</w:t>
      </w:r>
    </w:p>
    <w:p>
      <w:pPr>
        <w:spacing w:after="0" w:line="1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and (iii) an implied covenant of good faith and fair dealing.</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the federal laws of the United States of America and the laws of the State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assume no obligation to advise you of any changes in the foregoing subsequent to the date of this opinion.</w:t>
      </w:r>
    </w:p>
    <w:p>
      <w:pPr>
        <w:spacing w:after="0" w:line="17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380"/>
      </w:cols>
      <w:pgMar w:left="240" w:top="38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1"/>
      <w:numFmt w:val="bullet"/>
      <w:start w:val="1"/>
    </w:lvl>
  </w:abstractNum>
  <w:abstractNum w:abstractNumId="2">
    <w:nsid w:val="1EBA5D23"/>
    <w:multiLevelType w:val="hybridMultilevel"/>
    <w:lvl w:ilvl="0">
      <w:lvlJc w:val="left"/>
      <w:lvlText w:val="2"/>
      <w:numFmt w:val="bullet"/>
      <w:start w:val="1"/>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1)"/>
      <w:numFmt w:val="lowerLetter"/>
      <w:start w:val="5"/>
    </w:lvl>
  </w:abstractNum>
  <w:abstractNum w:abstractNumId="5">
    <w:nsid w:val="540A471C"/>
    <w:multiLevelType w:val="hybridMultilevel"/>
    <w:lvl w:ilvl="0">
      <w:lvlJc w:val="left"/>
      <w:lvlText w:val="(%1)"/>
      <w:numFmt w:val="lowerLetter"/>
      <w:start w:val="7"/>
    </w:lvl>
  </w:abstractNum>
  <w:abstractNum w:abstractNumId="6">
    <w:nsid w:val="7BD3EE7B"/>
    <w:multiLevelType w:val="hybridMultilevel"/>
    <w:lvl w:ilvl="0">
      <w:lvlJc w:val="left"/>
      <w:lvlText w:val="(%1)"/>
      <w:numFmt w:val="lowerLetter"/>
      <w:start w:val="10"/>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1."/>
      <w:numFmt w:val="decimal"/>
      <w:start w:val="4"/>
    </w:lvl>
  </w:abstractNum>
  <w:abstractNum w:abstractNumId="14">
    <w:nsid w:val="1A32234B"/>
    <w:multiLevelType w:val="hybridMultilevel"/>
    <w:lvl w:ilvl="0">
      <w:lvlJc w:val="left"/>
      <w:lvlText w:val="(%1)"/>
      <w:numFmt w:val="decimal"/>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1)"/>
      <w:numFmt w:val="decimal"/>
      <w:start w:val="3"/>
    </w:lvl>
  </w:abstractNum>
  <w:abstractNum w:abstractNumId="17">
    <w:nsid w:val="4962813B"/>
    <w:multiLevelType w:val="hybridMultilevel"/>
    <w:lvl w:ilvl="0">
      <w:lvlJc w:val="left"/>
      <w:lvlText w:val="(%1)"/>
      <w:numFmt w:val="lowerRoman"/>
      <w:start w:val="1"/>
    </w:lvl>
  </w:abstractNum>
  <w:abstractNum w:abstractNumId="18">
    <w:nsid w:val="60B6DF70"/>
    <w:multiLevelType w:val="hybridMultilevel"/>
    <w:lvl w:ilvl="0">
      <w:lvlJc w:val="left"/>
      <w:lvlText w:val="(%1)"/>
      <w:numFmt w:val="lowerLetter"/>
      <w:start w:val="2"/>
    </w:lvl>
  </w:abstractNum>
  <w:abstractNum w:abstractNumId="19">
    <w:nsid w:val="6A5EE64"/>
    <w:multiLevelType w:val="hybridMultilevel"/>
    <w:lvl w:ilvl="0">
      <w:lvlJc w:val="left"/>
      <w:lvlText w:val="(%1)"/>
      <w:numFmt w:val="lowerRoman"/>
      <w:start w:val="1"/>
    </w:lvl>
  </w:abstractNum>
  <w:abstractNum w:abstractNumId="20">
    <w:nsid w:val="14330624"/>
    <w:multiLevelType w:val="hybridMultilevel"/>
    <w:lvl w:ilvl="0">
      <w:lvlJc w:val="left"/>
      <w:lvlText w:val="%1"/>
      <w:numFmt w:val="lowerLetter"/>
      <w:start w:val="1"/>
    </w:lvl>
    <w:lvl w:ilvl="1">
      <w:lvlJc w:val="left"/>
      <w:lvlText w:val="(%2)"/>
      <w:numFmt w:val="lowerLetter"/>
      <w:start w:val="7"/>
    </w:lvl>
  </w:abstractNum>
  <w:abstractNum w:abstractNumId="21">
    <w:nsid w:val="7FFFCA11"/>
    <w:multiLevelType w:val="hybridMultilevel"/>
    <w:lvl w:ilvl="0">
      <w:lvlJc w:val="left"/>
      <w:lvlText w:val="(%1)"/>
      <w:numFmt w:val="lowerLetter"/>
      <w:start w:val="1"/>
    </w:lvl>
    <w:lvl w:ilvl="1">
      <w:lvlJc w:val="left"/>
      <w:lvlText w:val="%2"/>
      <w:numFmt w:val="lowerLetter"/>
      <w:start w:val="1"/>
    </w:lvl>
  </w:abstractNum>
  <w:abstractNum w:abstractNumId="22">
    <w:nsid w:val="1A27709E"/>
    <w:multiLevelType w:val="hybridMultilevel"/>
    <w:lvl w:ilvl="0">
      <w:lvlJc w:val="left"/>
      <w:lvlText w:val="(%1)"/>
      <w:numFmt w:val="lowerLetter"/>
      <w:start w:val="2"/>
    </w:lvl>
    <w:lvl w:ilvl="1">
      <w:lvlJc w:val="left"/>
      <w:lvlText w:val="(%2)"/>
      <w:numFmt w:val="decimal"/>
      <w:start w:val="6"/>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1)"/>
      <w:numFmt w:val="decimal"/>
      <w:start w:val="1"/>
    </w:lvl>
  </w:abstractNum>
  <w:abstractNum w:abstractNumId="25">
    <w:nsid w:val="7FB7E0AA"/>
    <w:multiLevelType w:val="hybridMultilevel"/>
    <w:lvl w:ilvl="0">
      <w:lvlJc w:val="left"/>
      <w:lvlText w:val="(%1)"/>
      <w:numFmt w:val="decimal"/>
      <w:start w:val="4"/>
    </w:lvl>
  </w:abstractNum>
  <w:abstractNum w:abstractNumId="26">
    <w:nsid w:val="6EB5BD4"/>
    <w:multiLevelType w:val="hybridMultilevel"/>
    <w:lvl w:ilvl="0">
      <w:lvlJc w:val="left"/>
      <w:lvlText w:val="(%1)"/>
      <w:numFmt w:val="lowerRoman"/>
      <w:start w:val="1"/>
    </w:lvl>
  </w:abstractNum>
  <w:abstractNum w:abstractNumId="27">
    <w:nsid w:val="6F6DD9AC"/>
    <w:multiLevelType w:val="hybridMultilevel"/>
    <w:lvl w:ilvl="0">
      <w:lvlJc w:val="left"/>
      <w:lvlText w:val="(%1)"/>
      <w:numFmt w:val="decimal"/>
      <w:start w:val="1"/>
    </w:lvl>
  </w:abstractNum>
  <w:abstractNum w:abstractNumId="28">
    <w:nsid w:val="94211F2"/>
    <w:multiLevelType w:val="hybridMultilevel"/>
    <w:lvl w:ilvl="0">
      <w:lvlJc w:val="left"/>
      <w:lvlText w:val="(%1)"/>
      <w:numFmt w:val="lowerLetter"/>
      <w:start w:val="1"/>
    </w:lvl>
  </w:abstractNum>
  <w:abstractNum w:abstractNumId="29">
    <w:nsid w:val="885E1B"/>
    <w:multiLevelType w:val="hybridMultilevel"/>
    <w:lvl w:ilvl="0">
      <w:lvlJc w:val="left"/>
      <w:lvlText w:val="(%1)"/>
      <w:numFmt w:val="lowerLetter"/>
      <w:start w:val="6"/>
    </w:lvl>
  </w:abstractNum>
  <w:abstractNum w:abstractNumId="30">
    <w:nsid w:val="76272110"/>
    <w:multiLevelType w:val="hybridMultilevel"/>
    <w:lvl w:ilvl="0">
      <w:lvlJc w:val="left"/>
      <w:lvlText w:val="(%1)"/>
      <w:numFmt w:val="decimal"/>
      <w:start w:val="1"/>
    </w:lvl>
  </w:abstractNum>
  <w:abstractNum w:abstractNumId="31">
    <w:nsid w:val="4C04A8AF"/>
    <w:multiLevelType w:val="hybridMultilevel"/>
    <w:lvl w:ilvl="0">
      <w:lvlJc w:val="left"/>
      <w:lvlText w:val="(%1)"/>
      <w:numFmt w:val="decimal"/>
      <w:start w:val="1"/>
    </w:lvl>
  </w:abstractNum>
  <w:abstractNum w:abstractNumId="32">
    <w:nsid w:val="1716703B"/>
    <w:multiLevelType w:val="hybridMultilevel"/>
    <w:lvl w:ilvl="0">
      <w:lvlJc w:val="left"/>
      <w:lvlText w:val="(%1)"/>
      <w:numFmt w:val="decimal"/>
      <w:start w:val="6"/>
    </w:lvl>
  </w:abstractNum>
  <w:abstractNum w:abstractNumId="33">
    <w:nsid w:val="14E17E33"/>
    <w:multiLevelType w:val="hybridMultilevel"/>
    <w:lvl w:ilvl="0">
      <w:lvlJc w:val="left"/>
      <w:lvlText w:val="(%1)"/>
      <w:numFmt w:val="decimal"/>
      <w:start w:val="15"/>
    </w:lvl>
  </w:abstractNum>
  <w:abstractNum w:abstractNumId="34">
    <w:nsid w:val="3222E7CD"/>
    <w:multiLevelType w:val="hybridMultilevel"/>
    <w:lvl w:ilvl="0">
      <w:lvlJc w:val="left"/>
      <w:lvlText w:val="(%1)"/>
      <w:numFmt w:val="decimal"/>
      <w:start w:val="23"/>
    </w:lvl>
  </w:abstractNum>
  <w:abstractNum w:abstractNumId="35">
    <w:nsid w:val="74DE0EE3"/>
    <w:multiLevelType w:val="hybridMultilevel"/>
    <w:lvl w:ilvl="0">
      <w:lvlJc w:val="left"/>
      <w:lvlText w:val="(%1)"/>
      <w:numFmt w:val="lowerLetter"/>
      <w:start w:val="9"/>
    </w:lvl>
    <w:lvl w:ilvl="1">
      <w:lvlJc w:val="left"/>
      <w:lvlText w:val="(%2)"/>
      <w:numFmt w:val="lowerLetter"/>
      <w:start w:val="1"/>
    </w:lvl>
  </w:abstractNum>
  <w:abstractNum w:abstractNumId="36">
    <w:nsid w:val="68EBC550"/>
    <w:multiLevelType w:val="hybridMultilevel"/>
    <w:lvl w:ilvl="0">
      <w:lvlJc w:val="left"/>
      <w:lvlText w:val="(%1)"/>
      <w:numFmt w:val="lowerRoman"/>
      <w:start w:val="2"/>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lowerLetter"/>
      <w:start w:val="2"/>
    </w:lvl>
  </w:abstractNum>
  <w:abstractNum w:abstractNumId="39">
    <w:nsid w:val="4A2AC315"/>
    <w:multiLevelType w:val="hybridMultilevel"/>
    <w:lvl w:ilvl="0">
      <w:lvlJc w:val="left"/>
      <w:lvlText w:val="(%1)"/>
      <w:numFmt w:val="lowerRoman"/>
      <w:start w:val="2"/>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1"/>
      <w:numFmt w:val="lowerLetter"/>
      <w:start w:val="1"/>
    </w:lvl>
    <w:lvl w:ilvl="1">
      <w:lvlJc w:val="left"/>
      <w:lvlText w:val="(%2)"/>
      <w:numFmt w:val="decimal"/>
      <w:start w:val="2"/>
    </w:lvl>
  </w:abstractNum>
  <w:abstractNum w:abstractNumId="43">
    <w:nsid w:val="43F18422"/>
    <w:multiLevelType w:val="hybridMultilevel"/>
    <w:lvl w:ilvl="0">
      <w:lvlJc w:val="left"/>
      <w:lvlText w:val="(%1)"/>
      <w:numFmt w:val="lowerLetter"/>
      <w:start w:val="2"/>
    </w:lvl>
    <w:lvl w:ilvl="1">
      <w:lvlJc w:val="left"/>
      <w:lvlText w:val="%2"/>
      <w:numFmt w:val="decimal"/>
      <w:start w:val="1"/>
    </w:lvl>
  </w:abstractNum>
  <w:abstractNum w:abstractNumId="44">
    <w:nsid w:val="60EF0119"/>
    <w:multiLevelType w:val="hybridMultilevel"/>
    <w:lvl w:ilvl="0">
      <w:lvlJc w:val="left"/>
      <w:lvlText w:val="%1"/>
      <w:numFmt w:val="lowerLetter"/>
      <w:start w:val="1"/>
    </w:lvl>
    <w:lvl w:ilvl="1">
      <w:lvlJc w:val="left"/>
      <w:lvlText w:val="(%2)"/>
      <w:numFmt w:val="lowerLetter"/>
      <w:start w:val="1"/>
    </w:lvl>
  </w:abstractNum>
  <w:abstractNum w:abstractNumId="45">
    <w:nsid w:val="26F324BA"/>
    <w:multiLevelType w:val="hybridMultilevel"/>
    <w:lvl w:ilvl="0">
      <w:lvlJc w:val="left"/>
      <w:lvlText w:val="(%1)"/>
      <w:numFmt w:val="lowerLetter"/>
      <w:start w:val="4"/>
    </w:lvl>
    <w:lvl w:ilvl="1">
      <w:lvlJc w:val="left"/>
      <w:lvlText w:val="(%2)"/>
      <w:numFmt w:val="lowerLetter"/>
      <w:start w:val="3"/>
    </w:lvl>
  </w:abstractNum>
  <w:abstractNum w:abstractNumId="46">
    <w:nsid w:val="7F01579B"/>
    <w:multiLevelType w:val="hybridMultilevel"/>
    <w:lvl w:ilvl="0">
      <w:lvlJc w:val="left"/>
      <w:lvlText w:val="(%1)"/>
      <w:numFmt w:val="lowerLetter"/>
      <w:start w:val="2"/>
    </w:lvl>
    <w:lvl w:ilvl="1">
      <w:lvlJc w:val="left"/>
      <w:lvlText w:val="(%2)"/>
      <w:numFmt w:val="lowerLetter"/>
      <w:start w:val="4"/>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decimal"/>
      <w:start w:val="1"/>
    </w:lvl>
    <w:lvl w:ilvl="1">
      <w:lvlJc w:val="left"/>
      <w:lvlText w:val="(%2)"/>
      <w:numFmt w:val="upperLetter"/>
      <w:start w:val="1"/>
    </w:lvl>
  </w:abstractNum>
  <w:abstractNum w:abstractNumId="49">
    <w:nsid w:val="5FB8370B"/>
    <w:multiLevelType w:val="hybridMultilevel"/>
    <w:lvl w:ilvl="0">
      <w:lvlJc w:val="left"/>
      <w:lvlText w:val="(%1)"/>
      <w:numFmt w:val="decimal"/>
      <w:start w:val="2"/>
    </w:lvl>
  </w:abstractNum>
  <w:abstractNum w:abstractNumId="50">
    <w:nsid w:val="50801EE1"/>
    <w:multiLevelType w:val="hybridMultilevel"/>
    <w:lvl w:ilvl="0">
      <w:lvlJc w:val="left"/>
      <w:lvlText w:val="(%1)"/>
      <w:numFmt w:val="upperLetter"/>
      <w:start w:val="2"/>
    </w:lvl>
  </w:abstractNum>
  <w:abstractNum w:abstractNumId="51">
    <w:nsid w:val="488AC1A"/>
    <w:multiLevelType w:val="hybridMultilevel"/>
    <w:lvl w:ilvl="0">
      <w:lvlJc w:val="left"/>
      <w:lvlText w:val="(%1)"/>
      <w:numFmt w:val="decimal"/>
      <w:start w:val="1"/>
    </w:lvl>
  </w:abstractNum>
  <w:abstractNum w:abstractNumId="52">
    <w:nsid w:val="5FB8011C"/>
    <w:multiLevelType w:val="hybridMultilevel"/>
    <w:lvl w:ilvl="0">
      <w:lvlJc w:val="left"/>
      <w:lvlText w:val="(%1)"/>
      <w:numFmt w:val="decimal"/>
      <w:start w:val="5"/>
    </w:lvl>
    <w:lvl w:ilvl="1">
      <w:lvlJc w:val="left"/>
      <w:lvlText w:val="(%2)"/>
      <w:numFmt w:val="upperLetter"/>
      <w:start w:val="1"/>
    </w:lvl>
  </w:abstractNum>
  <w:abstractNum w:abstractNumId="53">
    <w:nsid w:val="6AA78F7F"/>
    <w:multiLevelType w:val="hybridMultilevel"/>
    <w:lvl w:ilvl="0">
      <w:lvlJc w:val="left"/>
      <w:lvlText w:val="(%1)"/>
      <w:numFmt w:val="decimal"/>
      <w:start w:val="1"/>
    </w:lvl>
    <w:lvl w:ilvl="1">
      <w:lvlJc w:val="left"/>
      <w:lvlText w:val="(%2)"/>
      <w:numFmt w:val="upperLetter"/>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lowerRoman"/>
      <w:start w:val="1"/>
    </w:lvl>
  </w:abstractNum>
  <w:abstractNum w:abstractNumId="56">
    <w:nsid w:val="6A5F7029"/>
    <w:multiLevelType w:val="hybridMultilevel"/>
    <w:lvl w:ilvl="0">
      <w:lvlJc w:val="left"/>
      <w:lvlText w:val="(%1)"/>
      <w:numFmt w:val="decimal"/>
      <w:start w:val="1"/>
    </w:lvl>
  </w:abstractNum>
  <w:abstractNum w:abstractNumId="57">
    <w:nsid w:val="7D5E18F8"/>
    <w:multiLevelType w:val="hybridMultilevel"/>
    <w:lvl w:ilvl="0">
      <w:lvlJc w:val="left"/>
      <w:lvlText w:val="(%1)"/>
      <w:numFmt w:val="decimal"/>
      <w:start w:val="5"/>
    </w:lvl>
  </w:abstractNum>
  <w:abstractNum w:abstractNumId="58">
    <w:nsid w:val="5F3534A4"/>
    <w:multiLevelType w:val="hybridMultilevel"/>
    <w:lvl w:ilvl="0">
      <w:lvlJc w:val="left"/>
      <w:lvlText w:val="(%1)"/>
      <w:numFmt w:val="decimal"/>
      <w:start w:val="1"/>
    </w:lvl>
  </w:abstractNum>
  <w:abstractNum w:abstractNumId="59">
    <w:nsid w:val="73A1821B"/>
    <w:multiLevelType w:val="hybridMultilevel"/>
    <w:lvl w:ilvl="0">
      <w:lvlJc w:val="left"/>
      <w:lvlText w:val="a"/>
      <w:numFmt w:val="bullet"/>
      <w:start w:val="1"/>
    </w:lvl>
    <w:lvl w:ilvl="1">
      <w:lvlJc w:val="left"/>
      <w:lvlText w:val="(%2)"/>
      <w:numFmt w:val="decimal"/>
      <w:start w:val="1"/>
    </w:lvl>
  </w:abstractNum>
  <w:abstractNum w:abstractNumId="60">
    <w:nsid w:val="7DE67713"/>
    <w:multiLevelType w:val="hybridMultilevel"/>
    <w:lvl w:ilvl="0">
      <w:lvlJc w:val="left"/>
      <w:lvlText w:val="(%1)"/>
      <w:numFmt w:val="decimal"/>
      <w:start w:val="1"/>
    </w:lvl>
  </w:abstractNum>
  <w:abstractNum w:abstractNumId="61">
    <w:nsid w:val="555C55B5"/>
    <w:multiLevelType w:val="hybridMultilevel"/>
    <w:lvl w:ilvl="0">
      <w:lvlJc w:val="left"/>
      <w:lvlText w:val="(%1)"/>
      <w:numFmt w:val="decimal"/>
      <w:start w:val="8"/>
    </w:lvl>
  </w:abstractNum>
  <w:abstractNum w:abstractNumId="62">
    <w:nsid w:val="3FA62ACA"/>
    <w:multiLevelType w:val="hybridMultilevel"/>
    <w:lvl w:ilvl="0">
      <w:lvlJc w:val="left"/>
      <w:lvlText w:val="(%1)"/>
      <w:numFmt w:val="decimal"/>
      <w:start w:val="1"/>
    </w:lvl>
  </w:abstractNum>
  <w:abstractNum w:abstractNumId="63">
    <w:nsid w:val="14FCE74E"/>
    <w:multiLevelType w:val="hybridMultilevel"/>
    <w:lvl w:ilvl="0">
      <w:lvlJc w:val="left"/>
      <w:lvlText w:val="(%1)"/>
      <w:numFmt w:val="decimal"/>
      <w:start w:val="2"/>
    </w:lvl>
  </w:abstractNum>
  <w:abstractNum w:abstractNumId="64">
    <w:nsid w:val="6A3DD3E8"/>
    <w:multiLevelType w:val="hybridMultilevel"/>
    <w:lvl w:ilvl="0">
      <w:lvlJc w:val="left"/>
      <w:lvlText w:val="(%1)"/>
      <w:numFmt w:val="lowerLetter"/>
      <w:start w:val="1"/>
    </w:lvl>
  </w:abstractNum>
  <w:abstractNum w:abstractNumId="65">
    <w:nsid w:val="71C91298"/>
    <w:multiLevelType w:val="hybridMultilevel"/>
    <w:lvl w:ilvl="0">
      <w:lvlJc w:val="left"/>
      <w:lvlText w:val="(%1)"/>
      <w:numFmt w:val="lowerLetter"/>
      <w:start w:val="2"/>
    </w:lvl>
    <w:lvl w:ilvl="1">
      <w:lvlJc w:val="left"/>
      <w:lvlText w:val="(%2)"/>
      <w:numFmt w:val="decimal"/>
      <w:start w:val="1"/>
    </w:lvl>
  </w:abstractNum>
  <w:abstractNum w:abstractNumId="66">
    <w:nsid w:val="9DAF632"/>
    <w:multiLevelType w:val="hybridMultilevel"/>
    <w:lvl w:ilvl="0">
      <w:lvlJc w:val="left"/>
      <w:lvlText w:val="(%1)"/>
      <w:numFmt w:val="lowerLetter"/>
      <w:start w:val="5"/>
    </w:lvl>
  </w:abstractNum>
  <w:abstractNum w:abstractNumId="67">
    <w:nsid w:val="53299938"/>
    <w:multiLevelType w:val="hybridMultilevel"/>
    <w:lvl w:ilvl="0">
      <w:lvlJc w:val="left"/>
      <w:lvlText w:val="(%1)"/>
      <w:numFmt w:val="lowerLetter"/>
      <w:start w:val="7"/>
    </w:lvl>
  </w:abstractNum>
  <w:abstractNum w:abstractNumId="68">
    <w:nsid w:val="1FBFE8E0"/>
    <w:multiLevelType w:val="hybridMultilevel"/>
    <w:lvl w:ilvl="0">
      <w:lvlJc w:val="left"/>
      <w:lvlText w:val="(%1)"/>
      <w:numFmt w:val="lowerLetter"/>
      <w:start w:val="1"/>
    </w:lvl>
  </w:abstractNum>
  <w:abstractNum w:abstractNumId="69">
    <w:nsid w:val="5092CA79"/>
    <w:multiLevelType w:val="hybridMultilevel"/>
    <w:lvl w:ilvl="0">
      <w:lvlJc w:val="left"/>
      <w:lvlText w:val="(%1)"/>
      <w:numFmt w:val="lowerLetter"/>
      <w:start w:val="3"/>
    </w:lvl>
  </w:abstractNum>
  <w:abstractNum w:abstractNumId="70">
    <w:nsid w:val="1D545C4D"/>
    <w:multiLevelType w:val="hybridMultilevel"/>
    <w:lvl w:ilvl="0">
      <w:lvlJc w:val="left"/>
      <w:lvlText w:val="(%1)"/>
      <w:numFmt w:val="lowerLetter"/>
      <w:start w:val="1"/>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1)"/>
      <w:numFmt w:val="decimal"/>
      <w:start w:val="2"/>
    </w:lvl>
  </w:abstractNum>
  <w:abstractNum w:abstractNumId="73">
    <w:nsid w:val="2A155DBC"/>
    <w:multiLevelType w:val="hybridMultilevel"/>
    <w:lvl w:ilvl="0">
      <w:lvlJc w:val="left"/>
      <w:lvlText w:val="(%1)"/>
      <w:numFmt w:val="decimal"/>
      <w:start w:val="1"/>
    </w:lvl>
  </w:abstractNum>
  <w:abstractNum w:abstractNumId="74">
    <w:nsid w:val="1D9F6E5F"/>
    <w:multiLevelType w:val="hybridMultilevel"/>
    <w:lvl w:ilvl="0">
      <w:lvlJc w:val="left"/>
      <w:lvlText w:val="(%1)"/>
      <w:numFmt w:val="decimal"/>
      <w:start w:val="1"/>
    </w:lvl>
  </w:abstractNum>
  <w:abstractNum w:abstractNumId="75">
    <w:nsid w:val="97E1B4E"/>
    <w:multiLevelType w:val="hybridMultilevel"/>
    <w:lvl w:ilvl="0">
      <w:lvlJc w:val="left"/>
      <w:lvlText w:val="(%1)"/>
      <w:numFmt w:val="decimal"/>
      <w:start w:val="5"/>
    </w:lvl>
  </w:abstractNum>
  <w:abstractNum w:abstractNumId="76">
    <w:nsid w:val="51088277"/>
    <w:multiLevelType w:val="hybridMultilevel"/>
    <w:lvl w:ilvl="0">
      <w:lvlJc w:val="left"/>
      <w:lvlText w:val="(%1)"/>
      <w:numFmt w:val="decimal"/>
      <w:start w:val="1"/>
    </w:lvl>
  </w:abstractNum>
  <w:abstractNum w:abstractNumId="77">
    <w:nsid w:val="1CA0C5FA"/>
    <w:multiLevelType w:val="hybridMultilevel"/>
    <w:lvl w:ilvl="0">
      <w:lvlJc w:val="left"/>
      <w:lvlText w:val="(%1)"/>
      <w:numFmt w:val="decimal"/>
      <w:start w:val="2"/>
    </w:lvl>
  </w:abstractNum>
  <w:abstractNum w:abstractNumId="78">
    <w:nsid w:val="53584BCB"/>
    <w:multiLevelType w:val="hybridMultilevel"/>
    <w:lvl w:ilvl="0">
      <w:lvlJc w:val="left"/>
      <w:lvlText w:val="%1"/>
      <w:numFmt w:val="lowerLetter"/>
      <w:start w:val="1"/>
    </w:lvl>
    <w:lvl w:ilvl="1">
      <w:lvlJc w:val="left"/>
      <w:lvlText w:val="(%2)"/>
      <w:numFmt w:val="lowerLetter"/>
      <w:start w:val="1"/>
    </w:lvl>
  </w:abstractNum>
  <w:abstractNum w:abstractNumId="79">
    <w:nsid w:val="415E286C"/>
    <w:multiLevelType w:val="hybridMultilevel"/>
    <w:lvl w:ilvl="0">
      <w:lvlJc w:val="left"/>
      <w:lvlText w:val="(%1)"/>
      <w:numFmt w:val="lowerLetter"/>
      <w:start w:val="1"/>
    </w:lvl>
    <w:lvl w:ilvl="1">
      <w:lvlJc w:val="left"/>
      <w:lvlText w:val="%2"/>
      <w:numFmt w:val="lowerLetter"/>
      <w:start w:val="1"/>
    </w:lvl>
  </w:abstractNum>
  <w:abstractNum w:abstractNumId="80">
    <w:nsid w:val="7C58FD05"/>
    <w:multiLevelType w:val="hybridMultilevel"/>
    <w:lvl w:ilvl="0">
      <w:lvlJc w:val="left"/>
      <w:lvlText w:val="%1."/>
      <w:numFmt w:val="decimal"/>
      <w:start w:val="1"/>
    </w:lvl>
  </w:abstractNum>
  <w:abstractNum w:abstractNumId="81">
    <w:nsid w:val="23D86AAC"/>
    <w:multiLevelType w:val="hybridMultilevel"/>
    <w:lvl w:ilvl="0">
      <w:lvlJc w:val="left"/>
      <w:lvlText w:val="%1."/>
      <w:numFmt w:val="decimal"/>
      <w:start w:val="8"/>
    </w:lvl>
  </w:abstractNum>
  <w:abstractNum w:abstractNumId="82">
    <w:nsid w:val="45E6D486"/>
    <w:multiLevelType w:val="hybridMultilevel"/>
    <w:lvl w:ilvl="0">
      <w:lvlJc w:val="left"/>
      <w:lvlText w:val="%1."/>
      <w:numFmt w:val="decimal"/>
      <w:start w:val="20"/>
    </w:lvl>
  </w:abstractNum>
  <w:abstractNum w:abstractNumId="83">
    <w:nsid w:val="5C10FE21"/>
    <w:multiLevelType w:val="hybridMultilevel"/>
    <w:lvl w:ilvl="0">
      <w:lvlJc w:val="left"/>
      <w:lvlText w:val="(%1)"/>
      <w:numFmt w:val="decimal"/>
      <w:start w:val="1"/>
    </w:lvl>
  </w:abstractNum>
  <w:abstractNum w:abstractNumId="84">
    <w:nsid w:val="E7FFA2B"/>
    <w:multiLevelType w:val="hybridMultilevel"/>
    <w:lvl w:ilvl="0">
      <w:lvlJc w:val="left"/>
      <w:lvlText w:val="(%1)"/>
      <w:numFmt w:val="decimal"/>
      <w:start w:val="8"/>
    </w:lvl>
  </w:abstractNum>
  <w:abstractNum w:abstractNumId="85">
    <w:nsid w:val="3C5991AA"/>
    <w:multiLevelType w:val="hybridMultilevel"/>
    <w:lvl w:ilvl="0">
      <w:lvlJc w:val="left"/>
      <w:lvlText w:val="(%1)"/>
      <w:numFmt w:val="lowerLetter"/>
      <w:start w:val="1"/>
    </w:lvl>
  </w:abstractNum>
  <w:abstractNum w:abstractNumId="86">
    <w:nsid w:val="4BD8591A"/>
    <w:multiLevelType w:val="hybridMultilevel"/>
    <w:lvl w:ilvl="0">
      <w:lvlJc w:val="left"/>
      <w:lvlText w:val="(%1)"/>
      <w:numFmt w:val="lowerLetter"/>
      <w:start w:val="35"/>
    </w:lvl>
    <w:lvl w:ilvl="1">
      <w:lvlJc w:val="left"/>
      <w:lvlText w:val="(%2)"/>
      <w:numFmt w:val="lowerLetter"/>
      <w:start w:val="2"/>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Roman"/>
      <w:start w:val="1"/>
    </w:lvl>
  </w:abstractNum>
  <w:abstractNum w:abstractNumId="89">
    <w:nsid w:val="2B0D8DBE"/>
    <w:multiLevelType w:val="hybridMultilevel"/>
    <w:lvl w:ilvl="0">
      <w:lvlJc w:val="left"/>
      <w:lvlText w:val="(%1)"/>
      <w:numFmt w:val="lowerLetter"/>
      <w:start w:val="1"/>
    </w:lvl>
  </w:abstractNum>
  <w:abstractNum w:abstractNumId="90">
    <w:nsid w:val="6C80EC70"/>
    <w:multiLevelType w:val="hybridMultilevel"/>
    <w:lvl w:ilvl="0">
      <w:lvlJc w:val="left"/>
      <w:lvlText w:val="(%1)"/>
      <w:numFmt w:val="lowerLetter"/>
      <w:start w:val="3"/>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lowerLetter"/>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1)"/>
      <w:numFmt w:val="lowerLetter"/>
      <w:start w:val="1"/>
    </w:lvl>
  </w:abstractNum>
  <w:abstractNum w:abstractNumId="95">
    <w:nsid w:val="6AA7B75C"/>
    <w:multiLevelType w:val="hybridMultilevel"/>
    <w:lvl w:ilvl="0">
      <w:lvlJc w:val="left"/>
      <w:lvlText w:val="(%1)"/>
      <w:numFmt w:val="lowerLetter"/>
      <w:start w:val="8"/>
    </w:lvl>
    <w:lvl w:ilvl="1">
      <w:lvlJc w:val="left"/>
      <w:lvlText w:val="(%2)"/>
      <w:numFmt w:val="lowerRoman"/>
      <w:start w:val="1"/>
    </w:lvl>
  </w:abstractNum>
  <w:abstractNum w:abstractNumId="96">
    <w:nsid w:val="1DF029D3"/>
    <w:multiLevelType w:val="hybridMultilevel"/>
    <w:lvl w:ilvl="0">
      <w:lvlJc w:val="left"/>
      <w:lvlText w:val="(%1)"/>
      <w:numFmt w:val="decimal"/>
      <w:start w:val="5"/>
    </w:lvl>
  </w:abstractNum>
  <w:abstractNum w:abstractNumId="97">
    <w:nsid w:val="5675FF36"/>
    <w:multiLevelType w:val="hybridMultilevel"/>
    <w:lvl w:ilvl="0">
      <w:lvlJc w:val="left"/>
      <w:lvlText w:val="%1."/>
      <w:numFmt w:val="decimal"/>
      <w:start w:val="1"/>
    </w:lvl>
  </w:abstractNum>
  <w:abstractNum w:abstractNumId="98">
    <w:nsid w:val="3DD15094"/>
    <w:multiLevelType w:val="hybridMultilevel"/>
    <w:lvl w:ilvl="0">
      <w:lvlJc w:val="left"/>
      <w:lvlText w:val="%1."/>
      <w:numFmt w:val="decimal"/>
      <w:start w:val="2"/>
    </w:lvl>
  </w:abstractNum>
  <w:abstractNum w:abstractNumId="99">
    <w:nsid w:val="3DB012B3"/>
    <w:multiLevelType w:val="hybridMultilevel"/>
    <w:lvl w:ilvl="0">
      <w:lvlJc w:val="left"/>
      <w:lvlText w:val="%1."/>
      <w:numFmt w:val="decimal"/>
      <w:start w:val="3"/>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upperLetter"/>
      <w:start w:val="1"/>
    </w:lvl>
    <w:lvl w:ilvl="1">
      <w:lvlJc w:val="left"/>
      <w:lvlText w:val="(%2)"/>
      <w:numFmt w:val="lowerLetter"/>
      <w:start w:val="2"/>
    </w:lvl>
  </w:abstractNum>
  <w:abstractNum w:abstractNumId="102">
    <w:nsid w:val="175DFCF0"/>
    <w:multiLevelType w:val="hybridMultilevel"/>
    <w:lvl w:ilvl="0">
      <w:lvlJc w:val="left"/>
      <w:lvlText w:val="(%1)"/>
      <w:numFmt w:val="lowerLetter"/>
      <w:start w:val="6"/>
    </w:lvl>
  </w:abstractNum>
  <w:abstractNum w:abstractNumId="103">
    <w:nsid w:val="4F97E3E4"/>
    <w:multiLevelType w:val="hybridMultilevel"/>
    <w:lvl w:ilvl="0">
      <w:lvlJc w:val="left"/>
      <w:lvlText w:val="(%1)"/>
      <w:numFmt w:val="lowerLetter"/>
      <w:start w:val="9"/>
    </w:lvl>
    <w:lvl w:ilvl="1">
      <w:lvlJc w:val="left"/>
      <w:lvlText w:val="(%2)"/>
      <w:numFmt w:val="lowerLetter"/>
      <w:start w:val="12"/>
    </w:lvl>
  </w:abstractNum>
  <w:abstractNum w:abstractNumId="104">
    <w:nsid w:val="53B0A9E"/>
    <w:multiLevelType w:val="hybridMultilevel"/>
    <w:lvl w:ilvl="0">
      <w:lvlJc w:val="left"/>
      <w:lvlText w:val="(%1)"/>
      <w:numFmt w:val="lowerLetter"/>
      <w:start w:val="15"/>
    </w:lvl>
  </w:abstractNum>
  <w:abstractNum w:abstractNumId="105">
    <w:nsid w:val="34FD6B4F"/>
    <w:multiLevelType w:val="hybridMultilevel"/>
    <w:lvl w:ilvl="0">
      <w:lvlJc w:val="left"/>
      <w:lvlText w:val="(%1)"/>
      <w:numFmt w:val="lowerLetter"/>
      <w:start w:val="20"/>
    </w:lvl>
  </w:abstractNum>
  <w:abstractNum w:abstractNumId="106">
    <w:nsid w:val="5915FF32"/>
    <w:multiLevelType w:val="hybridMultilevel"/>
    <w:lvl w:ilvl="0">
      <w:lvlJc w:val="left"/>
      <w:lvlText w:val="(%1)"/>
      <w:numFmt w:val="lowerLetter"/>
      <w:start w:val="26"/>
    </w:lvl>
  </w:abstractNum>
  <w:abstractNum w:abstractNumId="107">
    <w:nsid w:val="56438D15"/>
    <w:multiLevelType w:val="hybridMultilevel"/>
    <w:lvl w:ilvl="0">
      <w:lvlJc w:val="left"/>
      <w:lvlText w:val="(%1)"/>
      <w:numFmt w:val="lowerLetter"/>
      <w:start w:val="27"/>
    </w:lvl>
  </w:abstractNum>
  <w:abstractNum w:abstractNumId="108">
    <w:nsid w:val="519E3149"/>
    <w:multiLevelType w:val="hybridMultilevel"/>
    <w:lvl w:ilvl="0">
      <w:lvlJc w:val="left"/>
      <w:lvlText w:val="(%1)"/>
      <w:numFmt w:val="lowerLetter"/>
      <w:start w:val="33"/>
    </w:lvl>
  </w:abstractNum>
  <w:abstractNum w:abstractNumId="109">
    <w:nsid w:val="2C6E4AFD"/>
    <w:multiLevelType w:val="hybridMultilevel"/>
    <w:lvl w:ilvl="0">
      <w:lvlJc w:val="left"/>
      <w:lvlText w:val="(%1)"/>
      <w:numFmt w:val="lowerLetter"/>
      <w:start w:val="36"/>
    </w:lvl>
  </w:abstractNum>
  <w:abstractNum w:abstractNumId="110">
    <w:nsid w:val="17A1B582"/>
    <w:multiLevelType w:val="hybridMultilevel"/>
    <w:lvl w:ilvl="0">
      <w:lvlJc w:val="left"/>
      <w:lvlText w:val="%1."/>
      <w:numFmt w:val="decimal"/>
      <w:start w:val="4"/>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lowerLetter"/>
      <w:start w:val="4"/>
    </w:lvl>
  </w:abstractNum>
  <w:abstractNum w:abstractNumId="113">
    <w:nsid w:val="5D888A08"/>
    <w:multiLevelType w:val="hybridMultilevel"/>
    <w:lvl w:ilvl="0">
      <w:lvlJc w:val="left"/>
      <w:lvlText w:val="(%1)"/>
      <w:numFmt w:val="lowerLetter"/>
      <w:start w:val="7"/>
    </w:lvl>
  </w:abstractNum>
  <w:abstractNum w:abstractNumId="114">
    <w:nsid w:val="2A082C70"/>
    <w:multiLevelType w:val="hybridMultilevel"/>
    <w:lvl w:ilvl="0">
      <w:lvlJc w:val="left"/>
      <w:lvlText w:val="(%1)"/>
      <w:numFmt w:val="lowerLetter"/>
      <w:start w:val="14"/>
    </w:lvl>
  </w:abstractNum>
  <w:abstractNum w:abstractNumId="115">
    <w:nsid w:val="5EC6AFD4"/>
    <w:multiLevelType w:val="hybridMultilevel"/>
    <w:lvl w:ilvl="0">
      <w:lvlJc w:val="left"/>
      <w:lvlText w:val="%1."/>
      <w:numFmt w:val="decimal"/>
      <w:start w:val="5"/>
    </w:lvl>
  </w:abstractNum>
  <w:abstractNum w:abstractNumId="116">
    <w:nsid w:val="19E21BB2"/>
    <w:multiLevelType w:val="hybridMultilevel"/>
    <w:lvl w:ilvl="0">
      <w:lvlJc w:val="left"/>
      <w:lvlText w:val="(%1)"/>
      <w:numFmt w:val="lowerLetter"/>
      <w:start w:val="1"/>
    </w:lvl>
  </w:abstractNum>
  <w:abstractNum w:abstractNumId="117">
    <w:nsid w:val="75E0858A"/>
    <w:multiLevelType w:val="hybridMultilevel"/>
    <w:lvl w:ilvl="0">
      <w:lvlJc w:val="left"/>
      <w:lvlText w:val="(%1)"/>
      <w:numFmt w:val="lowerLetter"/>
      <w:start w:val="3"/>
    </w:lvl>
  </w:abstractNum>
  <w:abstractNum w:abstractNumId="118">
    <w:nsid w:val="57A61A29"/>
    <w:multiLevelType w:val="hybridMultilevel"/>
    <w:lvl w:ilvl="0">
      <w:lvlJc w:val="left"/>
      <w:lvlText w:val="(%1)"/>
      <w:numFmt w:val="lowerLetter"/>
      <w:start w:val="8"/>
    </w:lvl>
  </w:abstractNum>
  <w:abstractNum w:abstractNumId="119">
    <w:nsid w:val="5399C654"/>
    <w:multiLevelType w:val="hybridMultilevel"/>
    <w:lvl w:ilvl="0">
      <w:lvlJc w:val="left"/>
      <w:lvlText w:val="(%1)"/>
      <w:numFmt w:val="lowerLetter"/>
      <w:start w:val="15"/>
    </w:lvl>
  </w:abstractNum>
  <w:abstractNum w:abstractNumId="120">
    <w:nsid w:val="20EE1348"/>
    <w:multiLevelType w:val="hybridMultilevel"/>
    <w:lvl w:ilvl="0">
      <w:lvlJc w:val="left"/>
      <w:lvlText w:val="%1."/>
      <w:numFmt w:val="decimal"/>
      <w:start w:val="6"/>
    </w:lvl>
  </w:abstractNum>
  <w:abstractNum w:abstractNumId="121">
    <w:nsid w:val="4427069A"/>
    <w:multiLevelType w:val="hybridMultilevel"/>
    <w:lvl w:ilvl="0">
      <w:lvlJc w:val="left"/>
      <w:lvlText w:val="(%1)"/>
      <w:numFmt w:val="lowerLetter"/>
      <w:start w:val="1"/>
    </w:lvl>
  </w:abstractNum>
  <w:abstractNum w:abstractNumId="122">
    <w:nsid w:val="B37E80A"/>
    <w:multiLevelType w:val="hybridMultilevel"/>
    <w:lvl w:ilvl="0">
      <w:lvlJc w:val="left"/>
      <w:lvlText w:val="(%1)"/>
      <w:numFmt w:val="lowerLetter"/>
      <w:start w:val="2"/>
    </w:lvl>
  </w:abstractNum>
  <w:abstractNum w:abstractNumId="123">
    <w:nsid w:val="2157F6BC"/>
    <w:multiLevelType w:val="hybridMultilevel"/>
    <w:lvl w:ilvl="0">
      <w:lvlJc w:val="left"/>
      <w:lvlText w:val="(%1)"/>
      <w:numFmt w:val="lowerLetter"/>
      <w:start w:val="8"/>
    </w:lvl>
  </w:abstractNum>
  <w:abstractNum w:abstractNumId="124">
    <w:nsid w:val="704E1DD5"/>
    <w:multiLevelType w:val="hybridMultilevel"/>
    <w:lvl w:ilvl="0">
      <w:lvlJc w:val="left"/>
      <w:lvlText w:val="%1."/>
      <w:numFmt w:val="decimal"/>
      <w:start w:val="7"/>
    </w:lvl>
  </w:abstractNum>
  <w:abstractNum w:abstractNumId="125">
    <w:nsid w:val="57D2F10E"/>
    <w:multiLevelType w:val="hybridMultilevel"/>
    <w:lvl w:ilvl="0">
      <w:lvlJc w:val="left"/>
      <w:lvlText w:val="%1."/>
      <w:numFmt w:val="decimal"/>
      <w:start w:val="8"/>
    </w:lvl>
  </w:abstractNum>
  <w:abstractNum w:abstractNumId="126">
    <w:nsid w:val="BFFAE18"/>
    <w:multiLevelType w:val="hybridMultilevel"/>
    <w:lvl w:ilvl="0">
      <w:lvlJc w:val="left"/>
      <w:lvlText w:val="%1."/>
      <w:numFmt w:val="decimal"/>
      <w:start w:val="9"/>
    </w:lvl>
  </w:abstractNum>
  <w:abstractNum w:abstractNumId="127">
    <w:nsid w:val="E3E47A8"/>
    <w:multiLevelType w:val="hybridMultilevel"/>
    <w:lvl w:ilvl="0">
      <w:lvlJc w:val="left"/>
      <w:lvlText w:val="(%1)"/>
      <w:numFmt w:val="lowerRoman"/>
      <w:start w:val="1"/>
    </w:lvl>
    <w:lvl w:ilvl="1">
      <w:lvlJc w:val="left"/>
      <w:lvlText w:val="(%2)"/>
      <w:numFmt w:val="decimal"/>
      <w:start w:val="2"/>
    </w:lvl>
  </w:abstractNum>
  <w:abstractNum w:abstractNumId="128">
    <w:nsid w:val="2E48F044"/>
    <w:multiLevelType w:val="hybridMultilevel"/>
    <w:lvl w:ilvl="0">
      <w:lvlJc w:val="left"/>
      <w:lvlText w:val="(%1)"/>
      <w:numFmt w:val="lowerLetter"/>
      <w:start w:val="2"/>
    </w:lvl>
  </w:abstractNum>
  <w:abstractNum w:abstractNumId="129">
    <w:nsid w:val="49D0FEAC"/>
    <w:multiLevelType w:val="hybridMultilevel"/>
    <w:lvl w:ilvl="0">
      <w:lvlJc w:val="left"/>
      <w:lvlText w:val="(%1)"/>
      <w:numFmt w:val="lowerLetter"/>
      <w:start w:val="3"/>
    </w:lvl>
  </w:abstractNum>
  <w:abstractNum w:abstractNumId="130">
    <w:nsid w:val="4BEE5A5B"/>
    <w:multiLevelType w:val="hybridMultilevel"/>
    <w:lvl w:ilvl="0">
      <w:lvlJc w:val="left"/>
      <w:lvlText w:val="(%1)"/>
      <w:numFmt w:val="lowerLetter"/>
      <w:start w:val="5"/>
    </w:lvl>
  </w:abstractNum>
  <w:abstractNum w:abstractNumId="131">
    <w:nsid w:val="5551B9F3"/>
    <w:multiLevelType w:val="hybridMultilevel"/>
    <w:lvl w:ilvl="0">
      <w:lvlJc w:val="left"/>
      <w:lvlText w:val="%1."/>
      <w:numFmt w:val="decimal"/>
      <w:start w:val="10"/>
    </w:lvl>
  </w:abstractNum>
  <w:abstractNum w:abstractNumId="132">
    <w:nsid w:val="24F6AB8E"/>
    <w:multiLevelType w:val="hybridMultilevel"/>
    <w:lvl w:ilvl="0">
      <w:lvlJc w:val="left"/>
      <w:lvlText w:val="%1."/>
      <w:numFmt w:val="decimal"/>
      <w:start w:val="13"/>
    </w:lvl>
  </w:abstractNum>
  <w:abstractNum w:abstractNumId="133">
    <w:nsid w:val="634C574C"/>
    <w:multiLevelType w:val="hybridMultilevel"/>
    <w:lvl w:ilvl="0">
      <w:lvlJc w:val="left"/>
      <w:lvlText w:val="%1."/>
      <w:numFmt w:val="decimal"/>
      <w:start w:val="1"/>
    </w:lvl>
  </w:abstractNum>
  <w:abstractNum w:abstractNumId="134">
    <w:nsid w:val="24E99DD7"/>
    <w:multiLevelType w:val="hybridMultilevel"/>
    <w:lvl w:ilvl="0">
      <w:lvlJc w:val="left"/>
      <w:lvlText w:val="%1."/>
      <w:numFmt w:val="decimal"/>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5"/>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decimal"/>
      <w:start w:val="2"/>
    </w:lvl>
  </w:abstractNum>
  <w:abstractNum w:abstractNumId="140">
    <w:nsid w:val="2A6DE806"/>
    <w:multiLevelType w:val="hybridMultilevel"/>
    <w:lvl w:ilvl="0">
      <w:lvlJc w:val="left"/>
      <w:lvlText w:val="(%1)"/>
      <w:numFmt w:val="lowerRoman"/>
      <w:start w:val="1"/>
    </w:lvl>
  </w:abstractNum>
  <w:abstractNum w:abstractNumId="141">
    <w:nsid w:val="1816F8C4"/>
    <w:multiLevelType w:val="hybridMultilevel"/>
    <w:lvl w:ilvl="0">
      <w:lvlJc w:val="left"/>
      <w:lvlText w:val="(%1)"/>
      <w:numFmt w:val="lowerRoman"/>
      <w:start w:val="2"/>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2019-12-07T14:42:04Z</dcterms:created>
  <dcterms:modified xsi:type="dcterms:W3CDTF">2019-12-07T14:42:04Z</dcterms:modified>
</cp:coreProperties>
</file>