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17, 2020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jc w:val="center"/>
              <w:ind w:right="465"/>
              <w:spacing w:after="0"/>
              <w:rPr>
                <w:sz w:val="20"/>
                <w:szCs w:val="20"/>
                <w:color w:val="auto"/>
              </w:rPr>
            </w:pPr>
            <w:r>
              <w:rPr>
                <w:rFonts w:ascii="Arial" w:cs="Arial" w:eastAsia="Arial" w:hAnsi="Arial"/>
                <w:sz w:val="14"/>
                <w:szCs w:val="14"/>
                <w:b w:val="1"/>
                <w:bCs w:val="1"/>
                <w:color w:val="auto"/>
                <w:w w:val="97"/>
              </w:rPr>
              <w:t>Maryland</w:t>
            </w:r>
          </w:p>
        </w:tc>
        <w:tc>
          <w:tcPr>
            <w:tcW w:w="284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814-00736</w:t>
            </w:r>
          </w:p>
        </w:tc>
        <w:tc>
          <w:tcPr>
            <w:tcW w:w="4100" w:type="dxa"/>
            <w:vAlign w:val="bottom"/>
          </w:tcPr>
          <w:p>
            <w:pPr>
              <w:jc w:val="right"/>
              <w:ind w:right="1462"/>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4300" w:type="dxa"/>
            <w:vAlign w:val="bottom"/>
          </w:tcPr>
          <w:p>
            <w:pPr>
              <w:jc w:val="center"/>
              <w:ind w:right="48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840" w:type="dxa"/>
            <w:vAlign w:val="bottom"/>
          </w:tcPr>
          <w:p>
            <w:pPr>
              <w:jc w:val="center"/>
              <w:ind w:right="144"/>
              <w:spacing w:after="0"/>
              <w:rPr>
                <w:sz w:val="20"/>
                <w:szCs w:val="20"/>
                <w:color w:val="auto"/>
              </w:rPr>
            </w:pPr>
            <w:r>
              <w:rPr>
                <w:rFonts w:ascii="Arial" w:cs="Arial" w:eastAsia="Arial" w:hAnsi="Arial"/>
                <w:sz w:val="12"/>
                <w:szCs w:val="12"/>
                <w:b w:val="1"/>
                <w:bCs w:val="1"/>
                <w:color w:val="auto"/>
                <w:w w:val="87"/>
              </w:rPr>
              <w:t>(Commission File Number)</w:t>
            </w:r>
          </w:p>
        </w:tc>
        <w:tc>
          <w:tcPr>
            <w:tcW w:w="4100" w:type="dxa"/>
            <w:vAlign w:val="bottom"/>
          </w:tcPr>
          <w:p>
            <w:pPr>
              <w:jc w:val="center"/>
              <w:ind w:left="242"/>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48"/>
        </w:trPr>
        <w:tc>
          <w:tcPr>
            <w:tcW w:w="4300" w:type="dxa"/>
            <w:vAlign w:val="bottom"/>
          </w:tcPr>
          <w:p>
            <w:pPr>
              <w:jc w:val="center"/>
              <w:ind w:left="1245"/>
              <w:spacing w:after="0"/>
              <w:rPr>
                <w:sz w:val="20"/>
                <w:szCs w:val="20"/>
                <w:color w:val="auto"/>
              </w:rPr>
            </w:pPr>
            <w:r>
              <w:rPr>
                <w:rFonts w:ascii="Arial" w:cs="Arial" w:eastAsia="Arial" w:hAnsi="Arial"/>
                <w:sz w:val="14"/>
                <w:szCs w:val="14"/>
                <w:b w:val="1"/>
                <w:bCs w:val="1"/>
                <w:color w:val="auto"/>
                <w:w w:val="93"/>
              </w:rPr>
              <w:t>590 Madison Avenue, 15th Floor, New York, NY</w:t>
            </w:r>
          </w:p>
        </w:tc>
        <w:tc>
          <w:tcPr>
            <w:tcW w:w="2840" w:type="dxa"/>
            <w:vAlign w:val="bottom"/>
          </w:tcPr>
          <w:p>
            <w:pPr>
              <w:spacing w:after="0"/>
              <w:rPr>
                <w:sz w:val="24"/>
                <w:szCs w:val="24"/>
                <w:color w:val="auto"/>
              </w:rPr>
            </w:pPr>
          </w:p>
        </w:tc>
        <w:tc>
          <w:tcPr>
            <w:tcW w:w="4100" w:type="dxa"/>
            <w:vAlign w:val="bottom"/>
          </w:tcPr>
          <w:p>
            <w:pPr>
              <w:jc w:val="right"/>
              <w:ind w:right="2562"/>
              <w:spacing w:after="0"/>
              <w:rPr>
                <w:sz w:val="20"/>
                <w:szCs w:val="20"/>
                <w:color w:val="auto"/>
              </w:rPr>
            </w:pPr>
            <w:r>
              <w:rPr>
                <w:rFonts w:ascii="Arial" w:cs="Arial" w:eastAsia="Arial" w:hAnsi="Arial"/>
                <w:sz w:val="14"/>
                <w:szCs w:val="14"/>
                <w:b w:val="1"/>
                <w:bCs w:val="1"/>
                <w:color w:val="auto"/>
              </w:rPr>
              <w:t>10022</w:t>
            </w:r>
          </w:p>
        </w:tc>
      </w:tr>
      <w:tr>
        <w:trPr>
          <w:trHeight w:val="186"/>
        </w:trPr>
        <w:tc>
          <w:tcPr>
            <w:tcW w:w="4300" w:type="dxa"/>
            <w:vAlign w:val="bottom"/>
          </w:tcPr>
          <w:p>
            <w:pPr>
              <w:jc w:val="center"/>
              <w:ind w:left="1245"/>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840" w:type="dxa"/>
            <w:vAlign w:val="bottom"/>
          </w:tcPr>
          <w:p>
            <w:pPr>
              <w:spacing w:after="0"/>
              <w:rPr>
                <w:sz w:val="16"/>
                <w:szCs w:val="16"/>
                <w:color w:val="auto"/>
              </w:rPr>
            </w:pPr>
          </w:p>
        </w:tc>
        <w:tc>
          <w:tcPr>
            <w:tcW w:w="4100" w:type="dxa"/>
            <w:vAlign w:val="bottom"/>
          </w:tcPr>
          <w:p>
            <w:pPr>
              <w:jc w:val="center"/>
              <w:ind w:right="1462"/>
              <w:spacing w:after="0"/>
              <w:rPr>
                <w:sz w:val="20"/>
                <w:szCs w:val="20"/>
                <w:color w:val="auto"/>
              </w:rPr>
            </w:pPr>
            <w:r>
              <w:rPr>
                <w:rFonts w:ascii="Arial" w:cs="Arial" w:eastAsia="Arial" w:hAnsi="Arial"/>
                <w:sz w:val="14"/>
                <w:szCs w:val="14"/>
                <w:b w:val="1"/>
                <w:bCs w:val="1"/>
                <w:color w:val="auto"/>
                <w:w w:val="98"/>
              </w:rPr>
              <w:t>(Zip Code)</w:t>
            </w:r>
          </w:p>
        </w:tc>
      </w:tr>
      <w:tr>
        <w:trPr>
          <w:trHeight w:val="449"/>
        </w:trPr>
        <w:tc>
          <w:tcPr>
            <w:tcW w:w="4300" w:type="dxa"/>
            <w:vAlign w:val="bottom"/>
          </w:tcPr>
          <w:p>
            <w:pPr>
              <w:spacing w:after="0"/>
              <w:rPr>
                <w:sz w:val="24"/>
                <w:szCs w:val="24"/>
                <w:color w:val="auto"/>
              </w:rPr>
            </w:pPr>
          </w:p>
        </w:tc>
        <w:tc>
          <w:tcPr>
            <w:tcW w:w="284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212-905-1000</w:t>
            </w:r>
          </w:p>
        </w:tc>
        <w:tc>
          <w:tcPr>
            <w:tcW w:w="4100" w:type="dxa"/>
            <w:vAlign w:val="bottom"/>
          </w:tcPr>
          <w:p>
            <w:pPr>
              <w:spacing w:after="0"/>
              <w:rPr>
                <w:sz w:val="24"/>
                <w:szCs w:val="24"/>
                <w:color w:val="auto"/>
              </w:rPr>
            </w:pPr>
          </w:p>
        </w:tc>
      </w:tr>
      <w:tr>
        <w:trPr>
          <w:trHeight w:val="150"/>
        </w:trPr>
        <w:tc>
          <w:tcPr>
            <w:tcW w:w="4300" w:type="dxa"/>
            <w:vAlign w:val="bottom"/>
          </w:tcPr>
          <w:p>
            <w:pPr>
              <w:spacing w:after="0"/>
              <w:rPr>
                <w:sz w:val="13"/>
                <w:szCs w:val="13"/>
                <w:color w:val="auto"/>
              </w:rPr>
            </w:pPr>
          </w:p>
        </w:tc>
        <w:tc>
          <w:tcPr>
            <w:tcW w:w="2840" w:type="dxa"/>
            <w:vAlign w:val="bottom"/>
          </w:tcPr>
          <w:p>
            <w:pPr>
              <w:jc w:val="center"/>
              <w:ind w:right="124"/>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4100" w:type="dxa"/>
            <w:vAlign w:val="bottom"/>
          </w:tcPr>
          <w:p>
            <w:pPr>
              <w:spacing w:after="0"/>
              <w:rPr>
                <w:sz w:val="13"/>
                <w:szCs w:val="13"/>
                <w:color w:val="auto"/>
              </w:rPr>
            </w:pPr>
          </w:p>
        </w:tc>
      </w:tr>
      <w:tr>
        <w:trPr>
          <w:trHeight w:val="209"/>
        </w:trPr>
        <w:tc>
          <w:tcPr>
            <w:tcW w:w="4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r>
      <w:tr>
        <w:trPr>
          <w:trHeight w:val="333"/>
        </w:trPr>
        <w:tc>
          <w:tcPr>
            <w:tcW w:w="43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22"/>
        </w:trPr>
        <w:tc>
          <w:tcPr>
            <w:tcW w:w="4300" w:type="dxa"/>
            <w:vAlign w:val="bottom"/>
          </w:tcPr>
          <w:p>
            <w:pPr>
              <w:jc w:val="center"/>
              <w:ind w:right="65"/>
              <w:spacing w:after="0"/>
              <w:rPr>
                <w:sz w:val="20"/>
                <w:szCs w:val="20"/>
                <w:color w:val="auto"/>
              </w:rPr>
            </w:pPr>
            <w:r>
              <w:rPr>
                <w:rFonts w:ascii="Arial" w:cs="Arial" w:eastAsia="Arial" w:hAnsi="Arial"/>
                <w:sz w:val="18"/>
                <w:szCs w:val="18"/>
                <w:b w:val="1"/>
                <w:bCs w:val="1"/>
                <w:color w:val="auto"/>
                <w:w w:val="89"/>
              </w:rPr>
              <w:t>Title of Each Class</w:t>
            </w:r>
          </w:p>
        </w:tc>
        <w:tc>
          <w:tcPr>
            <w:tcW w:w="2840" w:type="dxa"/>
            <w:vAlign w:val="bottom"/>
          </w:tcPr>
          <w:p>
            <w:pPr>
              <w:jc w:val="center"/>
              <w:ind w:right="284"/>
              <w:spacing w:after="0"/>
              <w:rPr>
                <w:sz w:val="20"/>
                <w:szCs w:val="20"/>
                <w:color w:val="auto"/>
              </w:rPr>
            </w:pPr>
            <w:r>
              <w:rPr>
                <w:rFonts w:ascii="Arial" w:cs="Arial" w:eastAsia="Arial" w:hAnsi="Arial"/>
                <w:sz w:val="18"/>
                <w:szCs w:val="18"/>
                <w:b w:val="1"/>
                <w:bCs w:val="1"/>
                <w:color w:val="auto"/>
                <w:w w:val="91"/>
              </w:rPr>
              <w:t>Trading Symbol(s)</w:t>
            </w:r>
          </w:p>
        </w:tc>
        <w:tc>
          <w:tcPr>
            <w:tcW w:w="4100" w:type="dxa"/>
            <w:vAlign w:val="bottom"/>
          </w:tcPr>
          <w:p>
            <w:pPr>
              <w:jc w:val="center"/>
              <w:ind w:right="102"/>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Common Stock, par value $0.001 per share</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7"/>
              </w:rPr>
              <w:t>PNNT</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300" w:type="dxa"/>
            <w:vAlign w:val="bottom"/>
          </w:tcPr>
          <w:p>
            <w:pPr>
              <w:jc w:val="center"/>
              <w:ind w:right="65"/>
              <w:spacing w:after="0"/>
              <w:rPr>
                <w:sz w:val="20"/>
                <w:szCs w:val="20"/>
                <w:color w:val="auto"/>
              </w:rPr>
            </w:pPr>
            <w:r>
              <w:rPr>
                <w:rFonts w:ascii="Arial" w:cs="Arial" w:eastAsia="Arial" w:hAnsi="Arial"/>
                <w:sz w:val="18"/>
                <w:szCs w:val="18"/>
                <w:color w:val="auto"/>
                <w:w w:val="89"/>
              </w:rPr>
              <w:t>5.50% Notes due 2024</w:t>
            </w:r>
          </w:p>
        </w:tc>
        <w:tc>
          <w:tcPr>
            <w:tcW w:w="2840" w:type="dxa"/>
            <w:vAlign w:val="bottom"/>
          </w:tcPr>
          <w:p>
            <w:pPr>
              <w:jc w:val="center"/>
              <w:ind w:right="284"/>
              <w:spacing w:after="0"/>
              <w:rPr>
                <w:sz w:val="20"/>
                <w:szCs w:val="20"/>
                <w:color w:val="auto"/>
              </w:rPr>
            </w:pPr>
            <w:r>
              <w:rPr>
                <w:rFonts w:ascii="Arial" w:cs="Arial" w:eastAsia="Arial" w:hAnsi="Arial"/>
                <w:sz w:val="18"/>
                <w:szCs w:val="18"/>
                <w:color w:val="auto"/>
                <w:w w:val="95"/>
              </w:rPr>
              <w:t>PNNTG</w:t>
            </w:r>
          </w:p>
        </w:tc>
        <w:tc>
          <w:tcPr>
            <w:tcW w:w="4100" w:type="dxa"/>
            <w:vAlign w:val="bottom"/>
          </w:tcPr>
          <w:p>
            <w:pPr>
              <w:jc w:val="center"/>
              <w:ind w:right="122"/>
              <w:spacing w:after="0"/>
              <w:rPr>
                <w:sz w:val="20"/>
                <w:szCs w:val="20"/>
                <w:color w:val="auto"/>
              </w:rPr>
            </w:pPr>
            <w:r>
              <w:rPr>
                <w:rFonts w:ascii="Arial" w:cs="Arial" w:eastAsia="Arial" w:hAnsi="Arial"/>
                <w:sz w:val="18"/>
                <w:szCs w:val="18"/>
                <w:color w:val="auto"/>
                <w:w w:val="91"/>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right="280"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ind w:right="200" w:firstLine="510"/>
        <w:spacing w:after="0" w:line="264" w:lineRule="auto"/>
        <w:rPr>
          <w:sz w:val="20"/>
          <w:szCs w:val="20"/>
          <w:color w:val="auto"/>
        </w:rPr>
      </w:pPr>
      <w:r>
        <w:rPr>
          <w:rFonts w:ascii="Arial" w:cs="Arial" w:eastAsia="Arial" w:hAnsi="Arial"/>
          <w:sz w:val="13"/>
          <w:szCs w:val="13"/>
          <w:color w:val="auto"/>
        </w:rPr>
        <w:t>On March 17, 2020, PennantPark Investment Corporation (the “Company”) held a reconvened annual meeting of stockholders (the “Annual Meeting”) and submitted one matter to the vote of its stockholders. The proposal is described in detail in the Company’s definitive proxy statement filed with the Securities and Exchange Commission on December 17, 2019. As of November 20, 2019, the record date, 67,045,105 shares of common stock were eligible to vote. A summary of the matters voted upon by the stockholders is set forth below.</w:t>
      </w:r>
    </w:p>
    <w:p>
      <w:pPr>
        <w:spacing w:after="0" w:line="205"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b w:val="1"/>
          <w:bCs w:val="1"/>
          <w:color w:val="auto"/>
        </w:rPr>
        <w:t>Proposal 1</w:t>
      </w:r>
      <w:r>
        <w:rPr>
          <w:rFonts w:ascii="Arial" w:cs="Arial" w:eastAsia="Arial" w:hAnsi="Arial"/>
          <w:sz w:val="14"/>
          <w:szCs w:val="14"/>
          <w:color w:val="auto"/>
        </w:rPr>
        <w:t>. The Company’s stockholders elected Mr. Samuel Katz as a Class I Director of the Company to serve until the 2023 Annual Meeting and until his successor is duly elected and</w:t>
      </w:r>
      <w:r>
        <w:rPr>
          <w:rFonts w:ascii="Arial" w:cs="Arial" w:eastAsia="Arial" w:hAnsi="Arial"/>
          <w:sz w:val="14"/>
          <w:szCs w:val="14"/>
          <w:b w:val="1"/>
          <w:bCs w:val="1"/>
          <w:color w:val="auto"/>
        </w:rPr>
        <w:t xml:space="preserve"> </w:t>
      </w:r>
      <w:r>
        <w:rPr>
          <w:rFonts w:ascii="Arial" w:cs="Arial" w:eastAsia="Arial" w:hAnsi="Arial"/>
          <w:sz w:val="14"/>
          <w:szCs w:val="14"/>
          <w:color w:val="auto"/>
        </w:rPr>
        <w:t>qualifies. Mr. Marshall Brozost did not receive the affirmative vote of a majority of the shares outstanding to be elected as a Class I Director of the Company. Mr. Brozost, however, received the affirmative vote of a majority of the shares voted. In accordance with Maryland law, he will continue to serve as a director of the Company until his successor is duly elected and qualifies as per the Charter and Bylaws of the Company. The voting results are set forth below:</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gridSpan w:val="2"/>
          </w:tcPr>
          <w:p>
            <w:pPr>
              <w:spacing w:after="0"/>
              <w:rPr>
                <w:sz w:val="20"/>
                <w:szCs w:val="20"/>
                <w:color w:val="auto"/>
              </w:rPr>
            </w:pPr>
            <w:r>
              <w:rPr>
                <w:rFonts w:ascii="Arial" w:cs="Arial" w:eastAsia="Arial" w:hAnsi="Arial"/>
                <w:sz w:val="14"/>
                <w:szCs w:val="14"/>
                <w:color w:val="auto"/>
              </w:rPr>
              <w:t>Name</w:t>
            </w:r>
          </w:p>
        </w:tc>
        <w:tc>
          <w:tcPr>
            <w:tcW w:w="2780" w:type="dxa"/>
            <w:vAlign w:val="bottom"/>
            <w:gridSpan w:val="2"/>
          </w:tcPr>
          <w:p>
            <w:pPr>
              <w:jc w:val="right"/>
              <w:ind w:right="1600"/>
              <w:spacing w:after="0"/>
              <w:rPr>
                <w:sz w:val="20"/>
                <w:szCs w:val="20"/>
                <w:color w:val="auto"/>
              </w:rPr>
            </w:pPr>
            <w:r>
              <w:rPr>
                <w:rFonts w:ascii="Arial" w:cs="Arial" w:eastAsia="Arial" w:hAnsi="Arial"/>
                <w:sz w:val="14"/>
                <w:szCs w:val="14"/>
                <w:color w:val="auto"/>
              </w:rPr>
              <w:t>For</w:t>
            </w:r>
          </w:p>
        </w:tc>
        <w:tc>
          <w:tcPr>
            <w:tcW w:w="2820" w:type="dxa"/>
            <w:vAlign w:val="bottom"/>
            <w:gridSpan w:val="2"/>
          </w:tcPr>
          <w:p>
            <w:pPr>
              <w:jc w:val="right"/>
              <w:ind w:right="1460"/>
              <w:spacing w:after="0"/>
              <w:rPr>
                <w:sz w:val="20"/>
                <w:szCs w:val="20"/>
                <w:color w:val="auto"/>
              </w:rPr>
            </w:pPr>
            <w:r>
              <w:rPr>
                <w:rFonts w:ascii="Arial" w:cs="Arial" w:eastAsia="Arial" w:hAnsi="Arial"/>
                <w:sz w:val="14"/>
                <w:szCs w:val="14"/>
                <w:color w:val="auto"/>
              </w:rPr>
              <w:t>Withheld</w:t>
            </w:r>
          </w:p>
        </w:tc>
        <w:tc>
          <w:tcPr>
            <w:tcW w:w="2480" w:type="dxa"/>
            <w:vAlign w:val="bottom"/>
            <w:gridSpan w:val="2"/>
          </w:tcPr>
          <w:p>
            <w:pPr>
              <w:ind w:left="660"/>
              <w:spacing w:after="0"/>
              <w:rPr>
                <w:sz w:val="20"/>
                <w:szCs w:val="20"/>
                <w:color w:val="auto"/>
              </w:rPr>
            </w:pPr>
            <w:r>
              <w:rPr>
                <w:rFonts w:ascii="Arial" w:cs="Arial" w:eastAsia="Arial" w:hAnsi="Arial"/>
                <w:sz w:val="14"/>
                <w:szCs w:val="14"/>
                <w:color w:val="auto"/>
              </w:rPr>
              <w:t>Broker Non-Votes</w:t>
            </w:r>
          </w:p>
        </w:tc>
        <w:tc>
          <w:tcPr>
            <w:tcW w:w="20" w:type="dxa"/>
            <w:vAlign w:val="bottom"/>
          </w:tcPr>
          <w:p>
            <w:pPr>
              <w:spacing w:after="0"/>
              <w:rPr>
                <w:sz w:val="14"/>
                <w:szCs w:val="14"/>
                <w:color w:val="auto"/>
              </w:rPr>
            </w:pPr>
          </w:p>
        </w:tc>
      </w:tr>
      <w:tr>
        <w:trPr>
          <w:trHeight w:val="156"/>
        </w:trPr>
        <w:tc>
          <w:tcPr>
            <w:tcW w:w="2680" w:type="dxa"/>
            <w:vAlign w:val="bottom"/>
            <w:tcBorders>
              <w:top w:val="single" w:sz="8" w:color="auto"/>
            </w:tcBorders>
            <w:shd w:val="clear" w:color="auto" w:fill="BDD7EE"/>
          </w:tcPr>
          <w:p>
            <w:pPr>
              <w:spacing w:after="0" w:line="155" w:lineRule="exact"/>
              <w:rPr>
                <w:sz w:val="20"/>
                <w:szCs w:val="20"/>
                <w:color w:val="auto"/>
              </w:rPr>
            </w:pPr>
            <w:r>
              <w:rPr>
                <w:rFonts w:ascii="Arial" w:cs="Arial" w:eastAsia="Arial" w:hAnsi="Arial"/>
                <w:sz w:val="14"/>
                <w:szCs w:val="14"/>
                <w:color w:val="auto"/>
              </w:rPr>
              <w:t>Marshall Brozost</w:t>
            </w:r>
          </w:p>
        </w:tc>
        <w:tc>
          <w:tcPr>
            <w:tcW w:w="480" w:type="dxa"/>
            <w:vAlign w:val="bottom"/>
            <w:tcBorders>
              <w:top w:val="single" w:sz="8" w:color="BDD7EE"/>
            </w:tcBorders>
            <w:shd w:val="clear" w:color="auto" w:fill="BDD7EE"/>
          </w:tcPr>
          <w:p>
            <w:pPr>
              <w:spacing w:after="0"/>
              <w:rPr>
                <w:sz w:val="13"/>
                <w:szCs w:val="13"/>
                <w:color w:val="auto"/>
              </w:rPr>
            </w:pPr>
          </w:p>
        </w:tc>
        <w:tc>
          <w:tcPr>
            <w:tcW w:w="216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30,927,507</w:t>
            </w:r>
          </w:p>
        </w:tc>
        <w:tc>
          <w:tcPr>
            <w:tcW w:w="62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16,653,726</w:t>
            </w:r>
          </w:p>
        </w:tc>
        <w:tc>
          <w:tcPr>
            <w:tcW w:w="620" w:type="dxa"/>
            <w:vAlign w:val="bottom"/>
            <w:tcBorders>
              <w:top w:val="single" w:sz="8" w:color="BDD7EE"/>
            </w:tcBorders>
            <w:shd w:val="clear" w:color="auto" w:fill="BDD7EE"/>
          </w:tcPr>
          <w:p>
            <w:pPr>
              <w:spacing w:after="0"/>
              <w:rPr>
                <w:sz w:val="13"/>
                <w:szCs w:val="13"/>
                <w:color w:val="auto"/>
              </w:rPr>
            </w:pPr>
          </w:p>
        </w:tc>
        <w:tc>
          <w:tcPr>
            <w:tcW w:w="2400" w:type="dxa"/>
            <w:vAlign w:val="bottom"/>
            <w:tcBorders>
              <w:top w:val="single" w:sz="8" w:color="auto"/>
            </w:tcBorders>
            <w:shd w:val="clear" w:color="auto" w:fill="BDD7EE"/>
          </w:tcPr>
          <w:p>
            <w:pPr>
              <w:spacing w:after="0"/>
              <w:rPr>
                <w:sz w:val="13"/>
                <w:szCs w:val="13"/>
                <w:color w:val="auto"/>
              </w:rPr>
            </w:pPr>
          </w:p>
        </w:tc>
        <w:tc>
          <w:tcPr>
            <w:tcW w:w="8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316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 of Shares Voted</w:t>
            </w:r>
          </w:p>
        </w:tc>
        <w:tc>
          <w:tcPr>
            <w:tcW w:w="278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65.0%</w:t>
            </w:r>
          </w:p>
        </w:tc>
        <w:tc>
          <w:tcPr>
            <w:tcW w:w="282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35.0%</w:t>
            </w:r>
          </w:p>
        </w:tc>
        <w:tc>
          <w:tcPr>
            <w:tcW w:w="2480" w:type="dxa"/>
            <w:vAlign w:val="bottom"/>
            <w:gridSpan w:val="2"/>
          </w:tcPr>
          <w:p>
            <w:pPr>
              <w:ind w:left="2140"/>
              <w:spacing w:after="0" w:line="157"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3"/>
                <w:szCs w:val="13"/>
                <w:color w:val="auto"/>
              </w:rPr>
            </w:pPr>
          </w:p>
        </w:tc>
      </w:tr>
      <w:tr>
        <w:trPr>
          <w:trHeight w:val="167"/>
        </w:trPr>
        <w:tc>
          <w:tcPr>
            <w:tcW w:w="3160" w:type="dxa"/>
            <w:vAlign w:val="bottom"/>
            <w:gridSpan w:val="2"/>
          </w:tcPr>
          <w:p>
            <w:pPr>
              <w:ind w:left="420"/>
              <w:spacing w:after="0"/>
              <w:rPr>
                <w:sz w:val="20"/>
                <w:szCs w:val="20"/>
                <w:color w:val="auto"/>
              </w:rPr>
            </w:pPr>
            <w:r>
              <w:rPr>
                <w:rFonts w:ascii="Arial" w:cs="Arial" w:eastAsia="Arial" w:hAnsi="Arial"/>
                <w:sz w:val="14"/>
                <w:szCs w:val="14"/>
                <w:color w:val="auto"/>
              </w:rPr>
              <w:t>% of Shares Outstanding</w:t>
            </w:r>
          </w:p>
        </w:tc>
        <w:tc>
          <w:tcPr>
            <w:tcW w:w="2780" w:type="dxa"/>
            <w:vAlign w:val="bottom"/>
            <w:gridSpan w:val="2"/>
          </w:tcPr>
          <w:p>
            <w:pPr>
              <w:jc w:val="right"/>
              <w:ind w:right="500"/>
              <w:spacing w:after="0"/>
              <w:rPr>
                <w:sz w:val="20"/>
                <w:szCs w:val="20"/>
                <w:color w:val="auto"/>
              </w:rPr>
            </w:pPr>
            <w:r>
              <w:rPr>
                <w:rFonts w:ascii="Arial" w:cs="Arial" w:eastAsia="Arial" w:hAnsi="Arial"/>
                <w:sz w:val="14"/>
                <w:szCs w:val="14"/>
                <w:color w:val="auto"/>
              </w:rPr>
              <w:t>46.1%</w:t>
            </w:r>
          </w:p>
        </w:tc>
        <w:tc>
          <w:tcPr>
            <w:tcW w:w="2820" w:type="dxa"/>
            <w:vAlign w:val="bottom"/>
            <w:gridSpan w:val="2"/>
          </w:tcPr>
          <w:p>
            <w:pPr>
              <w:jc w:val="right"/>
              <w:ind w:right="500"/>
              <w:spacing w:after="0"/>
              <w:rPr>
                <w:sz w:val="20"/>
                <w:szCs w:val="20"/>
                <w:color w:val="auto"/>
              </w:rPr>
            </w:pPr>
            <w:r>
              <w:rPr>
                <w:rFonts w:ascii="Arial" w:cs="Arial" w:eastAsia="Arial" w:hAnsi="Arial"/>
                <w:sz w:val="14"/>
                <w:szCs w:val="14"/>
                <w:color w:val="auto"/>
              </w:rPr>
              <w:t>24.9%</w:t>
            </w:r>
          </w:p>
        </w:tc>
        <w:tc>
          <w:tcPr>
            <w:tcW w:w="2480" w:type="dxa"/>
            <w:vAlign w:val="bottom"/>
            <w:gridSpan w:val="2"/>
          </w:tcPr>
          <w:p>
            <w:pPr>
              <w:ind w:left="214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r>
      <w:tr>
        <w:trPr>
          <w:trHeight w:val="162"/>
        </w:trPr>
        <w:tc>
          <w:tcPr>
            <w:tcW w:w="3160" w:type="dxa"/>
            <w:vAlign w:val="bottom"/>
            <w:gridSpan w:val="2"/>
            <w:shd w:val="clear" w:color="auto" w:fill="BDD7EE"/>
          </w:tcPr>
          <w:p>
            <w:pPr>
              <w:spacing w:after="0"/>
              <w:rPr>
                <w:sz w:val="20"/>
                <w:szCs w:val="20"/>
                <w:color w:val="auto"/>
              </w:rPr>
            </w:pPr>
            <w:r>
              <w:rPr>
                <w:rFonts w:ascii="Arial" w:cs="Arial" w:eastAsia="Arial" w:hAnsi="Arial"/>
                <w:sz w:val="14"/>
                <w:szCs w:val="14"/>
                <w:color w:val="auto"/>
              </w:rPr>
              <w:t>Samuel L. Katz</w:t>
            </w:r>
          </w:p>
        </w:tc>
        <w:tc>
          <w:tcPr>
            <w:tcW w:w="2160" w:type="dxa"/>
            <w:vAlign w:val="bottom"/>
            <w:shd w:val="clear" w:color="auto" w:fill="BDD7EE"/>
          </w:tcPr>
          <w:p>
            <w:pPr>
              <w:jc w:val="right"/>
              <w:spacing w:after="0"/>
              <w:rPr>
                <w:sz w:val="20"/>
                <w:szCs w:val="20"/>
                <w:color w:val="auto"/>
              </w:rPr>
            </w:pPr>
            <w:r>
              <w:rPr>
                <w:rFonts w:ascii="Arial" w:cs="Arial" w:eastAsia="Arial" w:hAnsi="Arial"/>
                <w:sz w:val="14"/>
                <w:szCs w:val="14"/>
                <w:color w:val="auto"/>
              </w:rPr>
              <w:t>38,223,718</w:t>
            </w:r>
          </w:p>
        </w:tc>
        <w:tc>
          <w:tcPr>
            <w:tcW w:w="620" w:type="dxa"/>
            <w:vAlign w:val="bottom"/>
            <w:shd w:val="clear" w:color="auto" w:fill="BDD7EE"/>
          </w:tcPr>
          <w:p>
            <w:pPr>
              <w:spacing w:after="0"/>
              <w:rPr>
                <w:sz w:val="14"/>
                <w:szCs w:val="14"/>
                <w:color w:val="auto"/>
              </w:rPr>
            </w:pPr>
          </w:p>
        </w:tc>
        <w:tc>
          <w:tcPr>
            <w:tcW w:w="2200" w:type="dxa"/>
            <w:vAlign w:val="bottom"/>
            <w:shd w:val="clear" w:color="auto" w:fill="BDD7EE"/>
          </w:tcPr>
          <w:p>
            <w:pPr>
              <w:jc w:val="right"/>
              <w:spacing w:after="0"/>
              <w:rPr>
                <w:sz w:val="20"/>
                <w:szCs w:val="20"/>
                <w:color w:val="auto"/>
              </w:rPr>
            </w:pPr>
            <w:r>
              <w:rPr>
                <w:rFonts w:ascii="Arial" w:cs="Arial" w:eastAsia="Arial" w:hAnsi="Arial"/>
                <w:sz w:val="14"/>
                <w:szCs w:val="14"/>
                <w:color w:val="auto"/>
              </w:rPr>
              <w:t>9,357,515</w:t>
            </w:r>
          </w:p>
        </w:tc>
        <w:tc>
          <w:tcPr>
            <w:tcW w:w="620" w:type="dxa"/>
            <w:vAlign w:val="bottom"/>
            <w:shd w:val="clear" w:color="auto" w:fill="BDD7EE"/>
          </w:tcPr>
          <w:p>
            <w:pPr>
              <w:spacing w:after="0"/>
              <w:rPr>
                <w:sz w:val="14"/>
                <w:szCs w:val="14"/>
                <w:color w:val="auto"/>
              </w:rPr>
            </w:pPr>
          </w:p>
        </w:tc>
        <w:tc>
          <w:tcPr>
            <w:tcW w:w="2400" w:type="dxa"/>
            <w:vAlign w:val="bottom"/>
            <w:shd w:val="clear" w:color="auto" w:fill="BDD7EE"/>
          </w:tcPr>
          <w:p>
            <w:pPr>
              <w:spacing w:after="0"/>
              <w:rPr>
                <w:sz w:val="14"/>
                <w:szCs w:val="14"/>
                <w:color w:val="auto"/>
              </w:rPr>
            </w:pPr>
          </w:p>
        </w:tc>
        <w:tc>
          <w:tcPr>
            <w:tcW w:w="80" w:type="dxa"/>
            <w:vAlign w:val="bottom"/>
            <w:shd w:val="clear" w:color="auto" w:fill="BDD7EE"/>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316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 of Shares Voted</w:t>
            </w:r>
          </w:p>
        </w:tc>
        <w:tc>
          <w:tcPr>
            <w:tcW w:w="278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80.3%</w:t>
            </w:r>
          </w:p>
        </w:tc>
        <w:tc>
          <w:tcPr>
            <w:tcW w:w="282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19.7%</w:t>
            </w:r>
          </w:p>
        </w:tc>
        <w:tc>
          <w:tcPr>
            <w:tcW w:w="2480" w:type="dxa"/>
            <w:vAlign w:val="bottom"/>
            <w:gridSpan w:val="2"/>
          </w:tcPr>
          <w:p>
            <w:pPr>
              <w:ind w:left="2140"/>
              <w:spacing w:after="0" w:line="157"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3"/>
                <w:szCs w:val="13"/>
                <w:color w:val="auto"/>
              </w:rPr>
            </w:pPr>
          </w:p>
        </w:tc>
      </w:tr>
      <w:tr>
        <w:trPr>
          <w:trHeight w:val="182"/>
        </w:trPr>
        <w:tc>
          <w:tcPr>
            <w:tcW w:w="3160" w:type="dxa"/>
            <w:vAlign w:val="bottom"/>
            <w:gridSpan w:val="2"/>
          </w:tcPr>
          <w:p>
            <w:pPr>
              <w:ind w:left="380"/>
              <w:spacing w:after="0"/>
              <w:rPr>
                <w:sz w:val="20"/>
                <w:szCs w:val="20"/>
                <w:color w:val="auto"/>
              </w:rPr>
            </w:pPr>
            <w:r>
              <w:rPr>
                <w:rFonts w:ascii="Arial" w:cs="Arial" w:eastAsia="Arial" w:hAnsi="Arial"/>
                <w:sz w:val="14"/>
                <w:szCs w:val="14"/>
                <w:color w:val="auto"/>
              </w:rPr>
              <w:t>% of Shares Outstanding</w:t>
            </w:r>
          </w:p>
        </w:tc>
        <w:tc>
          <w:tcPr>
            <w:tcW w:w="2780" w:type="dxa"/>
            <w:vAlign w:val="bottom"/>
            <w:gridSpan w:val="2"/>
          </w:tcPr>
          <w:p>
            <w:pPr>
              <w:jc w:val="right"/>
              <w:ind w:right="500"/>
              <w:spacing w:after="0"/>
              <w:rPr>
                <w:sz w:val="20"/>
                <w:szCs w:val="20"/>
                <w:color w:val="auto"/>
              </w:rPr>
            </w:pPr>
            <w:r>
              <w:rPr>
                <w:rFonts w:ascii="Arial" w:cs="Arial" w:eastAsia="Arial" w:hAnsi="Arial"/>
                <w:sz w:val="14"/>
                <w:szCs w:val="14"/>
                <w:color w:val="auto"/>
              </w:rPr>
              <w:t>57.0%</w:t>
            </w:r>
          </w:p>
        </w:tc>
        <w:tc>
          <w:tcPr>
            <w:tcW w:w="2820" w:type="dxa"/>
            <w:vAlign w:val="bottom"/>
            <w:gridSpan w:val="2"/>
          </w:tcPr>
          <w:p>
            <w:pPr>
              <w:jc w:val="right"/>
              <w:ind w:right="500"/>
              <w:spacing w:after="0"/>
              <w:rPr>
                <w:sz w:val="20"/>
                <w:szCs w:val="20"/>
                <w:color w:val="auto"/>
              </w:rPr>
            </w:pPr>
            <w:r>
              <w:rPr>
                <w:rFonts w:ascii="Arial" w:cs="Arial" w:eastAsia="Arial" w:hAnsi="Arial"/>
                <w:sz w:val="14"/>
                <w:szCs w:val="14"/>
                <w:color w:val="auto"/>
              </w:rPr>
              <w:t>14.0%</w:t>
            </w:r>
          </w:p>
        </w:tc>
        <w:tc>
          <w:tcPr>
            <w:tcW w:w="2480" w:type="dxa"/>
            <w:vAlign w:val="bottom"/>
            <w:gridSpan w:val="2"/>
          </w:tcPr>
          <w:p>
            <w:pPr>
              <w:ind w:left="214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5"/>
                <w:szCs w:val="15"/>
                <w:color w:val="auto"/>
              </w:rPr>
            </w:pPr>
          </w:p>
        </w:tc>
      </w:tr>
      <w:tr>
        <w:trPr>
          <w:trHeight w:val="978"/>
        </w:trPr>
        <w:tc>
          <w:tcPr>
            <w:tcW w:w="2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114300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14"/>
                <w:szCs w:val="14"/>
                <w:color w:val="auto"/>
              </w:rPr>
              <w:t>Date: March 20, 2020</w:t>
            </w:r>
          </w:p>
        </w:tc>
        <w:tc>
          <w:tcPr>
            <w:tcW w:w="44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5280" w:type="dxa"/>
            <w:vAlign w:val="bottom"/>
          </w:tcPr>
          <w:p>
            <w:pPr>
              <w:spacing w:after="0"/>
              <w:rPr>
                <w:sz w:val="4"/>
                <w:szCs w:val="4"/>
                <w:color w:val="auto"/>
              </w:rPr>
            </w:pPr>
          </w:p>
        </w:tc>
        <w:tc>
          <w:tcPr>
            <w:tcW w:w="44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2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2020-05-05T15:20:00Z</dcterms:created>
  <dcterms:modified xsi:type="dcterms:W3CDTF">2020-05-05T15:20:00Z</dcterms:modified>
</cp:coreProperties>
</file>