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November 19, 2020</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70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Title of Each Class</w:t>
            </w:r>
          </w:p>
        </w:tc>
        <w:tc>
          <w:tcPr>
            <w:tcW w:w="24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Common Stock, par value $0.001 per share</w:t>
            </w:r>
          </w:p>
        </w:tc>
        <w:tc>
          <w:tcPr>
            <w:tcW w:w="2420" w:type="dxa"/>
            <w:vAlign w:val="bottom"/>
          </w:tcPr>
          <w:p>
            <w:pPr>
              <w:jc w:val="center"/>
              <w:ind w:left="70"/>
              <w:spacing w:after="0"/>
              <w:rPr>
                <w:sz w:val="20"/>
                <w:szCs w:val="20"/>
                <w:color w:val="auto"/>
              </w:rPr>
            </w:pPr>
            <w:r>
              <w:rPr>
                <w:rFonts w:ascii="Arial" w:cs="Arial" w:eastAsia="Arial" w:hAnsi="Arial"/>
                <w:sz w:val="18"/>
                <w:szCs w:val="18"/>
                <w:color w:val="auto"/>
                <w:w w:val="93"/>
              </w:rPr>
              <w:t>PNNT</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5.50% Notes due 2024</w:t>
            </w:r>
          </w:p>
        </w:tc>
        <w:tc>
          <w:tcPr>
            <w:tcW w:w="2420" w:type="dxa"/>
            <w:vAlign w:val="bottom"/>
          </w:tcPr>
          <w:p>
            <w:pPr>
              <w:jc w:val="center"/>
              <w:ind w:left="50"/>
              <w:spacing w:after="0"/>
              <w:rPr>
                <w:sz w:val="20"/>
                <w:szCs w:val="20"/>
                <w:color w:val="auto"/>
              </w:rPr>
            </w:pPr>
            <w:r>
              <w:rPr>
                <w:rFonts w:ascii="Arial" w:cs="Arial" w:eastAsia="Arial" w:hAnsi="Arial"/>
                <w:sz w:val="18"/>
                <w:szCs w:val="18"/>
                <w:color w:val="auto"/>
                <w:w w:val="95"/>
              </w:rPr>
              <w:t>PNNTG</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right="160" w:firstLine="450"/>
        <w:spacing w:after="0" w:line="255" w:lineRule="auto"/>
        <w:rPr>
          <w:sz w:val="20"/>
          <w:szCs w:val="20"/>
          <w:color w:val="auto"/>
        </w:rPr>
      </w:pPr>
      <w:r>
        <w:rPr>
          <w:rFonts w:ascii="Arial" w:cs="Arial" w:eastAsia="Arial" w:hAnsi="Arial"/>
          <w:sz w:val="18"/>
          <w:szCs w:val="18"/>
          <w:color w:val="auto"/>
        </w:rPr>
        <w:t>On November 19, 2020, PennantPark Investment Corporation issued a press release announcing its financial results for the fourth quarter and fiscal year ended September 30, 2020. A copy of the press release is furnished as Exhibit 99.1 to this report pursuant to Item 2.02 on Form 8-K and Regulation FD.</w:t>
      </w:r>
    </w:p>
    <w:p>
      <w:pPr>
        <w:spacing w:after="0" w:line="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 For information concerning the COVID-19 pandemic and its impact on the Company’s business and operating results, see the Company’s Annual Report on Form 10-K for the fiscal year ended September 30, 2020, including “Item 2. Management's Discussion and Analysis of Financial Condition and Results of Operations – COVID-19 Developments” and “Item 1A. Risk Factors” therein.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20" w:firstLine="450"/>
        <w:spacing w:after="0" w:line="269" w:lineRule="auto"/>
        <w:rPr>
          <w:sz w:val="20"/>
          <w:szCs w:val="20"/>
          <w:color w:val="auto"/>
        </w:rPr>
      </w:pPr>
      <w:r>
        <w:rPr>
          <w:rFonts w:ascii="Arial" w:cs="Arial" w:eastAsia="Arial" w:hAnsi="Arial"/>
          <w:sz w:val="17"/>
          <w:szCs w:val="17"/>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8" w:lineRule="exact"/>
        <w:rPr>
          <w:sz w:val="20"/>
          <w:szCs w:val="20"/>
          <w:color w:val="auto"/>
        </w:rPr>
      </w:pPr>
    </w:p>
    <w:p>
      <w:pPr>
        <w:ind w:firstLine="450"/>
        <w:spacing w:after="0" w:line="311" w:lineRule="auto"/>
        <w:rPr>
          <w:sz w:val="20"/>
          <w:szCs w:val="20"/>
          <w:color w:val="auto"/>
        </w:rPr>
      </w:pPr>
      <w:r>
        <w:rPr>
          <w:rFonts w:ascii="Arial" w:cs="Arial" w:eastAsia="Arial" w:hAnsi="Arial"/>
          <w:sz w:val="16"/>
          <w:szCs w:val="16"/>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right="9340" w:firstLine="8"/>
        <w:spacing w:after="0" w:line="261"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ind w:right="8440" w:firstLine="8"/>
        <w:spacing w:after="0" w:line="250" w:lineRule="auto"/>
        <w:tabs>
          <w:tab w:leader="none" w:pos="26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right="8820" w:firstLine="8"/>
        <w:spacing w:after="0" w:line="250" w:lineRule="auto"/>
        <w:tabs>
          <w:tab w:leader="none" w:pos="24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of PennantPark Investment Corporation dated November 19,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4740" w:type="dxa"/>
            <w:vAlign w:val="bottom"/>
            <w:gridSpan w:val="3"/>
          </w:tcPr>
          <w:p>
            <w:pPr>
              <w:ind w:left="180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660" w:type="dxa"/>
            <w:vAlign w:val="bottom"/>
          </w:tcPr>
          <w:p>
            <w:pPr>
              <w:spacing w:after="0"/>
              <w:rPr>
                <w:sz w:val="20"/>
                <w:szCs w:val="20"/>
                <w:color w:val="auto"/>
              </w:rPr>
            </w:pPr>
            <w:r>
              <w:rPr>
                <w:rFonts w:ascii="Arial" w:cs="Arial" w:eastAsia="Arial" w:hAnsi="Arial"/>
                <w:sz w:val="18"/>
                <w:szCs w:val="18"/>
                <w:color w:val="auto"/>
              </w:rPr>
              <w:t>Date: November 19, 2020</w:t>
            </w:r>
          </w:p>
        </w:tc>
        <w:tc>
          <w:tcPr>
            <w:tcW w:w="4740" w:type="dxa"/>
            <w:vAlign w:val="bottom"/>
            <w:gridSpan w:val="3"/>
          </w:tcPr>
          <w:p>
            <w:pPr>
              <w:ind w:left="1800"/>
              <w:spacing w:after="0"/>
              <w:rPr>
                <w:sz w:val="20"/>
                <w:szCs w:val="20"/>
                <w:color w:val="auto"/>
              </w:rPr>
            </w:pPr>
            <w:r>
              <w:rPr>
                <w:rFonts w:ascii="Arial" w:cs="Arial" w:eastAsia="Arial" w:hAnsi="Arial"/>
                <w:sz w:val="18"/>
                <w:szCs w:val="18"/>
                <w:color w:val="auto"/>
              </w:rPr>
              <w:t>By: /s/ Aviv Efrat</w:t>
            </w:r>
          </w:p>
        </w:tc>
      </w:tr>
      <w:tr>
        <w:trPr>
          <w:trHeight w:val="222"/>
        </w:trPr>
        <w:tc>
          <w:tcPr>
            <w:tcW w:w="36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spacing w:after="0" w:line="2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PennantPark Investment Corporation Announces Financial Results for the Fourth Quarter and Fiscal Year Ended September 30, 2020</w:t>
      </w:r>
    </w:p>
    <w:p>
      <w:pPr>
        <w:spacing w:after="0" w:line="16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NEW YORK, Nov. 19, 2020 (GLOBE NEWSWIRE) -- PennantPark Investment Corporation (NASDAQ: PNNT) announced today financial results for the fourth quarter and fiscal year ended September 30, 2020.</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Quarter ended September 30, 2020</w:t>
      </w:r>
    </w:p>
    <w:p>
      <w:pPr>
        <w:spacing w:after="0"/>
        <w:rPr>
          <w:sz w:val="20"/>
          <w:szCs w:val="20"/>
          <w:color w:val="auto"/>
        </w:rPr>
      </w:pPr>
      <w:r>
        <w:rPr>
          <w:rFonts w:ascii="Arial" w:cs="Arial" w:eastAsia="Arial" w:hAnsi="Arial"/>
          <w:sz w:val="22"/>
          <w:szCs w:val="22"/>
          <w:color w:val="auto"/>
        </w:rPr>
        <w:t>($ in millions, except per share amounts)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5740" w:type="dxa"/>
            <w:vAlign w:val="bottom"/>
          </w:tcPr>
          <w:p>
            <w:pPr>
              <w:spacing w:after="0"/>
              <w:rPr>
                <w:sz w:val="20"/>
                <w:szCs w:val="20"/>
                <w:color w:val="auto"/>
              </w:rPr>
            </w:pPr>
            <w:r>
              <w:rPr>
                <w:rFonts w:ascii="Arial" w:cs="Arial" w:eastAsia="Arial" w:hAnsi="Arial"/>
                <w:sz w:val="22"/>
                <w:szCs w:val="22"/>
                <w:color w:val="auto"/>
              </w:rPr>
              <w:t>Assets and Liabilities:</w:t>
            </w:r>
          </w:p>
        </w:tc>
        <w:tc>
          <w:tcPr>
            <w:tcW w:w="13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0"/>
        </w:trPr>
        <w:tc>
          <w:tcPr>
            <w:tcW w:w="5740" w:type="dxa"/>
            <w:vAlign w:val="bottom"/>
          </w:tcPr>
          <w:p>
            <w:pPr>
              <w:ind w:left="260"/>
              <w:spacing w:after="0" w:line="319" w:lineRule="exact"/>
              <w:rPr>
                <w:sz w:val="20"/>
                <w:szCs w:val="20"/>
                <w:color w:val="auto"/>
              </w:rPr>
            </w:pPr>
            <w:r>
              <w:rPr>
                <w:rFonts w:ascii="Arial" w:cs="Arial" w:eastAsia="Arial" w:hAnsi="Arial"/>
                <w:sz w:val="22"/>
                <w:szCs w:val="22"/>
                <w:color w:val="auto"/>
              </w:rPr>
              <w:t xml:space="preserve">Investment portfolio </w:t>
            </w:r>
            <w:r>
              <w:rPr>
                <w:rFonts w:ascii="Arial" w:cs="Arial" w:eastAsia="Arial" w:hAnsi="Arial"/>
                <w:sz w:val="35"/>
                <w:szCs w:val="35"/>
                <w:color w:val="auto"/>
                <w:vertAlign w:val="superscript"/>
              </w:rPr>
              <w:t>(1)</w:t>
            </w:r>
          </w:p>
        </w:tc>
        <w:tc>
          <w:tcPr>
            <w:tcW w:w="1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820" w:type="dxa"/>
            <w:vAlign w:val="bottom"/>
          </w:tcPr>
          <w:p>
            <w:pPr>
              <w:jc w:val="right"/>
              <w:ind w:right="72"/>
              <w:spacing w:after="0"/>
              <w:rPr>
                <w:sz w:val="20"/>
                <w:szCs w:val="20"/>
                <w:color w:val="auto"/>
              </w:rPr>
            </w:pPr>
            <w:r>
              <w:rPr>
                <w:rFonts w:ascii="Arial" w:cs="Arial" w:eastAsia="Arial" w:hAnsi="Arial"/>
                <w:sz w:val="22"/>
                <w:szCs w:val="22"/>
                <w:color w:val="auto"/>
              </w:rPr>
              <w:t>1,081.8</w:t>
            </w:r>
          </w:p>
        </w:tc>
        <w:tc>
          <w:tcPr>
            <w:tcW w:w="0" w:type="dxa"/>
            <w:vAlign w:val="bottom"/>
          </w:tcPr>
          <w:p>
            <w:pPr>
              <w:spacing w:after="0"/>
              <w:rPr>
                <w:sz w:val="1"/>
                <w:szCs w:val="1"/>
                <w:color w:val="auto"/>
              </w:rPr>
            </w:pPr>
          </w:p>
        </w:tc>
      </w:tr>
      <w:tr>
        <w:trPr>
          <w:trHeight w:val="270"/>
        </w:trPr>
        <w:tc>
          <w:tcPr>
            <w:tcW w:w="5740" w:type="dxa"/>
            <w:vAlign w:val="bottom"/>
          </w:tcPr>
          <w:p>
            <w:pPr>
              <w:ind w:left="260"/>
              <w:spacing w:after="0"/>
              <w:rPr>
                <w:sz w:val="20"/>
                <w:szCs w:val="20"/>
                <w:color w:val="auto"/>
              </w:rPr>
            </w:pPr>
            <w:r>
              <w:rPr>
                <w:rFonts w:ascii="Arial" w:cs="Arial" w:eastAsia="Arial" w:hAnsi="Arial"/>
                <w:sz w:val="22"/>
                <w:szCs w:val="22"/>
                <w:color w:val="auto"/>
              </w:rPr>
              <w:t>Net assets</w:t>
            </w:r>
          </w:p>
        </w:tc>
        <w:tc>
          <w:tcPr>
            <w:tcW w:w="13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4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820" w:type="dxa"/>
            <w:vAlign w:val="bottom"/>
          </w:tcPr>
          <w:p>
            <w:pPr>
              <w:jc w:val="right"/>
              <w:ind w:right="72"/>
              <w:spacing w:after="0"/>
              <w:rPr>
                <w:sz w:val="20"/>
                <w:szCs w:val="20"/>
                <w:color w:val="auto"/>
              </w:rPr>
            </w:pPr>
            <w:r>
              <w:rPr>
                <w:rFonts w:ascii="Arial" w:cs="Arial" w:eastAsia="Arial" w:hAnsi="Arial"/>
                <w:sz w:val="22"/>
                <w:szCs w:val="22"/>
                <w:color w:val="auto"/>
              </w:rPr>
              <w:t>525.7</w:t>
            </w:r>
          </w:p>
        </w:tc>
        <w:tc>
          <w:tcPr>
            <w:tcW w:w="0" w:type="dxa"/>
            <w:vAlign w:val="bottom"/>
          </w:tcPr>
          <w:p>
            <w:pPr>
              <w:spacing w:after="0"/>
              <w:rPr>
                <w:sz w:val="1"/>
                <w:szCs w:val="1"/>
                <w:color w:val="auto"/>
              </w:rPr>
            </w:pPr>
          </w:p>
        </w:tc>
      </w:tr>
      <w:tr>
        <w:trPr>
          <w:trHeight w:val="270"/>
        </w:trPr>
        <w:tc>
          <w:tcPr>
            <w:tcW w:w="5740" w:type="dxa"/>
            <w:vAlign w:val="bottom"/>
          </w:tcPr>
          <w:p>
            <w:pPr>
              <w:ind w:left="260"/>
              <w:spacing w:after="0"/>
              <w:rPr>
                <w:sz w:val="20"/>
                <w:szCs w:val="20"/>
                <w:color w:val="auto"/>
              </w:rPr>
            </w:pPr>
            <w:r>
              <w:rPr>
                <w:rFonts w:ascii="Arial" w:cs="Arial" w:eastAsia="Arial" w:hAnsi="Arial"/>
                <w:sz w:val="22"/>
                <w:szCs w:val="22"/>
                <w:color w:val="auto"/>
              </w:rPr>
              <w:t>GAAP net asset value per share</w:t>
            </w:r>
          </w:p>
        </w:tc>
        <w:tc>
          <w:tcPr>
            <w:tcW w:w="13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4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820" w:type="dxa"/>
            <w:vAlign w:val="bottom"/>
          </w:tcPr>
          <w:p>
            <w:pPr>
              <w:jc w:val="right"/>
              <w:ind w:right="72"/>
              <w:spacing w:after="0"/>
              <w:rPr>
                <w:sz w:val="20"/>
                <w:szCs w:val="20"/>
                <w:color w:val="auto"/>
              </w:rPr>
            </w:pPr>
            <w:r>
              <w:rPr>
                <w:rFonts w:ascii="Arial" w:cs="Arial" w:eastAsia="Arial" w:hAnsi="Arial"/>
                <w:sz w:val="22"/>
                <w:szCs w:val="22"/>
                <w:color w:val="auto"/>
              </w:rPr>
              <w:t>7.84</w:t>
            </w:r>
          </w:p>
        </w:tc>
        <w:tc>
          <w:tcPr>
            <w:tcW w:w="0" w:type="dxa"/>
            <w:vAlign w:val="bottom"/>
          </w:tcPr>
          <w:p>
            <w:pPr>
              <w:spacing w:after="0"/>
              <w:rPr>
                <w:sz w:val="1"/>
                <w:szCs w:val="1"/>
                <w:color w:val="auto"/>
              </w:rPr>
            </w:pPr>
          </w:p>
        </w:tc>
      </w:tr>
      <w:tr>
        <w:trPr>
          <w:trHeight w:val="274"/>
        </w:trPr>
        <w:tc>
          <w:tcPr>
            <w:tcW w:w="5740" w:type="dxa"/>
            <w:vAlign w:val="bottom"/>
          </w:tcPr>
          <w:p>
            <w:pPr>
              <w:ind w:left="260"/>
              <w:spacing w:after="0"/>
              <w:rPr>
                <w:sz w:val="20"/>
                <w:szCs w:val="20"/>
                <w:color w:val="auto"/>
              </w:rPr>
            </w:pPr>
            <w:r>
              <w:rPr>
                <w:rFonts w:ascii="Arial" w:cs="Arial" w:eastAsia="Arial" w:hAnsi="Arial"/>
                <w:sz w:val="22"/>
                <w:szCs w:val="22"/>
                <w:color w:val="auto"/>
              </w:rPr>
              <w:t>Increase in GAAP net asset value per share</w:t>
            </w:r>
          </w:p>
        </w:tc>
        <w:tc>
          <w:tcPr>
            <w:tcW w:w="13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22"/>
                <w:szCs w:val="22"/>
                <w:color w:val="auto"/>
              </w:rPr>
              <w:t>0.3%</w:t>
            </w:r>
          </w:p>
        </w:tc>
        <w:tc>
          <w:tcPr>
            <w:tcW w:w="0" w:type="dxa"/>
            <w:vAlign w:val="bottom"/>
          </w:tcPr>
          <w:p>
            <w:pPr>
              <w:spacing w:after="0"/>
              <w:rPr>
                <w:sz w:val="1"/>
                <w:szCs w:val="1"/>
                <w:color w:val="auto"/>
              </w:rPr>
            </w:pPr>
          </w:p>
        </w:tc>
      </w:tr>
      <w:tr>
        <w:trPr>
          <w:trHeight w:val="327"/>
        </w:trPr>
        <w:tc>
          <w:tcPr>
            <w:tcW w:w="5740" w:type="dxa"/>
            <w:vAlign w:val="bottom"/>
          </w:tcPr>
          <w:p>
            <w:pPr>
              <w:ind w:left="260"/>
              <w:spacing w:after="0" w:line="326" w:lineRule="exact"/>
              <w:rPr>
                <w:sz w:val="20"/>
                <w:szCs w:val="20"/>
                <w:color w:val="auto"/>
              </w:rPr>
            </w:pPr>
            <w:r>
              <w:rPr>
                <w:rFonts w:ascii="Arial" w:cs="Arial" w:eastAsia="Arial" w:hAnsi="Arial"/>
                <w:sz w:val="22"/>
                <w:szCs w:val="22"/>
                <w:color w:val="auto"/>
              </w:rPr>
              <w:t xml:space="preserve">Adjusted net asset value per share </w:t>
            </w:r>
            <w:r>
              <w:rPr>
                <w:rFonts w:ascii="Arial" w:cs="Arial" w:eastAsia="Arial" w:hAnsi="Arial"/>
                <w:sz w:val="35"/>
                <w:szCs w:val="35"/>
                <w:color w:val="auto"/>
                <w:vertAlign w:val="superscript"/>
              </w:rPr>
              <w:t>(2)</w:t>
            </w:r>
          </w:p>
        </w:tc>
        <w:tc>
          <w:tcPr>
            <w:tcW w:w="1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820" w:type="dxa"/>
            <w:vAlign w:val="bottom"/>
          </w:tcPr>
          <w:p>
            <w:pPr>
              <w:jc w:val="right"/>
              <w:ind w:right="72"/>
              <w:spacing w:after="0"/>
              <w:rPr>
                <w:sz w:val="20"/>
                <w:szCs w:val="20"/>
                <w:color w:val="auto"/>
              </w:rPr>
            </w:pPr>
            <w:r>
              <w:rPr>
                <w:rFonts w:ascii="Arial" w:cs="Arial" w:eastAsia="Arial" w:hAnsi="Arial"/>
                <w:sz w:val="22"/>
                <w:szCs w:val="22"/>
                <w:color w:val="auto"/>
              </w:rPr>
              <w:t>7.59</w:t>
            </w:r>
          </w:p>
        </w:tc>
        <w:tc>
          <w:tcPr>
            <w:tcW w:w="0" w:type="dxa"/>
            <w:vAlign w:val="bottom"/>
          </w:tcPr>
          <w:p>
            <w:pPr>
              <w:spacing w:after="0"/>
              <w:rPr>
                <w:sz w:val="1"/>
                <w:szCs w:val="1"/>
                <w:color w:val="auto"/>
              </w:rPr>
            </w:pPr>
          </w:p>
        </w:tc>
      </w:tr>
      <w:tr>
        <w:trPr>
          <w:trHeight w:val="471"/>
        </w:trPr>
        <w:tc>
          <w:tcPr>
            <w:tcW w:w="5740" w:type="dxa"/>
            <w:vAlign w:val="bottom"/>
          </w:tcPr>
          <w:p>
            <w:pPr>
              <w:ind w:left="260"/>
              <w:spacing w:after="0"/>
              <w:rPr>
                <w:sz w:val="20"/>
                <w:szCs w:val="20"/>
                <w:color w:val="auto"/>
              </w:rPr>
            </w:pPr>
            <w:r>
              <w:rPr>
                <w:rFonts w:ascii="Arial" w:cs="Arial" w:eastAsia="Arial" w:hAnsi="Arial"/>
                <w:sz w:val="22"/>
                <w:szCs w:val="22"/>
                <w:color w:val="auto"/>
              </w:rPr>
              <w:t xml:space="preserve">Increase in adjusted net asset value per share </w:t>
            </w:r>
            <w:r>
              <w:rPr>
                <w:rFonts w:ascii="Arial" w:cs="Arial" w:eastAsia="Arial" w:hAnsi="Arial"/>
                <w:sz w:val="35"/>
                <w:szCs w:val="35"/>
                <w:color w:val="auto"/>
                <w:vertAlign w:val="superscript"/>
              </w:rPr>
              <w:t>(2)</w:t>
            </w:r>
          </w:p>
        </w:tc>
        <w:tc>
          <w:tcPr>
            <w:tcW w:w="1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386"/>
        </w:trPr>
        <w:tc>
          <w:tcPr>
            <w:tcW w:w="5740" w:type="dxa"/>
            <w:vAlign w:val="bottom"/>
          </w:tcPr>
          <w:p>
            <w:pPr>
              <w:ind w:left="120"/>
              <w:spacing w:after="0"/>
              <w:rPr>
                <w:sz w:val="20"/>
                <w:szCs w:val="20"/>
                <w:color w:val="auto"/>
              </w:rPr>
            </w:pPr>
            <w:r>
              <w:rPr>
                <w:rFonts w:ascii="Arial" w:cs="Arial" w:eastAsia="Arial" w:hAnsi="Arial"/>
                <w:sz w:val="22"/>
                <w:szCs w:val="22"/>
                <w:color w:val="auto"/>
              </w:rPr>
              <w:t>Truist Credit Facility</w:t>
            </w:r>
          </w:p>
        </w:tc>
        <w:tc>
          <w:tcPr>
            <w:tcW w:w="1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820" w:type="dxa"/>
            <w:vAlign w:val="bottom"/>
          </w:tcPr>
          <w:p>
            <w:pPr>
              <w:jc w:val="right"/>
              <w:ind w:right="72"/>
              <w:spacing w:after="0"/>
              <w:rPr>
                <w:sz w:val="20"/>
                <w:szCs w:val="20"/>
                <w:color w:val="auto"/>
              </w:rPr>
            </w:pPr>
            <w:r>
              <w:rPr>
                <w:rFonts w:ascii="Arial" w:cs="Arial" w:eastAsia="Arial" w:hAnsi="Arial"/>
                <w:sz w:val="22"/>
                <w:szCs w:val="22"/>
                <w:color w:val="auto"/>
              </w:rPr>
              <w:t>368.7</w:t>
            </w:r>
          </w:p>
        </w:tc>
        <w:tc>
          <w:tcPr>
            <w:tcW w:w="0" w:type="dxa"/>
            <w:vAlign w:val="bottom"/>
          </w:tcPr>
          <w:p>
            <w:pPr>
              <w:spacing w:after="0"/>
              <w:rPr>
                <w:sz w:val="1"/>
                <w:szCs w:val="1"/>
                <w:color w:val="auto"/>
              </w:rPr>
            </w:pPr>
          </w:p>
        </w:tc>
      </w:tr>
      <w:tr>
        <w:trPr>
          <w:trHeight w:val="270"/>
        </w:trPr>
        <w:tc>
          <w:tcPr>
            <w:tcW w:w="5740" w:type="dxa"/>
            <w:vAlign w:val="bottom"/>
          </w:tcPr>
          <w:p>
            <w:pPr>
              <w:ind w:left="120"/>
              <w:spacing w:after="0"/>
              <w:rPr>
                <w:sz w:val="20"/>
                <w:szCs w:val="20"/>
                <w:color w:val="auto"/>
              </w:rPr>
            </w:pPr>
            <w:r>
              <w:rPr>
                <w:rFonts w:ascii="Arial" w:cs="Arial" w:eastAsia="Arial" w:hAnsi="Arial"/>
                <w:sz w:val="22"/>
                <w:szCs w:val="22"/>
                <w:color w:val="auto"/>
              </w:rPr>
              <w:t>2024 Notes</w:t>
            </w:r>
          </w:p>
        </w:tc>
        <w:tc>
          <w:tcPr>
            <w:tcW w:w="13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4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820" w:type="dxa"/>
            <w:vAlign w:val="bottom"/>
          </w:tcPr>
          <w:p>
            <w:pPr>
              <w:jc w:val="right"/>
              <w:ind w:right="72"/>
              <w:spacing w:after="0"/>
              <w:rPr>
                <w:sz w:val="20"/>
                <w:szCs w:val="20"/>
                <w:color w:val="auto"/>
              </w:rPr>
            </w:pPr>
            <w:r>
              <w:rPr>
                <w:rFonts w:ascii="Arial" w:cs="Arial" w:eastAsia="Arial" w:hAnsi="Arial"/>
                <w:sz w:val="22"/>
                <w:szCs w:val="22"/>
                <w:color w:val="auto"/>
              </w:rPr>
              <w:t>83.8</w:t>
            </w:r>
          </w:p>
        </w:tc>
        <w:tc>
          <w:tcPr>
            <w:tcW w:w="0" w:type="dxa"/>
            <w:vAlign w:val="bottom"/>
          </w:tcPr>
          <w:p>
            <w:pPr>
              <w:spacing w:after="0"/>
              <w:rPr>
                <w:sz w:val="1"/>
                <w:szCs w:val="1"/>
                <w:color w:val="auto"/>
              </w:rPr>
            </w:pPr>
          </w:p>
        </w:tc>
      </w:tr>
      <w:tr>
        <w:trPr>
          <w:trHeight w:val="270"/>
        </w:trPr>
        <w:tc>
          <w:tcPr>
            <w:tcW w:w="5740" w:type="dxa"/>
            <w:vAlign w:val="bottom"/>
          </w:tcPr>
          <w:p>
            <w:pPr>
              <w:ind w:left="120"/>
              <w:spacing w:after="0"/>
              <w:rPr>
                <w:sz w:val="20"/>
                <w:szCs w:val="20"/>
                <w:color w:val="auto"/>
              </w:rPr>
            </w:pPr>
            <w:r>
              <w:rPr>
                <w:rFonts w:ascii="Arial" w:cs="Arial" w:eastAsia="Arial" w:hAnsi="Arial"/>
                <w:sz w:val="22"/>
                <w:szCs w:val="22"/>
                <w:color w:val="auto"/>
              </w:rPr>
              <w:t>SBA Debentures</w:t>
            </w:r>
          </w:p>
        </w:tc>
        <w:tc>
          <w:tcPr>
            <w:tcW w:w="13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4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820" w:type="dxa"/>
            <w:vAlign w:val="bottom"/>
          </w:tcPr>
          <w:p>
            <w:pPr>
              <w:jc w:val="right"/>
              <w:ind w:right="72"/>
              <w:spacing w:after="0"/>
              <w:rPr>
                <w:sz w:val="20"/>
                <w:szCs w:val="20"/>
                <w:color w:val="auto"/>
              </w:rPr>
            </w:pPr>
            <w:r>
              <w:rPr>
                <w:rFonts w:ascii="Arial" w:cs="Arial" w:eastAsia="Arial" w:hAnsi="Arial"/>
                <w:sz w:val="22"/>
                <w:szCs w:val="22"/>
                <w:color w:val="auto"/>
              </w:rPr>
              <w:t>115.8</w:t>
            </w:r>
          </w:p>
        </w:tc>
        <w:tc>
          <w:tcPr>
            <w:tcW w:w="0" w:type="dxa"/>
            <w:vAlign w:val="bottom"/>
          </w:tcPr>
          <w:p>
            <w:pPr>
              <w:spacing w:after="0"/>
              <w:rPr>
                <w:sz w:val="1"/>
                <w:szCs w:val="1"/>
                <w:color w:val="auto"/>
              </w:rPr>
            </w:pPr>
          </w:p>
        </w:tc>
      </w:tr>
      <w:tr>
        <w:trPr>
          <w:trHeight w:val="274"/>
        </w:trPr>
        <w:tc>
          <w:tcPr>
            <w:tcW w:w="5740" w:type="dxa"/>
            <w:vAlign w:val="bottom"/>
          </w:tcPr>
          <w:p>
            <w:pPr>
              <w:ind w:left="120"/>
              <w:spacing w:after="0"/>
              <w:rPr>
                <w:sz w:val="20"/>
                <w:szCs w:val="20"/>
                <w:color w:val="auto"/>
              </w:rPr>
            </w:pPr>
            <w:r>
              <w:rPr>
                <w:rFonts w:ascii="Arial" w:cs="Arial" w:eastAsia="Arial" w:hAnsi="Arial"/>
                <w:sz w:val="22"/>
                <w:szCs w:val="22"/>
                <w:color w:val="auto"/>
              </w:rPr>
              <w:t>Regulatory Debt to Equity</w:t>
            </w:r>
          </w:p>
        </w:tc>
        <w:tc>
          <w:tcPr>
            <w:tcW w:w="13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20" w:type="dxa"/>
            <w:vAlign w:val="bottom"/>
          </w:tcPr>
          <w:p>
            <w:pPr>
              <w:jc w:val="right"/>
              <w:ind w:right="72"/>
              <w:spacing w:after="0"/>
              <w:rPr>
                <w:sz w:val="20"/>
                <w:szCs w:val="20"/>
                <w:color w:val="auto"/>
              </w:rPr>
            </w:pPr>
            <w:r>
              <w:rPr>
                <w:rFonts w:ascii="Arial" w:cs="Arial" w:eastAsia="Arial" w:hAnsi="Arial"/>
                <w:sz w:val="22"/>
                <w:szCs w:val="22"/>
                <w:color w:val="auto"/>
              </w:rPr>
              <w:t>0.93x</w:t>
            </w:r>
          </w:p>
        </w:tc>
        <w:tc>
          <w:tcPr>
            <w:tcW w:w="0" w:type="dxa"/>
            <w:vAlign w:val="bottom"/>
          </w:tcPr>
          <w:p>
            <w:pPr>
              <w:spacing w:after="0"/>
              <w:rPr>
                <w:sz w:val="1"/>
                <w:szCs w:val="1"/>
                <w:color w:val="auto"/>
              </w:rPr>
            </w:pPr>
          </w:p>
        </w:tc>
      </w:tr>
      <w:tr>
        <w:trPr>
          <w:trHeight w:val="327"/>
        </w:trPr>
        <w:tc>
          <w:tcPr>
            <w:tcW w:w="5740" w:type="dxa"/>
            <w:vAlign w:val="bottom"/>
          </w:tcPr>
          <w:p>
            <w:pPr>
              <w:ind w:left="120"/>
              <w:spacing w:after="0" w:line="326" w:lineRule="exact"/>
              <w:rPr>
                <w:sz w:val="20"/>
                <w:szCs w:val="20"/>
                <w:color w:val="auto"/>
              </w:rPr>
            </w:pPr>
            <w:r>
              <w:rPr>
                <w:rFonts w:ascii="Arial" w:cs="Arial" w:eastAsia="Arial" w:hAnsi="Arial"/>
                <w:sz w:val="22"/>
                <w:szCs w:val="22"/>
                <w:color w:val="auto"/>
              </w:rPr>
              <w:t xml:space="preserve">Regulatory Net Debt to Equity </w:t>
            </w:r>
            <w:r>
              <w:rPr>
                <w:rFonts w:ascii="Arial" w:cs="Arial" w:eastAsia="Arial" w:hAnsi="Arial"/>
                <w:sz w:val="35"/>
                <w:szCs w:val="35"/>
                <w:color w:val="auto"/>
                <w:vertAlign w:val="superscript"/>
              </w:rPr>
              <w:t>(3)</w:t>
            </w:r>
          </w:p>
        </w:tc>
        <w:tc>
          <w:tcPr>
            <w:tcW w:w="1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jc w:val="right"/>
              <w:ind w:right="72"/>
              <w:spacing w:after="0"/>
              <w:rPr>
                <w:sz w:val="20"/>
                <w:szCs w:val="20"/>
                <w:color w:val="auto"/>
              </w:rPr>
            </w:pPr>
            <w:r>
              <w:rPr>
                <w:rFonts w:ascii="Arial" w:cs="Arial" w:eastAsia="Arial" w:hAnsi="Arial"/>
                <w:sz w:val="22"/>
                <w:szCs w:val="22"/>
                <w:color w:val="auto"/>
              </w:rPr>
              <w:t>0.88x</w:t>
            </w:r>
          </w:p>
        </w:tc>
        <w:tc>
          <w:tcPr>
            <w:tcW w:w="0" w:type="dxa"/>
            <w:vAlign w:val="bottom"/>
          </w:tcPr>
          <w:p>
            <w:pPr>
              <w:spacing w:after="0"/>
              <w:rPr>
                <w:sz w:val="1"/>
                <w:szCs w:val="1"/>
                <w:color w:val="auto"/>
              </w:rPr>
            </w:pPr>
          </w:p>
        </w:tc>
      </w:tr>
      <w:tr>
        <w:trPr>
          <w:trHeight w:val="471"/>
        </w:trPr>
        <w:tc>
          <w:tcPr>
            <w:tcW w:w="5740" w:type="dxa"/>
            <w:vAlign w:val="bottom"/>
          </w:tcPr>
          <w:p>
            <w:pPr>
              <w:ind w:left="120"/>
              <w:spacing w:after="0"/>
              <w:rPr>
                <w:sz w:val="20"/>
                <w:szCs w:val="20"/>
                <w:color w:val="auto"/>
              </w:rPr>
            </w:pPr>
            <w:r>
              <w:rPr>
                <w:rFonts w:ascii="Arial" w:cs="Arial" w:eastAsia="Arial" w:hAnsi="Arial"/>
                <w:sz w:val="22"/>
                <w:szCs w:val="22"/>
                <w:color w:val="auto"/>
              </w:rPr>
              <w:t xml:space="preserve">GAAP Net Debt to Equity </w:t>
            </w:r>
            <w:r>
              <w:rPr>
                <w:rFonts w:ascii="Arial" w:cs="Arial" w:eastAsia="Arial" w:hAnsi="Arial"/>
                <w:sz w:val="35"/>
                <w:szCs w:val="35"/>
                <w:color w:val="auto"/>
                <w:vertAlign w:val="superscript"/>
              </w:rPr>
              <w:t>(4)</w:t>
            </w:r>
          </w:p>
        </w:tc>
        <w:tc>
          <w:tcPr>
            <w:tcW w:w="1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jc w:val="right"/>
              <w:ind w:right="72"/>
              <w:spacing w:after="0"/>
              <w:rPr>
                <w:sz w:val="20"/>
                <w:szCs w:val="20"/>
                <w:color w:val="auto"/>
              </w:rPr>
            </w:pPr>
            <w:r>
              <w:rPr>
                <w:rFonts w:ascii="Arial" w:cs="Arial" w:eastAsia="Arial" w:hAnsi="Arial"/>
                <w:sz w:val="22"/>
                <w:szCs w:val="22"/>
                <w:color w:val="auto"/>
              </w:rPr>
              <w:t>1.03x</w:t>
            </w:r>
          </w:p>
        </w:tc>
        <w:tc>
          <w:tcPr>
            <w:tcW w:w="0" w:type="dxa"/>
            <w:vAlign w:val="bottom"/>
          </w:tcPr>
          <w:p>
            <w:pPr>
              <w:spacing w:after="0"/>
              <w:rPr>
                <w:sz w:val="1"/>
                <w:szCs w:val="1"/>
                <w:color w:val="auto"/>
              </w:rPr>
            </w:pPr>
          </w:p>
        </w:tc>
      </w:tr>
      <w:tr>
        <w:trPr>
          <w:trHeight w:val="390"/>
        </w:trPr>
        <w:tc>
          <w:tcPr>
            <w:tcW w:w="5740" w:type="dxa"/>
            <w:vAlign w:val="bottom"/>
          </w:tcPr>
          <w:p>
            <w:pPr>
              <w:spacing w:after="0"/>
              <w:rPr>
                <w:sz w:val="20"/>
                <w:szCs w:val="20"/>
                <w:color w:val="auto"/>
              </w:rPr>
            </w:pPr>
            <w:r>
              <w:rPr>
                <w:rFonts w:ascii="Arial" w:cs="Arial" w:eastAsia="Arial" w:hAnsi="Arial"/>
                <w:sz w:val="22"/>
                <w:szCs w:val="22"/>
                <w:color w:val="auto"/>
              </w:rPr>
              <w:t>Yield on debt investments at quarter-end</w:t>
            </w:r>
          </w:p>
        </w:tc>
        <w:tc>
          <w:tcPr>
            <w:tcW w:w="1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22"/>
                <w:szCs w:val="22"/>
                <w:color w:val="auto"/>
              </w:rPr>
              <w:t>8.9%</w:t>
            </w:r>
          </w:p>
        </w:tc>
        <w:tc>
          <w:tcPr>
            <w:tcW w:w="0" w:type="dxa"/>
            <w:vAlign w:val="bottom"/>
          </w:tcPr>
          <w:p>
            <w:pPr>
              <w:spacing w:after="0"/>
              <w:rPr>
                <w:sz w:val="1"/>
                <w:szCs w:val="1"/>
                <w:color w:val="auto"/>
              </w:rPr>
            </w:pPr>
          </w:p>
        </w:tc>
      </w:tr>
      <w:tr>
        <w:trPr>
          <w:trHeight w:val="908"/>
        </w:trPr>
        <w:tc>
          <w:tcPr>
            <w:tcW w:w="5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00" w:type="dxa"/>
            <w:vAlign w:val="bottom"/>
          </w:tcPr>
          <w:p>
            <w:pPr>
              <w:jc w:val="right"/>
              <w:ind w:right="312"/>
              <w:spacing w:after="0"/>
              <w:rPr>
                <w:sz w:val="20"/>
                <w:szCs w:val="20"/>
                <w:color w:val="auto"/>
              </w:rPr>
            </w:pPr>
            <w:r>
              <w:rPr>
                <w:rFonts w:ascii="Arial" w:cs="Arial" w:eastAsia="Arial" w:hAnsi="Arial"/>
                <w:sz w:val="22"/>
                <w:szCs w:val="22"/>
                <w:b w:val="1"/>
                <w:bCs w:val="1"/>
                <w:color w:val="auto"/>
                <w:w w:val="95"/>
              </w:rPr>
              <w:t>Quarter Ended</w:t>
            </w:r>
          </w:p>
        </w:tc>
        <w:tc>
          <w:tcPr>
            <w:tcW w:w="420" w:type="dxa"/>
            <w:vAlign w:val="bottom"/>
          </w:tcPr>
          <w:p>
            <w:pPr>
              <w:spacing w:after="0"/>
              <w:rPr>
                <w:sz w:val="24"/>
                <w:szCs w:val="24"/>
                <w:color w:val="auto"/>
              </w:rPr>
            </w:pPr>
          </w:p>
        </w:tc>
        <w:tc>
          <w:tcPr>
            <w:tcW w:w="1820" w:type="dxa"/>
            <w:vAlign w:val="bottom"/>
          </w:tcPr>
          <w:p>
            <w:pPr>
              <w:jc w:val="right"/>
              <w:ind w:right="472"/>
              <w:spacing w:after="0"/>
              <w:rPr>
                <w:sz w:val="20"/>
                <w:szCs w:val="20"/>
                <w:color w:val="auto"/>
              </w:rPr>
            </w:pPr>
            <w:r>
              <w:rPr>
                <w:rFonts w:ascii="Arial" w:cs="Arial" w:eastAsia="Arial" w:hAnsi="Arial"/>
                <w:sz w:val="22"/>
                <w:szCs w:val="22"/>
                <w:b w:val="1"/>
                <w:bCs w:val="1"/>
                <w:color w:val="auto"/>
              </w:rPr>
              <w:t>Year Ended</w:t>
            </w:r>
          </w:p>
        </w:tc>
        <w:tc>
          <w:tcPr>
            <w:tcW w:w="0" w:type="dxa"/>
            <w:vAlign w:val="bottom"/>
          </w:tcPr>
          <w:p>
            <w:pPr>
              <w:spacing w:after="0"/>
              <w:rPr>
                <w:sz w:val="1"/>
                <w:szCs w:val="1"/>
                <w:color w:val="auto"/>
              </w:rPr>
            </w:pPr>
          </w:p>
        </w:tc>
      </w:tr>
      <w:tr>
        <w:trPr>
          <w:trHeight w:val="280"/>
        </w:trPr>
        <w:tc>
          <w:tcPr>
            <w:tcW w:w="5740" w:type="dxa"/>
            <w:vAlign w:val="bottom"/>
            <w:vMerge w:val="restart"/>
          </w:tcPr>
          <w:p>
            <w:pPr>
              <w:spacing w:after="0"/>
              <w:rPr>
                <w:sz w:val="20"/>
                <w:szCs w:val="20"/>
                <w:color w:val="auto"/>
              </w:rPr>
            </w:pPr>
            <w:r>
              <w:rPr>
                <w:rFonts w:ascii="Arial" w:cs="Arial" w:eastAsia="Arial" w:hAnsi="Arial"/>
                <w:sz w:val="22"/>
                <w:szCs w:val="22"/>
                <w:color w:val="auto"/>
              </w:rPr>
              <w:t>Operating Results:</w:t>
            </w:r>
          </w:p>
        </w:tc>
        <w:tc>
          <w:tcPr>
            <w:tcW w:w="3200" w:type="dxa"/>
            <w:vAlign w:val="bottom"/>
            <w:gridSpan w:val="2"/>
          </w:tcPr>
          <w:p>
            <w:pPr>
              <w:jc w:val="right"/>
              <w:ind w:right="112"/>
              <w:spacing w:after="0"/>
              <w:rPr>
                <w:sz w:val="20"/>
                <w:szCs w:val="20"/>
                <w:color w:val="auto"/>
              </w:rPr>
            </w:pPr>
            <w:r>
              <w:rPr>
                <w:rFonts w:ascii="Arial" w:cs="Arial" w:eastAsia="Arial" w:hAnsi="Arial"/>
                <w:sz w:val="22"/>
                <w:szCs w:val="22"/>
                <w:b w:val="1"/>
                <w:bCs w:val="1"/>
                <w:color w:val="auto"/>
              </w:rPr>
              <w:t>September 30, 2020</w:t>
            </w:r>
          </w:p>
        </w:tc>
        <w:tc>
          <w:tcPr>
            <w:tcW w:w="2240" w:type="dxa"/>
            <w:vAlign w:val="bottom"/>
            <w:gridSpan w:val="2"/>
          </w:tcPr>
          <w:p>
            <w:pPr>
              <w:jc w:val="right"/>
              <w:ind w:right="112"/>
              <w:spacing w:after="0"/>
              <w:rPr>
                <w:sz w:val="20"/>
                <w:szCs w:val="20"/>
                <w:color w:val="auto"/>
              </w:rPr>
            </w:pPr>
            <w:r>
              <w:rPr>
                <w:rFonts w:ascii="Arial" w:cs="Arial" w:eastAsia="Arial" w:hAnsi="Arial"/>
                <w:sz w:val="22"/>
                <w:szCs w:val="22"/>
                <w:b w:val="1"/>
                <w:bCs w:val="1"/>
                <w:color w:val="auto"/>
                <w:w w:val="97"/>
              </w:rPr>
              <w:t>September 30, 2020</w:t>
            </w:r>
          </w:p>
        </w:tc>
        <w:tc>
          <w:tcPr>
            <w:tcW w:w="0" w:type="dxa"/>
            <w:vAlign w:val="bottom"/>
          </w:tcPr>
          <w:p>
            <w:pPr>
              <w:spacing w:after="0"/>
              <w:rPr>
                <w:sz w:val="1"/>
                <w:szCs w:val="1"/>
                <w:color w:val="auto"/>
              </w:rPr>
            </w:pPr>
          </w:p>
        </w:tc>
      </w:tr>
      <w:tr>
        <w:trPr>
          <w:trHeight w:val="266"/>
        </w:trPr>
        <w:tc>
          <w:tcPr>
            <w:tcW w:w="5740" w:type="dxa"/>
            <w:vAlign w:val="bottom"/>
            <w:vMerge w:val="continue"/>
          </w:tcPr>
          <w:p>
            <w:pPr>
              <w:spacing w:after="0"/>
              <w:rPr>
                <w:sz w:val="23"/>
                <w:szCs w:val="23"/>
                <w:color w:val="auto"/>
              </w:rPr>
            </w:pPr>
          </w:p>
        </w:tc>
        <w:tc>
          <w:tcPr>
            <w:tcW w:w="13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60"/>
              <w:spacing w:after="0"/>
              <w:rPr>
                <w:sz w:val="20"/>
                <w:szCs w:val="20"/>
                <w:color w:val="auto"/>
              </w:rPr>
            </w:pPr>
            <w:r>
              <w:rPr>
                <w:rFonts w:ascii="Arial" w:cs="Arial" w:eastAsia="Arial" w:hAnsi="Arial"/>
                <w:sz w:val="22"/>
                <w:szCs w:val="22"/>
                <w:color w:val="auto"/>
              </w:rPr>
              <w:t>Net investment income</w:t>
            </w:r>
          </w:p>
        </w:tc>
        <w:tc>
          <w:tcPr>
            <w:tcW w:w="1300" w:type="dxa"/>
            <w:vAlign w:val="bottom"/>
          </w:tcPr>
          <w:p>
            <w:pPr>
              <w:jc w:val="right"/>
              <w:spacing w:after="0"/>
              <w:rPr>
                <w:sz w:val="20"/>
                <w:szCs w:val="20"/>
                <w:color w:val="auto"/>
              </w:rPr>
            </w:pPr>
            <w:r>
              <w:rPr>
                <w:rFonts w:ascii="Arial" w:cs="Arial" w:eastAsia="Arial" w:hAnsi="Arial"/>
                <w:sz w:val="22"/>
                <w:szCs w:val="22"/>
                <w:color w:val="auto"/>
              </w:rPr>
              <w:t>$</w:t>
            </w:r>
          </w:p>
        </w:tc>
        <w:tc>
          <w:tcPr>
            <w:tcW w:w="1900" w:type="dxa"/>
            <w:vAlign w:val="bottom"/>
          </w:tcPr>
          <w:p>
            <w:pPr>
              <w:jc w:val="right"/>
              <w:ind w:right="52"/>
              <w:spacing w:after="0"/>
              <w:rPr>
                <w:sz w:val="20"/>
                <w:szCs w:val="20"/>
                <w:color w:val="auto"/>
              </w:rPr>
            </w:pPr>
            <w:r>
              <w:rPr>
                <w:rFonts w:ascii="Arial" w:cs="Arial" w:eastAsia="Arial" w:hAnsi="Arial"/>
                <w:sz w:val="22"/>
                <w:szCs w:val="22"/>
                <w:color w:val="auto"/>
              </w:rPr>
              <w:t>7.3</w:t>
            </w:r>
          </w:p>
        </w:tc>
        <w:tc>
          <w:tcPr>
            <w:tcW w:w="4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820" w:type="dxa"/>
            <w:vAlign w:val="bottom"/>
          </w:tcPr>
          <w:p>
            <w:pPr>
              <w:jc w:val="right"/>
              <w:ind w:right="72"/>
              <w:spacing w:after="0"/>
              <w:rPr>
                <w:sz w:val="20"/>
                <w:szCs w:val="20"/>
                <w:color w:val="auto"/>
              </w:rPr>
            </w:pPr>
            <w:r>
              <w:rPr>
                <w:rFonts w:ascii="Arial" w:cs="Arial" w:eastAsia="Arial" w:hAnsi="Arial"/>
                <w:sz w:val="22"/>
                <w:szCs w:val="22"/>
                <w:color w:val="auto"/>
              </w:rPr>
              <w:t>38.7</w:t>
            </w:r>
          </w:p>
        </w:tc>
        <w:tc>
          <w:tcPr>
            <w:tcW w:w="0" w:type="dxa"/>
            <w:vAlign w:val="bottom"/>
          </w:tcPr>
          <w:p>
            <w:pPr>
              <w:spacing w:after="0"/>
              <w:rPr>
                <w:sz w:val="1"/>
                <w:szCs w:val="1"/>
                <w:color w:val="auto"/>
              </w:rPr>
            </w:pPr>
          </w:p>
        </w:tc>
      </w:tr>
      <w:tr>
        <w:trPr>
          <w:trHeight w:val="270"/>
        </w:trPr>
        <w:tc>
          <w:tcPr>
            <w:tcW w:w="5740" w:type="dxa"/>
            <w:vAlign w:val="bottom"/>
          </w:tcPr>
          <w:p>
            <w:pPr>
              <w:ind w:left="260"/>
              <w:spacing w:after="0"/>
              <w:rPr>
                <w:sz w:val="20"/>
                <w:szCs w:val="20"/>
                <w:color w:val="auto"/>
              </w:rPr>
            </w:pPr>
            <w:r>
              <w:rPr>
                <w:rFonts w:ascii="Arial" w:cs="Arial" w:eastAsia="Arial" w:hAnsi="Arial"/>
                <w:sz w:val="22"/>
                <w:szCs w:val="22"/>
                <w:color w:val="auto"/>
              </w:rPr>
              <w:t>GAAP net investment income per share</w:t>
            </w:r>
          </w:p>
        </w:tc>
        <w:tc>
          <w:tcPr>
            <w:tcW w:w="1300" w:type="dxa"/>
            <w:vAlign w:val="bottom"/>
          </w:tcPr>
          <w:p>
            <w:pPr>
              <w:jc w:val="right"/>
              <w:spacing w:after="0"/>
              <w:rPr>
                <w:sz w:val="20"/>
                <w:szCs w:val="20"/>
                <w:color w:val="auto"/>
              </w:rPr>
            </w:pPr>
            <w:r>
              <w:rPr>
                <w:rFonts w:ascii="Arial" w:cs="Arial" w:eastAsia="Arial" w:hAnsi="Arial"/>
                <w:sz w:val="22"/>
                <w:szCs w:val="22"/>
                <w:color w:val="auto"/>
              </w:rPr>
              <w:t>$</w:t>
            </w:r>
          </w:p>
        </w:tc>
        <w:tc>
          <w:tcPr>
            <w:tcW w:w="1900" w:type="dxa"/>
            <w:vAlign w:val="bottom"/>
          </w:tcPr>
          <w:p>
            <w:pPr>
              <w:jc w:val="right"/>
              <w:ind w:right="52"/>
              <w:spacing w:after="0"/>
              <w:rPr>
                <w:sz w:val="20"/>
                <w:szCs w:val="20"/>
                <w:color w:val="auto"/>
              </w:rPr>
            </w:pPr>
            <w:r>
              <w:rPr>
                <w:rFonts w:ascii="Arial" w:cs="Arial" w:eastAsia="Arial" w:hAnsi="Arial"/>
                <w:sz w:val="22"/>
                <w:szCs w:val="22"/>
                <w:color w:val="auto"/>
              </w:rPr>
              <w:t>0.11</w:t>
            </w:r>
          </w:p>
        </w:tc>
        <w:tc>
          <w:tcPr>
            <w:tcW w:w="4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820" w:type="dxa"/>
            <w:vAlign w:val="bottom"/>
          </w:tcPr>
          <w:p>
            <w:pPr>
              <w:jc w:val="right"/>
              <w:ind w:right="72"/>
              <w:spacing w:after="0"/>
              <w:rPr>
                <w:sz w:val="20"/>
                <w:szCs w:val="20"/>
                <w:color w:val="auto"/>
              </w:rPr>
            </w:pPr>
            <w:r>
              <w:rPr>
                <w:rFonts w:ascii="Arial" w:cs="Arial" w:eastAsia="Arial" w:hAnsi="Arial"/>
                <w:sz w:val="22"/>
                <w:szCs w:val="22"/>
                <w:color w:val="auto"/>
              </w:rPr>
              <w:t>0.58</w:t>
            </w:r>
          </w:p>
        </w:tc>
        <w:tc>
          <w:tcPr>
            <w:tcW w:w="0" w:type="dxa"/>
            <w:vAlign w:val="bottom"/>
          </w:tcPr>
          <w:p>
            <w:pPr>
              <w:spacing w:after="0"/>
              <w:rPr>
                <w:sz w:val="1"/>
                <w:szCs w:val="1"/>
                <w:color w:val="auto"/>
              </w:rPr>
            </w:pPr>
          </w:p>
        </w:tc>
      </w:tr>
      <w:tr>
        <w:trPr>
          <w:trHeight w:val="243"/>
        </w:trPr>
        <w:tc>
          <w:tcPr>
            <w:tcW w:w="5740" w:type="dxa"/>
            <w:vAlign w:val="bottom"/>
          </w:tcPr>
          <w:p>
            <w:pPr>
              <w:ind w:left="260"/>
              <w:spacing w:after="0" w:line="243" w:lineRule="exact"/>
              <w:rPr>
                <w:sz w:val="20"/>
                <w:szCs w:val="20"/>
                <w:color w:val="auto"/>
              </w:rPr>
            </w:pPr>
            <w:r>
              <w:rPr>
                <w:rFonts w:ascii="Arial" w:cs="Arial" w:eastAsia="Arial" w:hAnsi="Arial"/>
                <w:sz w:val="22"/>
                <w:szCs w:val="22"/>
                <w:color w:val="auto"/>
              </w:rPr>
              <w:t>Non-recurring net PSLF transaction costs</w:t>
            </w:r>
          </w:p>
        </w:tc>
        <w:tc>
          <w:tcPr>
            <w:tcW w:w="13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5740" w:type="dxa"/>
            <w:vAlign w:val="bottom"/>
          </w:tcPr>
          <w:p>
            <w:pPr>
              <w:ind w:left="260"/>
              <w:spacing w:after="0"/>
              <w:rPr>
                <w:sz w:val="20"/>
                <w:szCs w:val="20"/>
                <w:color w:val="auto"/>
              </w:rPr>
            </w:pPr>
            <w:r>
              <w:rPr>
                <w:rFonts w:ascii="Arial" w:cs="Arial" w:eastAsia="Arial" w:hAnsi="Arial"/>
                <w:sz w:val="22"/>
                <w:szCs w:val="22"/>
                <w:color w:val="auto"/>
              </w:rPr>
              <w:t>per share</w:t>
            </w:r>
          </w:p>
        </w:tc>
        <w:tc>
          <w:tcPr>
            <w:tcW w:w="1300" w:type="dxa"/>
            <w:vAlign w:val="bottom"/>
          </w:tcPr>
          <w:p>
            <w:pPr>
              <w:jc w:val="right"/>
              <w:spacing w:after="0"/>
              <w:rPr>
                <w:sz w:val="20"/>
                <w:szCs w:val="20"/>
                <w:color w:val="auto"/>
              </w:rPr>
            </w:pPr>
            <w:r>
              <w:rPr>
                <w:rFonts w:ascii="Arial" w:cs="Arial" w:eastAsia="Arial" w:hAnsi="Arial"/>
                <w:sz w:val="22"/>
                <w:szCs w:val="22"/>
                <w:color w:val="auto"/>
              </w:rPr>
              <w:t>$</w:t>
            </w:r>
          </w:p>
        </w:tc>
        <w:tc>
          <w:tcPr>
            <w:tcW w:w="1900" w:type="dxa"/>
            <w:vAlign w:val="bottom"/>
          </w:tcPr>
          <w:p>
            <w:pPr>
              <w:jc w:val="right"/>
              <w:ind w:right="52"/>
              <w:spacing w:after="0"/>
              <w:rPr>
                <w:sz w:val="20"/>
                <w:szCs w:val="20"/>
                <w:color w:val="auto"/>
              </w:rPr>
            </w:pPr>
            <w:r>
              <w:rPr>
                <w:rFonts w:ascii="Arial" w:cs="Arial" w:eastAsia="Arial" w:hAnsi="Arial"/>
                <w:sz w:val="22"/>
                <w:szCs w:val="22"/>
                <w:color w:val="auto"/>
              </w:rPr>
              <w:t>0.03</w:t>
            </w:r>
          </w:p>
        </w:tc>
        <w:tc>
          <w:tcPr>
            <w:tcW w:w="4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820" w:type="dxa"/>
            <w:vAlign w:val="bottom"/>
          </w:tcPr>
          <w:p>
            <w:pPr>
              <w:jc w:val="right"/>
              <w:ind w:right="72"/>
              <w:spacing w:after="0"/>
              <w:rPr>
                <w:sz w:val="20"/>
                <w:szCs w:val="20"/>
                <w:color w:val="auto"/>
              </w:rPr>
            </w:pPr>
            <w:r>
              <w:rPr>
                <w:rFonts w:ascii="Arial" w:cs="Arial" w:eastAsia="Arial" w:hAnsi="Arial"/>
                <w:sz w:val="22"/>
                <w:szCs w:val="22"/>
                <w:color w:val="auto"/>
              </w:rPr>
              <w:t>0.03</w:t>
            </w:r>
          </w:p>
        </w:tc>
        <w:tc>
          <w:tcPr>
            <w:tcW w:w="0" w:type="dxa"/>
            <w:vAlign w:val="bottom"/>
          </w:tcPr>
          <w:p>
            <w:pPr>
              <w:spacing w:after="0"/>
              <w:rPr>
                <w:sz w:val="1"/>
                <w:szCs w:val="1"/>
                <w:color w:val="auto"/>
              </w:rPr>
            </w:pPr>
          </w:p>
        </w:tc>
      </w:tr>
      <w:tr>
        <w:trPr>
          <w:trHeight w:val="320"/>
        </w:trPr>
        <w:tc>
          <w:tcPr>
            <w:tcW w:w="5740" w:type="dxa"/>
            <w:vAlign w:val="bottom"/>
          </w:tcPr>
          <w:p>
            <w:pPr>
              <w:ind w:left="260"/>
              <w:spacing w:after="0" w:line="319" w:lineRule="exact"/>
              <w:rPr>
                <w:sz w:val="20"/>
                <w:szCs w:val="20"/>
                <w:color w:val="auto"/>
              </w:rPr>
            </w:pPr>
            <w:r>
              <w:rPr>
                <w:rFonts w:ascii="Arial" w:cs="Arial" w:eastAsia="Arial" w:hAnsi="Arial"/>
                <w:sz w:val="22"/>
                <w:szCs w:val="22"/>
                <w:color w:val="auto"/>
              </w:rPr>
              <w:t xml:space="preserve">Core net investment income per share </w:t>
            </w:r>
            <w:r>
              <w:rPr>
                <w:rFonts w:ascii="Arial" w:cs="Arial" w:eastAsia="Arial" w:hAnsi="Arial"/>
                <w:sz w:val="35"/>
                <w:szCs w:val="35"/>
                <w:color w:val="auto"/>
                <w:vertAlign w:val="superscript"/>
              </w:rPr>
              <w:t>(5)</w:t>
            </w:r>
          </w:p>
        </w:tc>
        <w:tc>
          <w:tcPr>
            <w:tcW w:w="1300" w:type="dxa"/>
            <w:vAlign w:val="bottom"/>
          </w:tcPr>
          <w:p>
            <w:pPr>
              <w:jc w:val="right"/>
              <w:spacing w:after="0"/>
              <w:rPr>
                <w:sz w:val="20"/>
                <w:szCs w:val="20"/>
                <w:color w:val="auto"/>
              </w:rPr>
            </w:pPr>
            <w:r>
              <w:rPr>
                <w:rFonts w:ascii="Arial" w:cs="Arial" w:eastAsia="Arial" w:hAnsi="Arial"/>
                <w:sz w:val="22"/>
                <w:szCs w:val="22"/>
                <w:color w:val="auto"/>
              </w:rPr>
              <w:t>$</w:t>
            </w:r>
          </w:p>
        </w:tc>
        <w:tc>
          <w:tcPr>
            <w:tcW w:w="1900" w:type="dxa"/>
            <w:vAlign w:val="bottom"/>
          </w:tcPr>
          <w:p>
            <w:pPr>
              <w:jc w:val="right"/>
              <w:ind w:right="52"/>
              <w:spacing w:after="0"/>
              <w:rPr>
                <w:sz w:val="20"/>
                <w:szCs w:val="20"/>
                <w:color w:val="auto"/>
              </w:rPr>
            </w:pPr>
            <w:r>
              <w:rPr>
                <w:rFonts w:ascii="Arial" w:cs="Arial" w:eastAsia="Arial" w:hAnsi="Arial"/>
                <w:sz w:val="22"/>
                <w:szCs w:val="22"/>
                <w:color w:val="auto"/>
              </w:rPr>
              <w:t>0.14</w:t>
            </w:r>
          </w:p>
        </w:tc>
        <w:tc>
          <w:tcPr>
            <w:tcW w:w="4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820" w:type="dxa"/>
            <w:vAlign w:val="bottom"/>
          </w:tcPr>
          <w:p>
            <w:pPr>
              <w:jc w:val="right"/>
              <w:ind w:right="72"/>
              <w:spacing w:after="0"/>
              <w:rPr>
                <w:sz w:val="20"/>
                <w:szCs w:val="20"/>
                <w:color w:val="auto"/>
              </w:rPr>
            </w:pPr>
            <w:r>
              <w:rPr>
                <w:rFonts w:ascii="Arial" w:cs="Arial" w:eastAsia="Arial" w:hAnsi="Arial"/>
                <w:sz w:val="22"/>
                <w:szCs w:val="22"/>
                <w:color w:val="auto"/>
              </w:rPr>
              <w:t>0.61</w:t>
            </w:r>
          </w:p>
        </w:tc>
        <w:tc>
          <w:tcPr>
            <w:tcW w:w="0" w:type="dxa"/>
            <w:vAlign w:val="bottom"/>
          </w:tcPr>
          <w:p>
            <w:pPr>
              <w:spacing w:after="0"/>
              <w:rPr>
                <w:sz w:val="1"/>
                <w:szCs w:val="1"/>
                <w:color w:val="auto"/>
              </w:rPr>
            </w:pPr>
          </w:p>
        </w:tc>
      </w:tr>
      <w:tr>
        <w:trPr>
          <w:trHeight w:val="274"/>
        </w:trPr>
        <w:tc>
          <w:tcPr>
            <w:tcW w:w="5740" w:type="dxa"/>
            <w:vAlign w:val="bottom"/>
          </w:tcPr>
          <w:p>
            <w:pPr>
              <w:ind w:left="260"/>
              <w:spacing w:after="0"/>
              <w:rPr>
                <w:sz w:val="20"/>
                <w:szCs w:val="20"/>
                <w:color w:val="auto"/>
              </w:rPr>
            </w:pPr>
            <w:r>
              <w:rPr>
                <w:rFonts w:ascii="Arial" w:cs="Arial" w:eastAsia="Arial" w:hAnsi="Arial"/>
                <w:sz w:val="22"/>
                <w:szCs w:val="22"/>
                <w:color w:val="auto"/>
              </w:rPr>
              <w:t>Distributions declared per share</w:t>
            </w:r>
          </w:p>
        </w:tc>
        <w:tc>
          <w:tcPr>
            <w:tcW w:w="1300" w:type="dxa"/>
            <w:vAlign w:val="bottom"/>
          </w:tcPr>
          <w:p>
            <w:pPr>
              <w:jc w:val="right"/>
              <w:spacing w:after="0"/>
              <w:rPr>
                <w:sz w:val="20"/>
                <w:szCs w:val="20"/>
                <w:color w:val="auto"/>
              </w:rPr>
            </w:pPr>
            <w:r>
              <w:rPr>
                <w:rFonts w:ascii="Arial" w:cs="Arial" w:eastAsia="Arial" w:hAnsi="Arial"/>
                <w:sz w:val="22"/>
                <w:szCs w:val="22"/>
                <w:color w:val="auto"/>
              </w:rPr>
              <w:t>$</w:t>
            </w:r>
          </w:p>
        </w:tc>
        <w:tc>
          <w:tcPr>
            <w:tcW w:w="1900" w:type="dxa"/>
            <w:vAlign w:val="bottom"/>
          </w:tcPr>
          <w:p>
            <w:pPr>
              <w:jc w:val="right"/>
              <w:ind w:right="52"/>
              <w:spacing w:after="0"/>
              <w:rPr>
                <w:sz w:val="20"/>
                <w:szCs w:val="20"/>
                <w:color w:val="auto"/>
              </w:rPr>
            </w:pPr>
            <w:r>
              <w:rPr>
                <w:rFonts w:ascii="Arial" w:cs="Arial" w:eastAsia="Arial" w:hAnsi="Arial"/>
                <w:sz w:val="22"/>
                <w:szCs w:val="22"/>
                <w:color w:val="auto"/>
              </w:rPr>
              <w:t>0.12</w:t>
            </w:r>
          </w:p>
        </w:tc>
        <w:tc>
          <w:tcPr>
            <w:tcW w:w="4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820" w:type="dxa"/>
            <w:vAlign w:val="bottom"/>
          </w:tcPr>
          <w:p>
            <w:pPr>
              <w:jc w:val="right"/>
              <w:ind w:right="72"/>
              <w:spacing w:after="0"/>
              <w:rPr>
                <w:sz w:val="20"/>
                <w:szCs w:val="20"/>
                <w:color w:val="auto"/>
              </w:rPr>
            </w:pPr>
            <w:r>
              <w:rPr>
                <w:rFonts w:ascii="Arial" w:cs="Arial" w:eastAsia="Arial" w:hAnsi="Arial"/>
                <w:sz w:val="22"/>
                <w:szCs w:val="22"/>
                <w:color w:val="auto"/>
              </w:rPr>
              <w:t>0.60</w:t>
            </w:r>
          </w:p>
        </w:tc>
        <w:tc>
          <w:tcPr>
            <w:tcW w:w="0" w:type="dxa"/>
            <w:vAlign w:val="bottom"/>
          </w:tcPr>
          <w:p>
            <w:pPr>
              <w:spacing w:after="0"/>
              <w:rPr>
                <w:sz w:val="1"/>
                <w:szCs w:val="1"/>
                <w:color w:val="auto"/>
              </w:rPr>
            </w:pPr>
          </w:p>
        </w:tc>
      </w:tr>
      <w:tr>
        <w:trPr>
          <w:trHeight w:val="536"/>
        </w:trPr>
        <w:tc>
          <w:tcPr>
            <w:tcW w:w="5740" w:type="dxa"/>
            <w:vAlign w:val="bottom"/>
          </w:tcPr>
          <w:p>
            <w:pPr>
              <w:spacing w:after="0"/>
              <w:rPr>
                <w:sz w:val="20"/>
                <w:szCs w:val="20"/>
                <w:color w:val="auto"/>
              </w:rPr>
            </w:pPr>
            <w:r>
              <w:rPr>
                <w:rFonts w:ascii="Arial" w:cs="Arial" w:eastAsia="Arial" w:hAnsi="Arial"/>
                <w:sz w:val="22"/>
                <w:szCs w:val="22"/>
                <w:color w:val="auto"/>
              </w:rPr>
              <w:t>Portfolio Activity:</w:t>
            </w:r>
          </w:p>
        </w:tc>
        <w:tc>
          <w:tcPr>
            <w:tcW w:w="1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60"/>
              <w:spacing w:after="0"/>
              <w:rPr>
                <w:sz w:val="20"/>
                <w:szCs w:val="20"/>
                <w:color w:val="auto"/>
              </w:rPr>
            </w:pPr>
            <w:r>
              <w:rPr>
                <w:rFonts w:ascii="Arial" w:cs="Arial" w:eastAsia="Arial" w:hAnsi="Arial"/>
                <w:sz w:val="22"/>
                <w:szCs w:val="22"/>
                <w:color w:val="auto"/>
              </w:rPr>
              <w:t>Purchases of investments</w:t>
            </w:r>
          </w:p>
        </w:tc>
        <w:tc>
          <w:tcPr>
            <w:tcW w:w="1300" w:type="dxa"/>
            <w:vAlign w:val="bottom"/>
          </w:tcPr>
          <w:p>
            <w:pPr>
              <w:jc w:val="right"/>
              <w:spacing w:after="0"/>
              <w:rPr>
                <w:sz w:val="20"/>
                <w:szCs w:val="20"/>
                <w:color w:val="auto"/>
              </w:rPr>
            </w:pPr>
            <w:r>
              <w:rPr>
                <w:rFonts w:ascii="Arial" w:cs="Arial" w:eastAsia="Arial" w:hAnsi="Arial"/>
                <w:sz w:val="22"/>
                <w:szCs w:val="22"/>
                <w:color w:val="auto"/>
              </w:rPr>
              <w:t>$</w:t>
            </w:r>
          </w:p>
        </w:tc>
        <w:tc>
          <w:tcPr>
            <w:tcW w:w="1900" w:type="dxa"/>
            <w:vAlign w:val="bottom"/>
          </w:tcPr>
          <w:p>
            <w:pPr>
              <w:jc w:val="right"/>
              <w:ind w:right="52"/>
              <w:spacing w:after="0"/>
              <w:rPr>
                <w:sz w:val="20"/>
                <w:szCs w:val="20"/>
                <w:color w:val="auto"/>
              </w:rPr>
            </w:pPr>
            <w:r>
              <w:rPr>
                <w:rFonts w:ascii="Arial" w:cs="Arial" w:eastAsia="Arial" w:hAnsi="Arial"/>
                <w:sz w:val="22"/>
                <w:szCs w:val="22"/>
                <w:color w:val="auto"/>
              </w:rPr>
              <w:t>27.1</w:t>
            </w:r>
          </w:p>
        </w:tc>
        <w:tc>
          <w:tcPr>
            <w:tcW w:w="4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820" w:type="dxa"/>
            <w:vAlign w:val="bottom"/>
          </w:tcPr>
          <w:p>
            <w:pPr>
              <w:jc w:val="right"/>
              <w:ind w:right="72"/>
              <w:spacing w:after="0"/>
              <w:rPr>
                <w:sz w:val="20"/>
                <w:szCs w:val="20"/>
                <w:color w:val="auto"/>
              </w:rPr>
            </w:pPr>
            <w:r>
              <w:rPr>
                <w:rFonts w:ascii="Arial" w:cs="Arial" w:eastAsia="Arial" w:hAnsi="Arial"/>
                <w:sz w:val="22"/>
                <w:szCs w:val="22"/>
                <w:color w:val="auto"/>
              </w:rPr>
              <w:t>319.3</w:t>
            </w:r>
          </w:p>
        </w:tc>
        <w:tc>
          <w:tcPr>
            <w:tcW w:w="0" w:type="dxa"/>
            <w:vAlign w:val="bottom"/>
          </w:tcPr>
          <w:p>
            <w:pPr>
              <w:spacing w:after="0"/>
              <w:rPr>
                <w:sz w:val="1"/>
                <w:szCs w:val="1"/>
                <w:color w:val="auto"/>
              </w:rPr>
            </w:pPr>
          </w:p>
        </w:tc>
      </w:tr>
      <w:tr>
        <w:trPr>
          <w:trHeight w:val="274"/>
        </w:trPr>
        <w:tc>
          <w:tcPr>
            <w:tcW w:w="5740" w:type="dxa"/>
            <w:vAlign w:val="bottom"/>
          </w:tcPr>
          <w:p>
            <w:pPr>
              <w:ind w:left="260"/>
              <w:spacing w:after="0"/>
              <w:rPr>
                <w:sz w:val="20"/>
                <w:szCs w:val="20"/>
                <w:color w:val="auto"/>
              </w:rPr>
            </w:pPr>
            <w:r>
              <w:rPr>
                <w:rFonts w:ascii="Arial" w:cs="Arial" w:eastAsia="Arial" w:hAnsi="Arial"/>
                <w:sz w:val="22"/>
                <w:szCs w:val="22"/>
                <w:color w:val="auto"/>
              </w:rPr>
              <w:t>Sales and repayments of investments</w:t>
            </w:r>
          </w:p>
        </w:tc>
        <w:tc>
          <w:tcPr>
            <w:tcW w:w="1300" w:type="dxa"/>
            <w:vAlign w:val="bottom"/>
          </w:tcPr>
          <w:p>
            <w:pPr>
              <w:jc w:val="right"/>
              <w:spacing w:after="0"/>
              <w:rPr>
                <w:sz w:val="20"/>
                <w:szCs w:val="20"/>
                <w:color w:val="auto"/>
              </w:rPr>
            </w:pPr>
            <w:r>
              <w:rPr>
                <w:rFonts w:ascii="Arial" w:cs="Arial" w:eastAsia="Arial" w:hAnsi="Arial"/>
                <w:sz w:val="22"/>
                <w:szCs w:val="22"/>
                <w:color w:val="auto"/>
              </w:rPr>
              <w:t>$</w:t>
            </w:r>
          </w:p>
        </w:tc>
        <w:tc>
          <w:tcPr>
            <w:tcW w:w="1900" w:type="dxa"/>
            <w:vAlign w:val="bottom"/>
          </w:tcPr>
          <w:p>
            <w:pPr>
              <w:jc w:val="right"/>
              <w:ind w:right="52"/>
              <w:spacing w:after="0"/>
              <w:rPr>
                <w:sz w:val="20"/>
                <w:szCs w:val="20"/>
                <w:color w:val="auto"/>
              </w:rPr>
            </w:pPr>
            <w:r>
              <w:rPr>
                <w:rFonts w:ascii="Arial" w:cs="Arial" w:eastAsia="Arial" w:hAnsi="Arial"/>
                <w:sz w:val="22"/>
                <w:szCs w:val="22"/>
                <w:color w:val="auto"/>
              </w:rPr>
              <w:t>48.6</w:t>
            </w:r>
          </w:p>
        </w:tc>
        <w:tc>
          <w:tcPr>
            <w:tcW w:w="4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820" w:type="dxa"/>
            <w:vAlign w:val="bottom"/>
          </w:tcPr>
          <w:p>
            <w:pPr>
              <w:jc w:val="right"/>
              <w:ind w:right="72"/>
              <w:spacing w:after="0"/>
              <w:rPr>
                <w:sz w:val="20"/>
                <w:szCs w:val="20"/>
                <w:color w:val="auto"/>
              </w:rPr>
            </w:pPr>
            <w:r>
              <w:rPr>
                <w:rFonts w:ascii="Arial" w:cs="Arial" w:eastAsia="Arial" w:hAnsi="Arial"/>
                <w:sz w:val="22"/>
                <w:szCs w:val="22"/>
                <w:color w:val="auto"/>
              </w:rPr>
              <w:t>162.7</w:t>
            </w:r>
          </w:p>
        </w:tc>
        <w:tc>
          <w:tcPr>
            <w:tcW w:w="0" w:type="dxa"/>
            <w:vAlign w:val="bottom"/>
          </w:tcPr>
          <w:p>
            <w:pPr>
              <w:spacing w:after="0"/>
              <w:rPr>
                <w:sz w:val="1"/>
                <w:szCs w:val="1"/>
                <w:color w:val="auto"/>
              </w:rPr>
            </w:pPr>
          </w:p>
        </w:tc>
      </w:tr>
      <w:tr>
        <w:trPr>
          <w:trHeight w:val="536"/>
        </w:trPr>
        <w:tc>
          <w:tcPr>
            <w:tcW w:w="5740" w:type="dxa"/>
            <w:vAlign w:val="bottom"/>
          </w:tcPr>
          <w:p>
            <w:pPr>
              <w:ind w:left="400"/>
              <w:spacing w:after="0"/>
              <w:rPr>
                <w:sz w:val="20"/>
                <w:szCs w:val="20"/>
                <w:color w:val="auto"/>
              </w:rPr>
            </w:pPr>
            <w:r>
              <w:rPr>
                <w:rFonts w:ascii="Arial" w:cs="Arial" w:eastAsia="Arial" w:hAnsi="Arial"/>
                <w:sz w:val="22"/>
                <w:szCs w:val="22"/>
                <w:color w:val="auto"/>
              </w:rPr>
              <w:t>Number of new portfolio companies invested</w:t>
            </w:r>
          </w:p>
        </w:tc>
        <w:tc>
          <w:tcPr>
            <w:tcW w:w="1300" w:type="dxa"/>
            <w:vAlign w:val="bottom"/>
          </w:tcPr>
          <w:p>
            <w:pPr>
              <w:spacing w:after="0"/>
              <w:rPr>
                <w:sz w:val="24"/>
                <w:szCs w:val="24"/>
                <w:color w:val="auto"/>
              </w:rPr>
            </w:pPr>
          </w:p>
        </w:tc>
        <w:tc>
          <w:tcPr>
            <w:tcW w:w="1900" w:type="dxa"/>
            <w:vAlign w:val="bottom"/>
          </w:tcPr>
          <w:p>
            <w:pPr>
              <w:jc w:val="right"/>
              <w:ind w:right="52"/>
              <w:spacing w:after="0"/>
              <w:rPr>
                <w:sz w:val="20"/>
                <w:szCs w:val="20"/>
                <w:color w:val="auto"/>
              </w:rPr>
            </w:pPr>
            <w:r>
              <w:rPr>
                <w:rFonts w:ascii="Arial" w:cs="Arial" w:eastAsia="Arial" w:hAnsi="Arial"/>
                <w:sz w:val="22"/>
                <w:szCs w:val="22"/>
                <w:color w:val="auto"/>
              </w:rPr>
              <w:t>3</w:t>
            </w:r>
          </w:p>
        </w:tc>
        <w:tc>
          <w:tcPr>
            <w:tcW w:w="420" w:type="dxa"/>
            <w:vAlign w:val="bottom"/>
          </w:tcPr>
          <w:p>
            <w:pPr>
              <w:spacing w:after="0"/>
              <w:rPr>
                <w:sz w:val="24"/>
                <w:szCs w:val="24"/>
                <w:color w:val="auto"/>
              </w:rPr>
            </w:pPr>
          </w:p>
        </w:tc>
        <w:tc>
          <w:tcPr>
            <w:tcW w:w="1820" w:type="dxa"/>
            <w:vAlign w:val="bottom"/>
          </w:tcPr>
          <w:p>
            <w:pPr>
              <w:jc w:val="right"/>
              <w:ind w:right="72"/>
              <w:spacing w:after="0"/>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70"/>
        </w:trPr>
        <w:tc>
          <w:tcPr>
            <w:tcW w:w="5740" w:type="dxa"/>
            <w:vAlign w:val="bottom"/>
          </w:tcPr>
          <w:p>
            <w:pPr>
              <w:ind w:left="400"/>
              <w:spacing w:after="0"/>
              <w:rPr>
                <w:sz w:val="20"/>
                <w:szCs w:val="20"/>
                <w:color w:val="auto"/>
              </w:rPr>
            </w:pPr>
            <w:r>
              <w:rPr>
                <w:rFonts w:ascii="Arial" w:cs="Arial" w:eastAsia="Arial" w:hAnsi="Arial"/>
                <w:sz w:val="22"/>
                <w:szCs w:val="22"/>
                <w:color w:val="auto"/>
              </w:rPr>
              <w:t>Number of existing portfolio companies invested</w:t>
            </w:r>
          </w:p>
        </w:tc>
        <w:tc>
          <w:tcPr>
            <w:tcW w:w="1300" w:type="dxa"/>
            <w:vAlign w:val="bottom"/>
          </w:tcPr>
          <w:p>
            <w:pPr>
              <w:spacing w:after="0"/>
              <w:rPr>
                <w:sz w:val="23"/>
                <w:szCs w:val="23"/>
                <w:color w:val="auto"/>
              </w:rPr>
            </w:pPr>
          </w:p>
        </w:tc>
        <w:tc>
          <w:tcPr>
            <w:tcW w:w="1900" w:type="dxa"/>
            <w:vAlign w:val="bottom"/>
          </w:tcPr>
          <w:p>
            <w:pPr>
              <w:jc w:val="right"/>
              <w:ind w:right="52"/>
              <w:spacing w:after="0"/>
              <w:rPr>
                <w:sz w:val="20"/>
                <w:szCs w:val="20"/>
                <w:color w:val="auto"/>
              </w:rPr>
            </w:pPr>
            <w:r>
              <w:rPr>
                <w:rFonts w:ascii="Arial" w:cs="Arial" w:eastAsia="Arial" w:hAnsi="Arial"/>
                <w:sz w:val="22"/>
                <w:szCs w:val="22"/>
                <w:color w:val="auto"/>
              </w:rPr>
              <w:t>7</w:t>
            </w:r>
          </w:p>
        </w:tc>
        <w:tc>
          <w:tcPr>
            <w:tcW w:w="420" w:type="dxa"/>
            <w:vAlign w:val="bottom"/>
          </w:tcPr>
          <w:p>
            <w:pPr>
              <w:spacing w:after="0"/>
              <w:rPr>
                <w:sz w:val="23"/>
                <w:szCs w:val="23"/>
                <w:color w:val="auto"/>
              </w:rPr>
            </w:pPr>
          </w:p>
        </w:tc>
        <w:tc>
          <w:tcPr>
            <w:tcW w:w="1820" w:type="dxa"/>
            <w:vAlign w:val="bottom"/>
          </w:tcPr>
          <w:p>
            <w:pPr>
              <w:jc w:val="right"/>
              <w:ind w:right="72"/>
              <w:spacing w:after="0"/>
              <w:rPr>
                <w:sz w:val="20"/>
                <w:szCs w:val="20"/>
                <w:color w:val="auto"/>
              </w:rPr>
            </w:pPr>
            <w:r>
              <w:rPr>
                <w:rFonts w:ascii="Arial" w:cs="Arial" w:eastAsia="Arial" w:hAnsi="Arial"/>
                <w:sz w:val="22"/>
                <w:szCs w:val="22"/>
                <w:color w:val="auto"/>
              </w:rPr>
              <w:t>58</w:t>
            </w:r>
          </w:p>
        </w:tc>
        <w:tc>
          <w:tcPr>
            <w:tcW w:w="0" w:type="dxa"/>
            <w:vAlign w:val="bottom"/>
          </w:tcPr>
          <w:p>
            <w:pPr>
              <w:spacing w:after="0"/>
              <w:rPr>
                <w:sz w:val="1"/>
                <w:szCs w:val="1"/>
                <w:color w:val="auto"/>
              </w:rPr>
            </w:pPr>
          </w:p>
        </w:tc>
      </w:tr>
      <w:tr>
        <w:trPr>
          <w:trHeight w:val="274"/>
        </w:trPr>
        <w:tc>
          <w:tcPr>
            <w:tcW w:w="5740" w:type="dxa"/>
            <w:vAlign w:val="bottom"/>
          </w:tcPr>
          <w:p>
            <w:pPr>
              <w:ind w:left="400"/>
              <w:spacing w:after="0"/>
              <w:rPr>
                <w:sz w:val="20"/>
                <w:szCs w:val="20"/>
                <w:color w:val="auto"/>
              </w:rPr>
            </w:pPr>
            <w:r>
              <w:rPr>
                <w:rFonts w:ascii="Arial" w:cs="Arial" w:eastAsia="Arial" w:hAnsi="Arial"/>
                <w:sz w:val="22"/>
                <w:szCs w:val="22"/>
                <w:color w:val="auto"/>
              </w:rPr>
              <w:t>Number of ending portfolio companies</w:t>
            </w:r>
          </w:p>
        </w:tc>
        <w:tc>
          <w:tcPr>
            <w:tcW w:w="1300" w:type="dxa"/>
            <w:vAlign w:val="bottom"/>
          </w:tcPr>
          <w:p>
            <w:pPr>
              <w:spacing w:after="0"/>
              <w:rPr>
                <w:sz w:val="23"/>
                <w:szCs w:val="23"/>
                <w:color w:val="auto"/>
              </w:rPr>
            </w:pPr>
          </w:p>
        </w:tc>
        <w:tc>
          <w:tcPr>
            <w:tcW w:w="1900" w:type="dxa"/>
            <w:vAlign w:val="bottom"/>
          </w:tcPr>
          <w:p>
            <w:pPr>
              <w:jc w:val="right"/>
              <w:ind w:right="52"/>
              <w:spacing w:after="0"/>
              <w:rPr>
                <w:sz w:val="20"/>
                <w:szCs w:val="20"/>
                <w:color w:val="auto"/>
              </w:rPr>
            </w:pPr>
            <w:r>
              <w:rPr>
                <w:rFonts w:ascii="Arial" w:cs="Arial" w:eastAsia="Arial" w:hAnsi="Arial"/>
                <w:sz w:val="22"/>
                <w:szCs w:val="22"/>
                <w:color w:val="auto"/>
              </w:rPr>
              <w:t>80</w:t>
            </w:r>
          </w:p>
        </w:tc>
        <w:tc>
          <w:tcPr>
            <w:tcW w:w="420" w:type="dxa"/>
            <w:vAlign w:val="bottom"/>
          </w:tcPr>
          <w:p>
            <w:pPr>
              <w:spacing w:after="0"/>
              <w:rPr>
                <w:sz w:val="23"/>
                <w:szCs w:val="23"/>
                <w:color w:val="auto"/>
              </w:rPr>
            </w:pPr>
          </w:p>
        </w:tc>
        <w:tc>
          <w:tcPr>
            <w:tcW w:w="1820" w:type="dxa"/>
            <w:vAlign w:val="bottom"/>
          </w:tcPr>
          <w:p>
            <w:pPr>
              <w:jc w:val="right"/>
              <w:ind w:right="72"/>
              <w:spacing w:after="0"/>
              <w:rPr>
                <w:sz w:val="20"/>
                <w:szCs w:val="20"/>
                <w:color w:val="auto"/>
              </w:rPr>
            </w:pPr>
            <w:r>
              <w:rPr>
                <w:rFonts w:ascii="Arial" w:cs="Arial" w:eastAsia="Arial" w:hAnsi="Arial"/>
                <w:sz w:val="22"/>
                <w:szCs w:val="22"/>
                <w:color w:val="auto"/>
              </w:rPr>
              <w:t>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22"/>
          <w:szCs w:val="22"/>
          <w:color w:val="auto"/>
        </w:rPr>
        <w:t>____________</w:t>
      </w:r>
    </w:p>
    <w:p>
      <w:pPr>
        <w:spacing w:after="0" w:line="21" w:lineRule="exact"/>
        <w:rPr>
          <w:sz w:val="20"/>
          <w:szCs w:val="20"/>
          <w:color w:val="auto"/>
        </w:rPr>
      </w:pPr>
    </w:p>
    <w:p>
      <w:pPr>
        <w:ind w:left="480" w:right="20" w:hanging="459"/>
        <w:spacing w:after="0" w:line="243" w:lineRule="auto"/>
        <w:tabs>
          <w:tab w:leader="none" w:pos="48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Includes investments in PennantPark Senior Loan Fund, LLC, or PSLF, an unconsolidated joint venture, totaling $99.3 million, at fair value.</w:t>
      </w:r>
    </w:p>
    <w:p>
      <w:pPr>
        <w:jc w:val="both"/>
        <w:ind w:left="480" w:right="20" w:hanging="459"/>
        <w:spacing w:after="0" w:line="234" w:lineRule="auto"/>
        <w:tabs>
          <w:tab w:leader="none" w:pos="4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is a non-GAAP financial measure. The Company believes that this number provides useful information to investors and management because it reflects the Company’s financial performance excluding the impact of the $17.0 million unrealized loss on our multi-currency, senior secured revolving credit facility with Truist Bank, as amended, or the Truist Credit Facility, and, together with our credit facility with BNP Paribas, as amended, the Credit Facilities. The presentation of this additional information is not meant to be considered in isolation or as a substitute for financial results prepared in accordance with GAAP.</w:t>
      </w:r>
    </w:p>
    <w:p>
      <w:pPr>
        <w:spacing w:after="0" w:line="5" w:lineRule="exact"/>
        <w:rPr>
          <w:rFonts w:ascii="Arial" w:cs="Arial" w:eastAsia="Arial" w:hAnsi="Arial"/>
          <w:sz w:val="22"/>
          <w:szCs w:val="22"/>
          <w:color w:val="auto"/>
        </w:rPr>
      </w:pPr>
    </w:p>
    <w:p>
      <w:pPr>
        <w:ind w:left="480" w:hanging="459"/>
        <w:spacing w:after="0"/>
        <w:tabs>
          <w:tab w:leader="none" w:pos="48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This is a non-GAAP financial measure. The Company believes that this number provides useful information to investors</w:t>
      </w:r>
    </w:p>
    <w:p>
      <w:pPr>
        <w:sectPr>
          <w:pgSz w:w="11900" w:h="16863" w:orient="portrait"/>
          <w:cols w:equalWidth="0" w:num="1">
            <w:col w:w="11240"/>
          </w:cols>
          <w:pgMar w:left="320" w:top="112" w:right="339" w:bottom="0" w:gutter="0" w:footer="0" w:header="0"/>
        </w:sectPr>
      </w:pPr>
    </w:p>
    <w:bookmarkStart w:id="4" w:name="page5"/>
    <w:bookmarkEnd w:id="4"/>
    <w:p>
      <w:pPr>
        <w:jc w:val="both"/>
        <w:ind w:left="480" w:right="20"/>
        <w:spacing w:after="0"/>
        <w:rPr>
          <w:sz w:val="20"/>
          <w:szCs w:val="20"/>
          <w:color w:val="auto"/>
        </w:rPr>
      </w:pPr>
      <w:r>
        <w:rPr>
          <w:rFonts w:ascii="Arial" w:cs="Arial" w:eastAsia="Arial" w:hAnsi="Arial"/>
          <w:sz w:val="22"/>
          <w:szCs w:val="22"/>
          <w:color w:val="auto"/>
        </w:rPr>
        <w:t>and management because it reflects the Company’s financial performance net of $25.8 million of cash and equivalents. The presentation of this additional information is not meant to be considered in isolation or as a substitute for financial results prepared in accordance with GAAP.</w:t>
      </w:r>
    </w:p>
    <w:p>
      <w:pPr>
        <w:spacing w:after="0" w:line="2" w:lineRule="exact"/>
        <w:rPr>
          <w:sz w:val="20"/>
          <w:szCs w:val="20"/>
          <w:color w:val="auto"/>
        </w:rPr>
      </w:pPr>
    </w:p>
    <w:p>
      <w:pPr>
        <w:jc w:val="both"/>
        <w:ind w:left="480" w:right="20" w:hanging="459"/>
        <w:spacing w:after="0" w:line="235" w:lineRule="auto"/>
        <w:tabs>
          <w:tab w:leader="none" w:pos="48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This is a non-GAAP financial measure. The Company believes that this number provides useful information to investors and management because it reflects the Company’s financial performance including the impact of the $17.0 million unrealized loss on the Truist Credit Facility, Small Business Act, or SBA, Debentures and net of $25.8 million of cash and equivalents. The presentation of this additional information is not meant to be considered in isolation or as a substitute for financial results prepared in accordance with GAAP.</w:t>
      </w:r>
    </w:p>
    <w:p>
      <w:pPr>
        <w:spacing w:after="0" w:line="3" w:lineRule="exact"/>
        <w:rPr>
          <w:rFonts w:ascii="Arial" w:cs="Arial" w:eastAsia="Arial" w:hAnsi="Arial"/>
          <w:sz w:val="22"/>
          <w:szCs w:val="22"/>
          <w:color w:val="auto"/>
        </w:rPr>
      </w:pPr>
    </w:p>
    <w:p>
      <w:pPr>
        <w:jc w:val="both"/>
        <w:ind w:left="480" w:right="20" w:hanging="459"/>
        <w:spacing w:after="0" w:line="285" w:lineRule="auto"/>
        <w:tabs>
          <w:tab w:leader="none" w:pos="480" w:val="left"/>
        </w:tabs>
        <w:numPr>
          <w:ilvl w:val="0"/>
          <w:numId w:val="4"/>
        </w:numPr>
        <w:rPr>
          <w:rFonts w:ascii="Arial" w:cs="Arial" w:eastAsia="Arial" w:hAnsi="Arial"/>
          <w:sz w:val="19"/>
          <w:szCs w:val="19"/>
          <w:color w:val="auto"/>
        </w:rPr>
      </w:pPr>
      <w:r>
        <w:rPr>
          <w:rFonts w:ascii="Arial" w:cs="Arial" w:eastAsia="Arial" w:hAnsi="Arial"/>
          <w:sz w:val="19"/>
          <w:szCs w:val="19"/>
          <w:color w:val="auto"/>
        </w:rPr>
        <w:t>Core net investment income is a non-GAAP financial measure. The Company believes that core net investment income provides useful information to investors and management because it reflects the Company’s financial performance excluding $2.2 million of expenses related to the PSLF transaction. The presentation of this additional information is not meant to be considered in isolation or as a substitute for financial results prepared in accordance with GAAP.</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EST ON NOVEMBER 20, 2020</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PennantPark Investment Corporation (“we,” “our,” “us” or the “Company”) will host a conference call at 10:00 a.m. (Eastern Standard Time) on Friday, November 20, 2020 to discuss its financial results. All interested parties are welcome to participate. You can access the conference call by dialing toll-free (866) 548-4713 approximately 5-10 minutes prior to the call. International callers should dial (323) 794-2093. All callers should reference conference ID #2765446 or PennantPark Investment Corporation. An archived replay of the call will be available through December 4, 2020 by calling toll-free (888) 203-1112. International callers please dial (719) 457-0820. For all phone replays, please reference conference ID #2765446.</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INCENTIVE FEE WAIVER EXTENSION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have concluded, in consultation with our board, to extend the incentive fee waiver for an additional quarter through December 31, 2020.</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“We are pleased with the solid performance of our portfolio through the challenging economic conditions of the last few quarters,” said Arthur Penn, Chairman and CEO. “We are particularly pleased with the upsizing of our PSLF JV with Pantheon as well as substantial equity positions in several high growth companies which are solidifying and bolstering NAV.”</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As of September 30, 2020, our portfolio totaled $1,081.8 million and consisted of $439.0 million of first lien secured debt, $220.8 million of second lien secured debt, $113.6 million of subordinated debt (including $63.0 million in PSLF) and $308.3 million of preferred and common equity (including $36.3 million in PSLF). Our debt portfolio consisted of 93% variable-rate investments. As of September 30, 2020, we had two portfolio companies on non-accrual, representing 4.9% and 3.4% of our overall portfolio on a cost and fair value basis, respectively. Overall, the portfolio had net unrealized depreciation of $83.8 million as of September 30, 2020. Our overall portfolio consisted of 80 companies with an average investment size of $13.5 million, had a weighted average yield on interest bearing debt investments of 8.9% and was invested 41% in first lien secured debt, 20% in second lien secured debt, 10% in subordinated debt (including 6% in PSLF) and 29% in preferred and common equity (including 3% in PSLF). As of September 30, 2020, all of the investments held by PSLF were first lien secured debt. For more information on how the COVID-19 pandemic has affected our business and results of operations, see our Annual Report on Form 10-K for the fiscal year ended September 30, 2020, including “Item 2. Management's Discussion and Analysis of Financial Condition and Results of Operations – COVID-19 Developments” and “Item 1A. Risk Factors” therein.</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As of September 30, 2019, our portfolio totaled $1,219.4 million and consisted of $695.3 million of first lien secured debt, $269.3 million of second lien secured debt, $61.2 million of subordinated debt and $193.7 million of preferred and common equity. Our debt portfolio consisted of 87% variable-rate investments and 13% fixed-rate investments. As of September 30, 2019, we had no portfolio companies on non-accrual. Overall, the portfolio had net unrealized depreciation of $37.6 million as of September 30, 2019. Our overall portfolio consisted of 67 companies with an average investment size of $18.2 million, had a weighted average yield on interest bearing debt investments of 9.8% and was invested 57% in first lien secured debt, 22% in second lien secured debt, 5% in subordinated debt and 16% in preferred and common equity.</w:t>
      </w:r>
    </w:p>
    <w:p>
      <w:pPr>
        <w:spacing w:after="0" w:line="15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For the three months ended September 30, 2020, we invested $27.1 million in three new and seven existing portfolio companies with a weighted average yield on debt investments of 7.0%. Sales and repayments of investments for the same period totaled $48.6 million. This compares to the three months ended September 30, 2019, in which we invested $38.8 million in three new and 11 existing portfolio companies with a weighted average yield on debt investments of 8.4%. Sales and repayments of investments for the same period totaled $100.9 million.</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year ended September 30, 2020, we invested $319.3 million in 25 new and 58 existing portfolio companies with a weighted average yield on debt investments of 8.4%. Sales and repayments of investments for the same period totaled $162.7 million.</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year ended September 30, 2019, we invested $533.6 million in 24 new and 49 existing portfolio companies with a weighted average yield on debt investments of 9.4%. Sales and repayments of investments for the same period totaled $426.5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Senior Loan Fund, LLC</w:t>
      </w:r>
    </w:p>
    <w:p>
      <w:pPr>
        <w:sectPr>
          <w:pgSz w:w="11900" w:h="16838" w:orient="portrait"/>
          <w:cols w:equalWidth="0" w:num="1">
            <w:col w:w="11240"/>
          </w:cols>
          <w:pgMar w:left="320" w:top="118" w:right="339" w:bottom="0" w:gutter="0" w:footer="0" w:header="0"/>
        </w:sectPr>
      </w:pPr>
    </w:p>
    <w:bookmarkStart w:id="5" w:name="page6"/>
    <w:bookmarkEnd w:id="5"/>
    <w:p>
      <w:pPr>
        <w:jc w:val="both"/>
        <w:spacing w:after="0" w:line="251" w:lineRule="auto"/>
        <w:rPr>
          <w:sz w:val="20"/>
          <w:szCs w:val="20"/>
          <w:color w:val="auto"/>
        </w:rPr>
      </w:pPr>
      <w:r>
        <w:rPr>
          <w:rFonts w:ascii="Arial" w:cs="Arial" w:eastAsia="Arial" w:hAnsi="Arial"/>
          <w:sz w:val="22"/>
          <w:szCs w:val="22"/>
          <w:color w:val="auto"/>
        </w:rPr>
        <w:t>As of September 30, 2020, PSLF’s portfolio totaled $353.4 million, consisted of 37 companies with an average investment size of $9.6 million and had a weighted average yield on debt investments of 7.3%.</w:t>
      </w:r>
    </w:p>
    <w:p>
      <w:pPr>
        <w:spacing w:after="0" w:line="173"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For the period ended July 31, 2020 (inception) through September 30, 2020, PSLF invested $5.7 million in one new portfolio company with a weighted average yield on debt investments of 7.5%. PSLF’s sales and repayments of investments for the same period totaled $11.1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Effective October 31, 2020, certain entities and managed accounts of the private credit investment manager of Pantheon Ventures (UK) LLP, or Pantheon, our joint-venture partner, contributed an additional $27.5 million to PSLF, bringing their total contribution to $62.5 million. Pantheon’s additional investment came in at the then current net asset value. At the same time, the Company has also invested an additional $1.8 million in PSLF. As a result, the Company currently owns 60.5% of the joint venture. Additionally, in connection with this transaction, BNP Paribas has increased the size of PSLF’s credit facility from $250.0 million to $275.0 million.</w:t>
      </w:r>
    </w:p>
    <w:p>
      <w:pPr>
        <w:spacing w:after="0" w:line="18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Subsequent to September 30, 2020, our portfolio company, Cano Health, LLC (ITC Rumba, LLC), entered into a business combination agreement with Jaws Acquisition Corp (“JWS”), a special purpose acquisition vehicle, and other parties, subject to certain closing conditions, with an expected closing late first quarter or early second quarter 2021. Based on the closing stock price of JWS on November 13, 2020, our $18.8 million common stock fair valuation as of September 30, 2020 would increase to an estimated $72.3 million, which includes a combination of cash and stock, assuming the transaction closes based on the agreed terms. This would represent a net asset value increase of $0.80 per share, as of November 13, 2020. Our shares are owned by a limited partnership controlled by the financial sponsor and are subject to customary lock up restrictions. As a result, the fair value on December 31, 2020, may likely include an illiquidity discount not in the public trading values indicated above. There can be no assurance that the implied value of our equity interest will be representative of the value ultimately realized on our equity investment.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years ended September 30, 2020 and 2019.</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Investment income for the three months ended September 30, 2020 and 2019 was $21.3 million and $27.9 million, respectively, and was primarily attributable to $12.3 million and $17.0 million from first lien secured debt, $5.3 million and $8.7 million from second lien secured debt and $3.7 million and $2.2 million from subordinated debt and preferred and common equity, respectively.</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Investment income for the years ended September 30, 2020 and 2019 was $100.2 million and $112.1 million, respectively, and was attributable to $63.4 million and $62.6 million from first lien secured debt, $25.9 million and $41.4 million from second lien secured debt and $10.9 million and $8.1 million from subordinated debt and preferred and common equity, respectively. The increase in investment income over the prior year was primarily due to an increase in our portfolio at cost.</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Net expenses for the three months ended September 30, 2020 and 2019 totaled $14.0 million and $18.3 million, respectively. Base management fee totaled $4.4 million and $4.6 million, debt related interest and other financing costs totaled $8.2 million (including one-time costs of $2.2 million associated with the PSLF transaction) and $12.2 million (including one-time debt related costs of $4.4 million), general and administrative expenses totaled $1.2 million and $1.2 million and provision for taxes totaled $0.3 million and $0.3 million, respectively, for the same periods.</w:t>
      </w:r>
    </w:p>
    <w:p>
      <w:pPr>
        <w:spacing w:after="0" w:line="17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Net expenses for the years ended September 30, 2020 and 2019 totaled $61.5 million and $67.5 million, respectively. Base management fee totaled $18.6 million and $18.2 million, incentive fee totaled $2.7 million (after an incentive fee waiver of $1.9 million) and $5.1 million, debt related interest and other financing expenses totaled $34.4 million (including one-time costs of $2.2 million associated with the PSLF transaction) and $38.2 million (including one-time debt related costs of $9.2 million), general and administrative expenses totaled $4.7 million and $4.7 million and provision for taxes totaled $1.2 million and $1.2 million, respectively, for the same periods. The decrease in expenses over the prior year was primarily due to a decrease in debt related expenses as well as the incentive fee waiver.</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Net investment income totaled $7.3 million, or $0.11 per share, and $9.6 million, or $0.14 per share, for the three months ended September 30, 2020 and 2019, respectively.</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Net investment income totaled $38.7 million, or $0.58 per share, and $44.6 million, or $0.66 per share, for the years ended September 30, 2020 and 2019, respectively. The decrease in net investment income per share compared to the prior year was primarily due to a decrease in LIBOR.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ectPr>
          <w:pgSz w:w="11900" w:h="16838" w:orient="portrait"/>
          <w:cols w:equalWidth="0" w:num="1">
            <w:col w:w="11240"/>
          </w:cols>
          <w:pgMar w:left="320" w:top="118" w:right="339" w:bottom="0" w:gutter="0" w:footer="0" w:header="0"/>
        </w:sectPr>
      </w:pPr>
    </w:p>
    <w:bookmarkStart w:id="6" w:name="page7"/>
    <w:bookmarkEnd w:id="6"/>
    <w:p>
      <w:pPr>
        <w:spacing w:after="0" w:line="7"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Sales and repayments of investments for the three months ended September 30, 2020 and 2019 totaled $48.6 million and $100.9 million, respectively, and net realized losses totaled $10.1 million and $18.4 million, respectively, for the same periods.</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Sales and repayments of investments for the years ended September 30, 2020 and 2019 totaled $162.7 million and $426.5 million, respectively, and net realized losses totaled $20.8 million and $108.5 million, respectively. The change in realized gains/losses was primarily due to changes in the market conditions of our investments and the values at which they were realized, including the net realized loss on Superior Digital Displays, LLC during the year ended September 30, 2019.</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Credit Facilities, and the 2019 Notes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For the three months ended September 30, 2020 and 2019, we reported a net change in unrealized appreciation on investments of $21.3 million and $21.2 million, respectively. For the years ended September 30, 2020 and 2019, we reported net change in unrealized (depreciation) appreciation on investments of ($46.2) million and $74.1 million, respectively. As of September 30, 2020 and 2019, our net unrealized depreciation on investments totaled $83.8 million and $37.6 million, respectively. The net change in unrealized appreciation/depreciation on our investments for the year ended September 30, 2020 compared to the prior year was primarily due to changes in the capital market conditions as well as the financial performance of certain portfolio companies primarily driven by the market disruption caused by the COVID-19 pandemic and the uncertainty surrounding its continued adverse economic impact. For more information on how the COVID-19 pandemic has affected our business and results of operations, see our Annual Report on Form 10-K for the fiscal year ended September 30, 2020, including “Item 2. Management's Discussion and Analysis of Financial Condition and Results of Operations – COVID-19 Developments” and “Item 1A. Risk Factors” therein.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For the three months ended September 30, 2020 and 2019, our Credit Facilities had a net change in unrealized appreciation of $9.0 million and $4.2 million, respectively. For the years ended September 30, 2020 and 2019, our Credit Facilities and our 4.5% notes due 2019, or the 2019 Notes, had a net change in unrealized depreciation of $12.3 million and $5.7 million, respectively. As of September 30, 2020 and 2019, our net unrealized depreciation on our Credit Facilities and, prior to their redemption, the 2019 Notes totaled $19.6 million and $7.2 million, respectively. The net change in unrealized depreciation for the year ended September 30, 2020 compared to the prior year was primarily due to changes in the capital markets.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Net change in net assets resulting from operations totaled $9.5 million, or $0.14 per share, and $8.2 million, or $0.13 per share, for the three months ended September 30, 2020 and 2019, respectively.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Net change in net assets resulting from operations totaled ($16.0) million, or ($0.24) per share, and $15.9 million, or $0.24 per share, for the years ended September 30, 2020 and 2019, respectively. The decrease in net assets from operations for the year ended September 30, 2020 compared to the prior year was primarily due to depreciation of the portfolio primarily driven by the market disruption caused by the COVID-19 pandemic and the uncertainty surrounding its continued adverse economic impact. For more information on how the COVID-19 pandemic has affected our business and results of operations, see our Annual Report on Form 10-K for the fiscal year ended September 30, 2020, including “Item 2. Management's Discussion and Analysis of Financial Condition and Results of Operations – COVID-19 Developments” and “Item 1A. Risk Factors” therein.</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For more information on how the COVID-19 pandemic may impact our ability to comply with the covenants of the Credit Facilities, see the Company’s Annual Report on Form 10-K for the fiscal year ended September 30, 2020, including “Item 2. Management's Discussion and Analysis of Financial Condition and Results of Operations – COVID-19 Developments” and “Item 1A. Risk Factors” therein.</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annualized weighted average cost of debt for the years ended September 30, 2020 and 2019, inclusive of the fee on the undrawn commitment and amendment costs on the Credit Facilities, amortized upfront fees on SBA debentures and debt retirement and issuance costs, was 4.0% and 6.0%, respectively. As of September 30, 2020 and 2019, we had $86.7 million and $173.4 million of unused borrowing capacity under the Truist Credit Facility, respectively, subject to leverage and borrowing base restrictions.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September 30, 2020 and 2019, we had $388.3 million and $301.6 million, respectively, in outstanding borrowings under the Truist Credit Facility. The Truist Credit Facility had a weighted average interest rate of 2.5% and 4.2%, respectively, exclusive of the fee on undrawn commitment, as of September 30, 2020 and 2019.</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September 30, 2020 and 2019, we had cash and cash equivalents of $25.8 million and $59.5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Our operating activities used cash of $129.6 million for the year ended September 30, 2020, and our financing activities provided cash of $95.8 million for the same period. Our operating activities used cash primarily for our investment activities and our</w:t>
      </w:r>
    </w:p>
    <w:p>
      <w:pPr>
        <w:sectPr>
          <w:pgSz w:w="11900" w:h="16846" w:orient="portrait"/>
          <w:cols w:equalWidth="0" w:num="1">
            <w:col w:w="11240"/>
          </w:cols>
          <w:pgMar w:left="320" w:top="118" w:right="339" w:bottom="0" w:gutter="0" w:footer="0" w:header="0"/>
        </w:sectPr>
      </w:pPr>
    </w:p>
    <w:bookmarkStart w:id="7" w:name="page8"/>
    <w:bookmarkEnd w:id="7"/>
    <w:p>
      <w:pPr>
        <w:spacing w:after="0" w:line="90" w:lineRule="exact"/>
        <w:rPr>
          <w:sz w:val="20"/>
          <w:szCs w:val="20"/>
          <w:color w:val="auto"/>
        </w:rPr>
      </w:pPr>
    </w:p>
    <w:p>
      <w:pPr>
        <w:spacing w:after="0"/>
        <w:rPr>
          <w:sz w:val="20"/>
          <w:szCs w:val="20"/>
          <w:color w:val="auto"/>
        </w:rPr>
      </w:pPr>
      <w:r>
        <w:rPr>
          <w:rFonts w:ascii="Arial" w:cs="Arial" w:eastAsia="Arial" w:hAnsi="Arial"/>
          <w:sz w:val="22"/>
          <w:szCs w:val="22"/>
          <w:color w:val="auto"/>
        </w:rPr>
        <w:t>financing activities provided cash primarily for net borrowings under our Credit Facilities.</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Our operating activities provided cash of $81.1 million for the year ended September 30, 2019, and our financing activities provided cash of $121.1 million for the same period. Our operating activities provided cash from sales and repayments on our investments and our financing activities provided cash primarily for net borrowings under our Credit Facilities as well as the issuance of our 5.5% notes due 2024, partially offset by cash used by our stock repurchase program.</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During the year ended September 30, 2020 and 2019, we declared distributions of $0.60 and $0.72 per share, for total distributions of $40.2 million and $48.4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Securities and Exchange Commission, or the SEC.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The Company makes available on its website its annual report on Form 10-K filed with the SEC and stockholders may find the report on our website at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ASSETS AND LIABILITIES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6840" w:type="dxa"/>
            <w:vAlign w:val="bottom"/>
          </w:tcPr>
          <w:p>
            <w:pPr>
              <w:spacing w:after="0"/>
              <w:rPr>
                <w:sz w:val="24"/>
                <w:szCs w:val="24"/>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b w:val="1"/>
                <w:bCs w:val="1"/>
                <w:color w:val="auto"/>
                <w:w w:val="90"/>
              </w:rPr>
              <w:t>September 30, 2020</w:t>
            </w:r>
          </w:p>
        </w:tc>
        <w:tc>
          <w:tcPr>
            <w:tcW w:w="320" w:type="dxa"/>
            <w:vAlign w:val="bottom"/>
          </w:tcPr>
          <w:p>
            <w:pPr>
              <w:spacing w:after="0"/>
              <w:rPr>
                <w:sz w:val="24"/>
                <w:szCs w:val="24"/>
                <w:color w:val="auto"/>
              </w:rPr>
            </w:pP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b w:val="1"/>
                <w:bCs w:val="1"/>
                <w:color w:val="auto"/>
                <w:w w:val="89"/>
              </w:rPr>
              <w:t>September 30, 2019</w:t>
            </w:r>
          </w:p>
        </w:tc>
      </w:tr>
      <w:tr>
        <w:trPr>
          <w:trHeight w:val="259"/>
        </w:trPr>
        <w:tc>
          <w:tcPr>
            <w:tcW w:w="684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4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4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6840" w:type="dxa"/>
            <w:vAlign w:val="bottom"/>
          </w:tcPr>
          <w:p>
            <w:pPr>
              <w:ind w:left="260"/>
              <w:spacing w:after="0" w:line="243" w:lineRule="exact"/>
              <w:rPr>
                <w:sz w:val="20"/>
                <w:szCs w:val="20"/>
                <w:color w:val="auto"/>
              </w:rPr>
            </w:pPr>
            <w:r>
              <w:rPr>
                <w:rFonts w:ascii="Arial" w:cs="Arial" w:eastAsia="Arial" w:hAnsi="Arial"/>
                <w:sz w:val="22"/>
                <w:szCs w:val="22"/>
                <w:color w:val="auto"/>
                <w:w w:val="99"/>
              </w:rPr>
              <w:t>Non-controlled, non-affiliated investments (cost—$713,683,209 and</w:t>
            </w: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0"/>
        </w:trPr>
        <w:tc>
          <w:tcPr>
            <w:tcW w:w="6840" w:type="dxa"/>
            <w:vAlign w:val="bottom"/>
          </w:tcPr>
          <w:p>
            <w:pPr>
              <w:ind w:left="260"/>
              <w:spacing w:after="0"/>
              <w:rPr>
                <w:sz w:val="20"/>
                <w:szCs w:val="20"/>
                <w:color w:val="auto"/>
              </w:rPr>
            </w:pPr>
            <w:r>
              <w:rPr>
                <w:rFonts w:ascii="Arial" w:cs="Arial" w:eastAsia="Arial" w:hAnsi="Arial"/>
                <w:sz w:val="22"/>
                <w:szCs w:val="22"/>
                <w:color w:val="auto"/>
              </w:rPr>
              <w:t>$922,304,099, respectively)</w:t>
            </w:r>
          </w:p>
        </w:tc>
        <w:tc>
          <w:tcPr>
            <w:tcW w:w="400" w:type="dxa"/>
            <w:vAlign w:val="bottom"/>
          </w:tcPr>
          <w:p>
            <w:pPr>
              <w:jc w:val="right"/>
              <w:ind w:right="172"/>
              <w:spacing w:after="0"/>
              <w:rPr>
                <w:sz w:val="20"/>
                <w:szCs w:val="20"/>
                <w:color w:val="auto"/>
              </w:rPr>
            </w:pPr>
            <w:r>
              <w:rPr>
                <w:rFonts w:ascii="Arial" w:cs="Arial" w:eastAsia="Arial" w:hAnsi="Arial"/>
                <w:sz w:val="22"/>
                <w:szCs w:val="22"/>
                <w:color w:val="auto"/>
                <w:w w:val="81"/>
              </w:rPr>
              <w:t>$</w:t>
            </w:r>
          </w:p>
        </w:tc>
        <w:tc>
          <w:tcPr>
            <w:tcW w:w="1540" w:type="dxa"/>
            <w:vAlign w:val="bottom"/>
          </w:tcPr>
          <w:p>
            <w:pPr>
              <w:jc w:val="right"/>
              <w:spacing w:after="0"/>
              <w:rPr>
                <w:sz w:val="20"/>
                <w:szCs w:val="20"/>
                <w:color w:val="auto"/>
              </w:rPr>
            </w:pPr>
            <w:r>
              <w:rPr>
                <w:rFonts w:ascii="Arial" w:cs="Arial" w:eastAsia="Arial" w:hAnsi="Arial"/>
                <w:sz w:val="22"/>
                <w:szCs w:val="22"/>
                <w:color w:val="auto"/>
              </w:rPr>
              <w:t>735,674,666</w:t>
            </w:r>
          </w:p>
        </w:tc>
        <w:tc>
          <w:tcPr>
            <w:tcW w:w="700" w:type="dxa"/>
            <w:vAlign w:val="bottom"/>
            <w:gridSpan w:val="2"/>
          </w:tcPr>
          <w:p>
            <w:pPr>
              <w:jc w:val="right"/>
              <w:ind w:right="172"/>
              <w:spacing w:after="0"/>
              <w:rPr>
                <w:sz w:val="20"/>
                <w:szCs w:val="20"/>
                <w:color w:val="auto"/>
              </w:rPr>
            </w:pPr>
            <w:r>
              <w:rPr>
                <w:rFonts w:ascii="Arial" w:cs="Arial" w:eastAsia="Arial" w:hAnsi="Arial"/>
                <w:sz w:val="22"/>
                <w:szCs w:val="22"/>
                <w:color w:val="auto"/>
              </w:rPr>
              <w:t>$</w:t>
            </w:r>
          </w:p>
        </w:tc>
        <w:tc>
          <w:tcPr>
            <w:tcW w:w="1520" w:type="dxa"/>
            <w:vAlign w:val="bottom"/>
          </w:tcPr>
          <w:p>
            <w:pPr>
              <w:jc w:val="right"/>
              <w:spacing w:after="0"/>
              <w:rPr>
                <w:sz w:val="20"/>
                <w:szCs w:val="20"/>
                <w:color w:val="auto"/>
              </w:rPr>
            </w:pPr>
            <w:r>
              <w:rPr>
                <w:rFonts w:ascii="Arial" w:cs="Arial" w:eastAsia="Arial" w:hAnsi="Arial"/>
                <w:sz w:val="22"/>
                <w:szCs w:val="22"/>
                <w:color w:val="auto"/>
              </w:rPr>
              <w:t>936,632,099</w:t>
            </w:r>
          </w:p>
        </w:tc>
      </w:tr>
      <w:tr>
        <w:trPr>
          <w:trHeight w:val="243"/>
        </w:trPr>
        <w:tc>
          <w:tcPr>
            <w:tcW w:w="6840" w:type="dxa"/>
            <w:vAlign w:val="bottom"/>
          </w:tcPr>
          <w:p>
            <w:pPr>
              <w:ind w:left="260"/>
              <w:spacing w:after="0" w:line="243" w:lineRule="exact"/>
              <w:rPr>
                <w:sz w:val="20"/>
                <w:szCs w:val="20"/>
                <w:color w:val="auto"/>
              </w:rPr>
            </w:pPr>
            <w:r>
              <w:rPr>
                <w:rFonts w:ascii="Arial" w:cs="Arial" w:eastAsia="Arial" w:hAnsi="Arial"/>
                <w:sz w:val="22"/>
                <w:szCs w:val="22"/>
                <w:color w:val="auto"/>
              </w:rPr>
              <w:t>Non-controlled, affiliated investments (cost—$77,628,920 and</w:t>
            </w: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0"/>
        </w:trPr>
        <w:tc>
          <w:tcPr>
            <w:tcW w:w="6840" w:type="dxa"/>
            <w:vAlign w:val="bottom"/>
          </w:tcPr>
          <w:p>
            <w:pPr>
              <w:ind w:left="260"/>
              <w:spacing w:after="0"/>
              <w:rPr>
                <w:sz w:val="20"/>
                <w:szCs w:val="20"/>
                <w:color w:val="auto"/>
              </w:rPr>
            </w:pPr>
            <w:r>
              <w:rPr>
                <w:rFonts w:ascii="Arial" w:cs="Arial" w:eastAsia="Arial" w:hAnsi="Arial"/>
                <w:sz w:val="22"/>
                <w:szCs w:val="22"/>
                <w:color w:val="auto"/>
              </w:rPr>
              <w:t>$77,600,816, respectively)</w:t>
            </w:r>
          </w:p>
        </w:tc>
        <w:tc>
          <w:tcPr>
            <w:tcW w:w="4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27,753,893</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49,349,338</w:t>
            </w:r>
          </w:p>
        </w:tc>
      </w:tr>
      <w:tr>
        <w:trPr>
          <w:trHeight w:val="243"/>
        </w:trPr>
        <w:tc>
          <w:tcPr>
            <w:tcW w:w="6840" w:type="dxa"/>
            <w:vAlign w:val="bottom"/>
          </w:tcPr>
          <w:p>
            <w:pPr>
              <w:ind w:left="260"/>
              <w:spacing w:after="0" w:line="243" w:lineRule="exact"/>
              <w:rPr>
                <w:sz w:val="20"/>
                <w:szCs w:val="20"/>
                <w:color w:val="auto"/>
              </w:rPr>
            </w:pPr>
            <w:r>
              <w:rPr>
                <w:rFonts w:ascii="Arial" w:cs="Arial" w:eastAsia="Arial" w:hAnsi="Arial"/>
                <w:sz w:val="22"/>
                <w:szCs w:val="22"/>
                <w:color w:val="auto"/>
              </w:rPr>
              <w:t>Controlled, affiliated investments (cost—$374,260,162 and</w:t>
            </w: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4"/>
        </w:trPr>
        <w:tc>
          <w:tcPr>
            <w:tcW w:w="6840" w:type="dxa"/>
            <w:vAlign w:val="bottom"/>
          </w:tcPr>
          <w:p>
            <w:pPr>
              <w:ind w:left="260"/>
              <w:spacing w:after="0"/>
              <w:rPr>
                <w:sz w:val="20"/>
                <w:szCs w:val="20"/>
                <w:color w:val="auto"/>
              </w:rPr>
            </w:pPr>
            <w:r>
              <w:rPr>
                <w:rFonts w:ascii="Arial" w:cs="Arial" w:eastAsia="Arial" w:hAnsi="Arial"/>
                <w:sz w:val="22"/>
                <w:szCs w:val="22"/>
                <w:color w:val="auto"/>
              </w:rPr>
              <w:t>$257,117,800, respectively)</w:t>
            </w:r>
          </w:p>
        </w:tc>
        <w:tc>
          <w:tcPr>
            <w:tcW w:w="4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318,342,859</w:t>
            </w:r>
          </w:p>
        </w:tc>
        <w:tc>
          <w:tcPr>
            <w:tcW w:w="3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233,451,359</w:t>
            </w:r>
          </w:p>
        </w:tc>
      </w:tr>
      <w:tr>
        <w:trPr>
          <w:trHeight w:val="219"/>
        </w:trPr>
        <w:tc>
          <w:tcPr>
            <w:tcW w:w="6840" w:type="dxa"/>
            <w:vAlign w:val="bottom"/>
          </w:tcPr>
          <w:p>
            <w:pPr>
              <w:ind w:left="260"/>
              <w:spacing w:after="0" w:line="219" w:lineRule="exact"/>
              <w:rPr>
                <w:sz w:val="20"/>
                <w:szCs w:val="20"/>
                <w:color w:val="auto"/>
              </w:rPr>
            </w:pPr>
            <w:r>
              <w:rPr>
                <w:rFonts w:ascii="Arial" w:cs="Arial" w:eastAsia="Arial" w:hAnsi="Arial"/>
                <w:sz w:val="22"/>
                <w:szCs w:val="22"/>
                <w:color w:val="auto"/>
              </w:rPr>
              <w:t>Total of investments (cost—$1,165,572,291 and $1,257,022,715,</w:t>
            </w: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70"/>
        </w:trPr>
        <w:tc>
          <w:tcPr>
            <w:tcW w:w="684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4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1,081,771,418</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1,219,432,796</w:t>
            </w:r>
          </w:p>
        </w:tc>
      </w:tr>
      <w:tr>
        <w:trPr>
          <w:trHeight w:val="243"/>
        </w:trPr>
        <w:tc>
          <w:tcPr>
            <w:tcW w:w="6840" w:type="dxa"/>
            <w:vAlign w:val="bottom"/>
          </w:tcPr>
          <w:p>
            <w:pPr>
              <w:spacing w:after="0" w:line="243" w:lineRule="exact"/>
              <w:rPr>
                <w:sz w:val="20"/>
                <w:szCs w:val="20"/>
                <w:color w:val="auto"/>
              </w:rPr>
            </w:pPr>
            <w:r>
              <w:rPr>
                <w:rFonts w:ascii="Arial" w:cs="Arial" w:eastAsia="Arial" w:hAnsi="Arial"/>
                <w:sz w:val="22"/>
                <w:szCs w:val="22"/>
                <w:color w:val="auto"/>
              </w:rPr>
              <w:t>Cash and cash equivalents (cost—$25,801,087 and $59,546,438,</w:t>
            </w: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22"/>
                <w:szCs w:val="22"/>
                <w:color w:val="auto"/>
              </w:rPr>
              <w:t>respectively)</w:t>
            </w:r>
          </w:p>
        </w:tc>
        <w:tc>
          <w:tcPr>
            <w:tcW w:w="4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25,806,002</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59,516,236</w:t>
            </w:r>
          </w:p>
        </w:tc>
      </w:tr>
      <w:tr>
        <w:trPr>
          <w:trHeight w:val="270"/>
        </w:trPr>
        <w:tc>
          <w:tcPr>
            <w:tcW w:w="6840" w:type="dxa"/>
            <w:vAlign w:val="bottom"/>
          </w:tcPr>
          <w:p>
            <w:pPr>
              <w:spacing w:after="0"/>
              <w:rPr>
                <w:sz w:val="20"/>
                <w:szCs w:val="20"/>
                <w:color w:val="auto"/>
              </w:rPr>
            </w:pPr>
            <w:r>
              <w:rPr>
                <w:rFonts w:ascii="Arial" w:cs="Arial" w:eastAsia="Arial" w:hAnsi="Arial"/>
                <w:sz w:val="22"/>
                <w:szCs w:val="22"/>
                <w:color w:val="auto"/>
              </w:rPr>
              <w:t>Interest receivable</w:t>
            </w:r>
          </w:p>
        </w:tc>
        <w:tc>
          <w:tcPr>
            <w:tcW w:w="4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5,005,715</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6,226,539</w:t>
            </w:r>
          </w:p>
        </w:tc>
      </w:tr>
      <w:tr>
        <w:trPr>
          <w:trHeight w:val="270"/>
        </w:trPr>
        <w:tc>
          <w:tcPr>
            <w:tcW w:w="6840" w:type="dxa"/>
            <w:vAlign w:val="bottom"/>
          </w:tcPr>
          <w:p>
            <w:pPr>
              <w:spacing w:after="0"/>
              <w:rPr>
                <w:sz w:val="20"/>
                <w:szCs w:val="20"/>
                <w:color w:val="auto"/>
              </w:rPr>
            </w:pPr>
            <w:r>
              <w:rPr>
                <w:rFonts w:ascii="Arial" w:cs="Arial" w:eastAsia="Arial" w:hAnsi="Arial"/>
                <w:sz w:val="22"/>
                <w:szCs w:val="22"/>
                <w:color w:val="auto"/>
              </w:rPr>
              <w:t>Distribution receivable</w:t>
            </w:r>
          </w:p>
        </w:tc>
        <w:tc>
          <w:tcPr>
            <w:tcW w:w="4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1,393,716</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4"/>
        </w:trPr>
        <w:tc>
          <w:tcPr>
            <w:tcW w:w="684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4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376,030</w:t>
            </w:r>
          </w:p>
        </w:tc>
        <w:tc>
          <w:tcPr>
            <w:tcW w:w="3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662,442</w:t>
            </w:r>
          </w:p>
        </w:tc>
      </w:tr>
      <w:tr>
        <w:trPr>
          <w:trHeight w:val="267"/>
        </w:trPr>
        <w:tc>
          <w:tcPr>
            <w:tcW w:w="6840" w:type="dxa"/>
            <w:vAlign w:val="bottom"/>
          </w:tcPr>
          <w:p>
            <w:pPr>
              <w:ind w:left="820"/>
              <w:spacing w:after="0"/>
              <w:rPr>
                <w:sz w:val="20"/>
                <w:szCs w:val="20"/>
                <w:color w:val="auto"/>
              </w:rPr>
            </w:pPr>
            <w:r>
              <w:rPr>
                <w:rFonts w:ascii="Arial" w:cs="Arial" w:eastAsia="Arial" w:hAnsi="Arial"/>
                <w:sz w:val="22"/>
                <w:szCs w:val="22"/>
                <w:b w:val="1"/>
                <w:bCs w:val="1"/>
                <w:color w:val="auto"/>
              </w:rPr>
              <w:t>Total assets</w:t>
            </w:r>
          </w:p>
        </w:tc>
        <w:tc>
          <w:tcPr>
            <w:tcW w:w="4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1,114,352,881</w:t>
            </w:r>
          </w:p>
        </w:tc>
        <w:tc>
          <w:tcPr>
            <w:tcW w:w="3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1,285,838,013</w:t>
            </w:r>
          </w:p>
        </w:tc>
      </w:tr>
      <w:tr>
        <w:trPr>
          <w:trHeight w:val="256"/>
        </w:trPr>
        <w:tc>
          <w:tcPr>
            <w:tcW w:w="684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4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22"/>
                <w:szCs w:val="22"/>
                <w:color w:val="auto"/>
              </w:rPr>
              <w:t>Distributions payable</w:t>
            </w:r>
          </w:p>
        </w:tc>
        <w:tc>
          <w:tcPr>
            <w:tcW w:w="4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8,045,413</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12,068,119</w:t>
            </w:r>
          </w:p>
        </w:tc>
      </w:tr>
      <w:tr>
        <w:trPr>
          <w:trHeight w:val="270"/>
        </w:trPr>
        <w:tc>
          <w:tcPr>
            <w:tcW w:w="684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4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5,461,508</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43"/>
        </w:trPr>
        <w:tc>
          <w:tcPr>
            <w:tcW w:w="6840" w:type="dxa"/>
            <w:vAlign w:val="bottom"/>
          </w:tcPr>
          <w:p>
            <w:pPr>
              <w:spacing w:after="0" w:line="243" w:lineRule="exact"/>
              <w:rPr>
                <w:sz w:val="20"/>
                <w:szCs w:val="20"/>
                <w:color w:val="auto"/>
              </w:rPr>
            </w:pPr>
            <w:r>
              <w:rPr>
                <w:rFonts w:ascii="Arial" w:cs="Arial" w:eastAsia="Arial" w:hAnsi="Arial"/>
                <w:sz w:val="22"/>
                <w:szCs w:val="22"/>
                <w:color w:val="auto"/>
                <w:w w:val="97"/>
              </w:rPr>
              <w:t>BNP Credit Facility payable, at fair value (cost—zero and $171,000,000,</w:t>
            </w: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22"/>
                <w:szCs w:val="22"/>
                <w:color w:val="auto"/>
              </w:rPr>
              <w:t>respectively)</w:t>
            </w:r>
          </w:p>
        </w:tc>
        <w:tc>
          <w:tcPr>
            <w:tcW w:w="4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170,145,000</w:t>
            </w:r>
          </w:p>
        </w:tc>
      </w:tr>
      <w:tr>
        <w:trPr>
          <w:trHeight w:val="243"/>
        </w:trPr>
        <w:tc>
          <w:tcPr>
            <w:tcW w:w="6840" w:type="dxa"/>
            <w:vAlign w:val="bottom"/>
          </w:tcPr>
          <w:p>
            <w:pPr>
              <w:spacing w:after="0" w:line="243" w:lineRule="exact"/>
              <w:rPr>
                <w:sz w:val="20"/>
                <w:szCs w:val="20"/>
                <w:color w:val="auto"/>
              </w:rPr>
            </w:pPr>
            <w:r>
              <w:rPr>
                <w:rFonts w:ascii="Arial" w:cs="Arial" w:eastAsia="Arial" w:hAnsi="Arial"/>
                <w:sz w:val="22"/>
                <w:szCs w:val="22"/>
                <w:color w:val="auto"/>
              </w:rPr>
              <w:t>Truist Credit Facility payable, at fair value (cost—$388,252,000 and</w:t>
            </w: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22"/>
                <w:szCs w:val="22"/>
                <w:color w:val="auto"/>
              </w:rPr>
              <w:t>$301,636,000, respectively)</w:t>
            </w:r>
          </w:p>
        </w:tc>
        <w:tc>
          <w:tcPr>
            <w:tcW w:w="4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368,701,972</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295,245,214</w:t>
            </w:r>
          </w:p>
        </w:tc>
      </w:tr>
      <w:tr>
        <w:trPr>
          <w:trHeight w:val="270"/>
        </w:trPr>
        <w:tc>
          <w:tcPr>
            <w:tcW w:w="6840" w:type="dxa"/>
            <w:vAlign w:val="bottom"/>
          </w:tcPr>
          <w:p>
            <w:pPr>
              <w:spacing w:after="0"/>
              <w:rPr>
                <w:sz w:val="20"/>
                <w:szCs w:val="20"/>
                <w:color w:val="auto"/>
              </w:rPr>
            </w:pPr>
            <w:r>
              <w:rPr>
                <w:rFonts w:ascii="Arial" w:cs="Arial" w:eastAsia="Arial" w:hAnsi="Arial"/>
                <w:sz w:val="22"/>
                <w:szCs w:val="22"/>
                <w:color w:val="auto"/>
                <w:w w:val="92"/>
              </w:rPr>
              <w:t>2024 Notes payable, net (par—$86,250,000 and $75,000,000, respectively)</w:t>
            </w:r>
          </w:p>
        </w:tc>
        <w:tc>
          <w:tcPr>
            <w:tcW w:w="4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83,837,560</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72,256,607</w:t>
            </w:r>
          </w:p>
        </w:tc>
      </w:tr>
      <w:tr>
        <w:trPr>
          <w:trHeight w:val="243"/>
        </w:trPr>
        <w:tc>
          <w:tcPr>
            <w:tcW w:w="6840" w:type="dxa"/>
            <w:vAlign w:val="bottom"/>
          </w:tcPr>
          <w:p>
            <w:pPr>
              <w:spacing w:after="0" w:line="243" w:lineRule="exact"/>
              <w:rPr>
                <w:sz w:val="20"/>
                <w:szCs w:val="20"/>
                <w:color w:val="auto"/>
              </w:rPr>
            </w:pPr>
            <w:r>
              <w:rPr>
                <w:rFonts w:ascii="Arial" w:cs="Arial" w:eastAsia="Arial" w:hAnsi="Arial"/>
                <w:sz w:val="22"/>
                <w:szCs w:val="22"/>
                <w:color w:val="auto"/>
              </w:rPr>
              <w:t>SBA debentures payable, net (par—$118,500,000 and $150,000,000,</w:t>
            </w: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22"/>
                <w:szCs w:val="22"/>
                <w:color w:val="auto"/>
              </w:rPr>
              <w:t>respectively)</w:t>
            </w:r>
          </w:p>
        </w:tc>
        <w:tc>
          <w:tcPr>
            <w:tcW w:w="4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115,772,677</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146,111,055</w:t>
            </w:r>
          </w:p>
        </w:tc>
      </w:tr>
      <w:tr>
        <w:trPr>
          <w:trHeight w:val="270"/>
        </w:trPr>
        <w:tc>
          <w:tcPr>
            <w:tcW w:w="6840" w:type="dxa"/>
            <w:vAlign w:val="bottom"/>
          </w:tcPr>
          <w:p>
            <w:pPr>
              <w:spacing w:after="0"/>
              <w:rPr>
                <w:sz w:val="20"/>
                <w:szCs w:val="20"/>
                <w:color w:val="auto"/>
              </w:rPr>
            </w:pPr>
            <w:r>
              <w:rPr>
                <w:rFonts w:ascii="Arial" w:cs="Arial" w:eastAsia="Arial" w:hAnsi="Arial"/>
                <w:sz w:val="22"/>
                <w:szCs w:val="22"/>
                <w:color w:val="auto"/>
              </w:rPr>
              <w:t>Base management fee payable, net</w:t>
            </w:r>
          </w:p>
        </w:tc>
        <w:tc>
          <w:tcPr>
            <w:tcW w:w="4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4,369,637</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4,641,480</w:t>
            </w:r>
          </w:p>
        </w:tc>
      </w:tr>
      <w:tr>
        <w:trPr>
          <w:trHeight w:val="270"/>
        </w:trPr>
        <w:tc>
          <w:tcPr>
            <w:tcW w:w="684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4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2,022,614</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2,895,695</w:t>
            </w:r>
          </w:p>
        </w:tc>
      </w:tr>
      <w:tr>
        <w:trPr>
          <w:trHeight w:val="274"/>
        </w:trPr>
        <w:tc>
          <w:tcPr>
            <w:tcW w:w="6840" w:type="dxa"/>
            <w:vAlign w:val="bottom"/>
          </w:tcPr>
          <w:p>
            <w:pPr>
              <w:spacing w:after="0"/>
              <w:rPr>
                <w:sz w:val="20"/>
                <w:szCs w:val="20"/>
                <w:color w:val="auto"/>
              </w:rPr>
            </w:pPr>
            <w:r>
              <w:rPr>
                <w:rFonts w:ascii="Arial" w:cs="Arial" w:eastAsia="Arial" w:hAnsi="Arial"/>
                <w:sz w:val="22"/>
                <w:szCs w:val="22"/>
                <w:color w:val="auto"/>
              </w:rPr>
              <w:t>Accrued other expenses</w:t>
            </w:r>
          </w:p>
        </w:tc>
        <w:tc>
          <w:tcPr>
            <w:tcW w:w="4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432,648</w:t>
            </w:r>
          </w:p>
        </w:tc>
        <w:tc>
          <w:tcPr>
            <w:tcW w:w="3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569,175</w:t>
            </w:r>
          </w:p>
        </w:tc>
      </w:tr>
      <w:tr>
        <w:trPr>
          <w:trHeight w:val="267"/>
        </w:trPr>
        <w:tc>
          <w:tcPr>
            <w:tcW w:w="6840" w:type="dxa"/>
            <w:vAlign w:val="bottom"/>
          </w:tcPr>
          <w:p>
            <w:pPr>
              <w:ind w:left="820"/>
              <w:spacing w:after="0"/>
              <w:rPr>
                <w:sz w:val="20"/>
                <w:szCs w:val="20"/>
                <w:color w:val="auto"/>
              </w:rPr>
            </w:pPr>
            <w:r>
              <w:rPr>
                <w:rFonts w:ascii="Arial" w:cs="Arial" w:eastAsia="Arial" w:hAnsi="Arial"/>
                <w:sz w:val="22"/>
                <w:szCs w:val="22"/>
                <w:b w:val="1"/>
                <w:bCs w:val="1"/>
                <w:color w:val="auto"/>
              </w:rPr>
              <w:t>Total liabilities</w:t>
            </w:r>
          </w:p>
        </w:tc>
        <w:tc>
          <w:tcPr>
            <w:tcW w:w="4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588,644,029</w:t>
            </w:r>
          </w:p>
        </w:tc>
        <w:tc>
          <w:tcPr>
            <w:tcW w:w="3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703,932,345</w:t>
            </w:r>
          </w:p>
        </w:tc>
      </w:tr>
      <w:tr>
        <w:trPr>
          <w:trHeight w:val="250"/>
        </w:trPr>
        <w:tc>
          <w:tcPr>
            <w:tcW w:w="684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6"/>
        </w:trPr>
        <w:tc>
          <w:tcPr>
            <w:tcW w:w="684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3"/>
        </w:trPr>
        <w:tc>
          <w:tcPr>
            <w:tcW w:w="6840" w:type="dxa"/>
            <w:vAlign w:val="bottom"/>
          </w:tcPr>
          <w:p>
            <w:pPr>
              <w:spacing w:after="0" w:line="243" w:lineRule="exact"/>
              <w:rPr>
                <w:sz w:val="20"/>
                <w:szCs w:val="20"/>
                <w:color w:val="auto"/>
              </w:rPr>
            </w:pPr>
            <w:r>
              <w:rPr>
                <w:rFonts w:ascii="Arial" w:cs="Arial" w:eastAsia="Arial" w:hAnsi="Arial"/>
                <w:sz w:val="22"/>
                <w:szCs w:val="22"/>
                <w:color w:val="auto"/>
                <w:w w:val="92"/>
              </w:rPr>
              <w:t>Common stock, 67,045,105 and 67,045,105 shares issued and outstanding,</w:t>
            </w: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6840" w:type="dxa"/>
            <w:vAlign w:val="bottom"/>
          </w:tcPr>
          <w:p>
            <w:pPr>
              <w:spacing w:after="0" w:line="243" w:lineRule="exact"/>
              <w:rPr>
                <w:sz w:val="20"/>
                <w:szCs w:val="20"/>
                <w:color w:val="auto"/>
              </w:rPr>
            </w:pPr>
            <w:r>
              <w:rPr>
                <w:rFonts w:ascii="Arial" w:cs="Arial" w:eastAsia="Arial" w:hAnsi="Arial"/>
                <w:sz w:val="22"/>
                <w:szCs w:val="22"/>
                <w:color w:val="auto"/>
              </w:rPr>
              <w:t>respectively.</w:t>
            </w: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22"/>
                <w:szCs w:val="22"/>
                <w:color w:val="auto"/>
              </w:rPr>
              <w:t>Par value $0.001 per share and 100,000,000 shares authorized</w:t>
            </w:r>
          </w:p>
        </w:tc>
        <w:tc>
          <w:tcPr>
            <w:tcW w:w="4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67,045</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67,045</w:t>
            </w:r>
          </w:p>
        </w:tc>
      </w:tr>
      <w:tr>
        <w:trPr>
          <w:trHeight w:val="274"/>
        </w:trPr>
        <w:tc>
          <w:tcPr>
            <w:tcW w:w="684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4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787,625,031</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788,192,159</w:t>
            </w:r>
          </w:p>
        </w:tc>
      </w:tr>
    </w:tbl>
    <w:p>
      <w:pPr>
        <w:sectPr>
          <w:pgSz w:w="11900" w:h="16928" w:orient="portrait"/>
          <w:cols w:equalWidth="0" w:num="1">
            <w:col w:w="11240"/>
          </w:cols>
          <w:pgMar w:left="320" w:top="118" w:right="339" w:bottom="0" w:gutter="0" w:footer="0" w:header="0"/>
        </w:sectPr>
      </w:pPr>
    </w:p>
    <w:bookmarkStart w:id="8" w:name="page9"/>
    <w:bookmarkEnd w:id="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6840" w:type="dxa"/>
            <w:vAlign w:val="bottom"/>
          </w:tcPr>
          <w:p>
            <w:pPr>
              <w:spacing w:after="0"/>
              <w:rPr>
                <w:sz w:val="20"/>
                <w:szCs w:val="20"/>
                <w:color w:val="auto"/>
              </w:rPr>
            </w:pPr>
            <w:r>
              <w:rPr>
                <w:rFonts w:ascii="Arial" w:cs="Arial" w:eastAsia="Arial" w:hAnsi="Arial"/>
                <w:sz w:val="22"/>
                <w:szCs w:val="22"/>
                <w:color w:val="auto"/>
              </w:rPr>
              <w:t>Accumulated distributable loss</w:t>
            </w:r>
          </w:p>
        </w:tc>
        <w:tc>
          <w:tcPr>
            <w:tcW w:w="400" w:type="dxa"/>
            <w:vAlign w:val="bottom"/>
          </w:tcPr>
          <w:p>
            <w:pPr>
              <w:spacing w:after="0"/>
              <w:rPr>
                <w:sz w:val="23"/>
                <w:szCs w:val="23"/>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22"/>
                <w:szCs w:val="22"/>
                <w:color w:val="auto"/>
              </w:rPr>
              <w:t>(261,983,224)</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0" w:type="dxa"/>
            <w:vAlign w:val="bottom"/>
            <w:gridSpan w:val="3"/>
          </w:tcPr>
          <w:p>
            <w:pPr>
              <w:jc w:val="right"/>
              <w:spacing w:after="0"/>
              <w:rPr>
                <w:sz w:val="20"/>
                <w:szCs w:val="20"/>
                <w:color w:val="auto"/>
              </w:rPr>
            </w:pPr>
            <w:r>
              <w:rPr>
                <w:rFonts w:ascii="Arial" w:cs="Arial" w:eastAsia="Arial" w:hAnsi="Arial"/>
                <w:sz w:val="22"/>
                <w:szCs w:val="22"/>
                <w:color w:val="auto"/>
              </w:rPr>
              <w:t>(206,353,536)</w:t>
            </w:r>
          </w:p>
        </w:tc>
      </w:tr>
      <w:tr>
        <w:trPr>
          <w:trHeight w:val="267"/>
        </w:trPr>
        <w:tc>
          <w:tcPr>
            <w:tcW w:w="6840" w:type="dxa"/>
            <w:vAlign w:val="bottom"/>
          </w:tcPr>
          <w:p>
            <w:pPr>
              <w:ind w:left="820"/>
              <w:spacing w:after="0"/>
              <w:rPr>
                <w:sz w:val="20"/>
                <w:szCs w:val="20"/>
                <w:color w:val="auto"/>
              </w:rPr>
            </w:pPr>
            <w:r>
              <w:rPr>
                <w:rFonts w:ascii="Arial" w:cs="Arial" w:eastAsia="Arial" w:hAnsi="Arial"/>
                <w:sz w:val="22"/>
                <w:szCs w:val="22"/>
                <w:b w:val="1"/>
                <w:bCs w:val="1"/>
                <w:color w:val="auto"/>
              </w:rPr>
              <w:t>Total net assets</w:t>
            </w:r>
          </w:p>
        </w:tc>
        <w:tc>
          <w:tcPr>
            <w:tcW w:w="4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22"/>
                <w:szCs w:val="22"/>
                <w:color w:val="auto"/>
                <w:w w:val="8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525,708,852</w:t>
            </w:r>
          </w:p>
        </w:tc>
        <w:tc>
          <w:tcPr>
            <w:tcW w:w="3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581,905,668</w:t>
            </w:r>
          </w:p>
        </w:tc>
        <w:tc>
          <w:tcPr>
            <w:tcW w:w="60" w:type="dxa"/>
            <w:vAlign w:val="bottom"/>
          </w:tcPr>
          <w:p>
            <w:pPr>
              <w:spacing w:after="0"/>
              <w:rPr>
                <w:sz w:val="23"/>
                <w:szCs w:val="23"/>
                <w:color w:val="auto"/>
              </w:rPr>
            </w:pPr>
          </w:p>
        </w:tc>
      </w:tr>
      <w:tr>
        <w:trPr>
          <w:trHeight w:val="263"/>
        </w:trPr>
        <w:tc>
          <w:tcPr>
            <w:tcW w:w="6840" w:type="dxa"/>
            <w:vAlign w:val="bottom"/>
          </w:tcPr>
          <w:p>
            <w:pPr>
              <w:ind w:left="820"/>
              <w:spacing w:after="0"/>
              <w:rPr>
                <w:sz w:val="20"/>
                <w:szCs w:val="20"/>
                <w:color w:val="auto"/>
              </w:rPr>
            </w:pPr>
            <w:r>
              <w:rPr>
                <w:rFonts w:ascii="Arial" w:cs="Arial" w:eastAsia="Arial" w:hAnsi="Arial"/>
                <w:sz w:val="22"/>
                <w:szCs w:val="22"/>
                <w:b w:val="1"/>
                <w:bCs w:val="1"/>
                <w:color w:val="auto"/>
              </w:rPr>
              <w:t>Total liabilities and net assets</w:t>
            </w:r>
          </w:p>
        </w:tc>
        <w:tc>
          <w:tcPr>
            <w:tcW w:w="40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w w:val="8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1,114,352,881</w:t>
            </w:r>
          </w:p>
        </w:tc>
        <w:tc>
          <w:tcPr>
            <w:tcW w:w="320" w:type="dxa"/>
            <w:vAlign w:val="bottom"/>
          </w:tcPr>
          <w:p>
            <w:pPr>
              <w:spacing w:after="0"/>
              <w:rPr>
                <w:sz w:val="22"/>
                <w:szCs w:val="22"/>
                <w:color w:val="auto"/>
              </w:rPr>
            </w:pPr>
          </w:p>
        </w:tc>
        <w:tc>
          <w:tcPr>
            <w:tcW w:w="380" w:type="dxa"/>
            <w:vAlign w:val="bottom"/>
            <w:tcBorders>
              <w:bottom w:val="single" w:sz="8" w:color="auto"/>
            </w:tcBorders>
            <w:gridSpan w:val="2"/>
          </w:tcPr>
          <w:p>
            <w:pPr>
              <w:jc w:val="right"/>
              <w:ind w:right="204"/>
              <w:spacing w:after="0"/>
              <w:rPr>
                <w:sz w:val="20"/>
                <w:szCs w:val="20"/>
                <w:color w:val="auto"/>
              </w:rPr>
            </w:pPr>
            <w:r>
              <w:rPr>
                <w:rFonts w:ascii="Arial" w:cs="Arial" w:eastAsia="Arial" w:hAnsi="Arial"/>
                <w:sz w:val="19"/>
                <w:szCs w:val="19"/>
                <w:color w:val="auto"/>
                <w:w w:val="75"/>
              </w:rPr>
              <w:t>$</w:t>
            </w:r>
          </w:p>
        </w:tc>
        <w:tc>
          <w:tcPr>
            <w:tcW w:w="1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1,285,838,013</w:t>
            </w:r>
          </w:p>
        </w:tc>
        <w:tc>
          <w:tcPr>
            <w:tcW w:w="60" w:type="dxa"/>
            <w:vAlign w:val="bottom"/>
          </w:tcPr>
          <w:p>
            <w:pPr>
              <w:spacing w:after="0"/>
              <w:rPr>
                <w:sz w:val="22"/>
                <w:szCs w:val="22"/>
                <w:color w:val="auto"/>
              </w:rPr>
            </w:pPr>
          </w:p>
        </w:tc>
      </w:tr>
      <w:tr>
        <w:trPr>
          <w:trHeight w:val="21"/>
        </w:trPr>
        <w:tc>
          <w:tcPr>
            <w:tcW w:w="6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84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4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22"/>
                <w:szCs w:val="22"/>
                <w:color w:val="auto"/>
                <w:w w:val="8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7.84</w:t>
            </w:r>
          </w:p>
        </w:tc>
        <w:tc>
          <w:tcPr>
            <w:tcW w:w="3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8.68</w:t>
            </w: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0"/>
        </w:trPr>
        <w:tc>
          <w:tcPr>
            <w:tcW w:w="6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 AND SUBSIDIARIES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CONSOLIDATED STATEMENTS OF OPERATIONS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6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00" w:type="dxa"/>
            <w:vAlign w:val="bottom"/>
            <w:gridSpan w:val="11"/>
          </w:tcPr>
          <w:p>
            <w:pPr>
              <w:jc w:val="right"/>
              <w:ind w:right="880"/>
              <w:spacing w:after="0"/>
              <w:rPr>
                <w:sz w:val="20"/>
                <w:szCs w:val="20"/>
                <w:color w:val="auto"/>
              </w:rPr>
            </w:pPr>
            <w:r>
              <w:rPr>
                <w:rFonts w:ascii="Arial" w:cs="Arial" w:eastAsia="Arial" w:hAnsi="Arial"/>
                <w:sz w:val="22"/>
                <w:szCs w:val="22"/>
                <w:b w:val="1"/>
                <w:bCs w:val="1"/>
                <w:color w:val="auto"/>
              </w:rPr>
              <w:t>Years Ended September 30,</w:t>
            </w:r>
          </w:p>
        </w:tc>
        <w:tc>
          <w:tcPr>
            <w:tcW w:w="0" w:type="dxa"/>
            <w:vAlign w:val="bottom"/>
          </w:tcPr>
          <w:p>
            <w:pPr>
              <w:spacing w:after="0"/>
              <w:rPr>
                <w:sz w:val="1"/>
                <w:szCs w:val="1"/>
                <w:color w:val="auto"/>
              </w:rPr>
            </w:pPr>
          </w:p>
        </w:tc>
      </w:tr>
      <w:tr>
        <w:trPr>
          <w:trHeight w:val="265"/>
        </w:trPr>
        <w:tc>
          <w:tcPr>
            <w:tcW w:w="6960" w:type="dxa"/>
            <w:vAlign w:val="bottom"/>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2020</w:t>
            </w:r>
          </w:p>
        </w:tc>
        <w:tc>
          <w:tcPr>
            <w:tcW w:w="1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2019</w:t>
            </w:r>
          </w:p>
        </w:tc>
        <w:tc>
          <w:tcPr>
            <w:tcW w:w="2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2018</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960" w:type="dxa"/>
            <w:vAlign w:val="bottom"/>
          </w:tcPr>
          <w:p>
            <w:pPr>
              <w:spacing w:after="0"/>
              <w:rPr>
                <w:sz w:val="20"/>
                <w:szCs w:val="20"/>
                <w:color w:val="auto"/>
              </w:rPr>
            </w:pPr>
            <w:r>
              <w:rPr>
                <w:rFonts w:ascii="Arial" w:cs="Arial" w:eastAsia="Arial" w:hAnsi="Arial"/>
                <w:sz w:val="22"/>
                <w:szCs w:val="22"/>
                <w:b w:val="1"/>
                <w:bCs w:val="1"/>
                <w:color w:val="auto"/>
              </w:rPr>
              <w:t>Investment income:</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100" w:type="dxa"/>
            <w:vAlign w:val="bottom"/>
          </w:tcPr>
          <w:p>
            <w:pPr>
              <w:jc w:val="right"/>
              <w:spacing w:after="0"/>
              <w:rPr>
                <w:sz w:val="20"/>
                <w:szCs w:val="20"/>
                <w:color w:val="auto"/>
              </w:rPr>
            </w:pPr>
            <w:r>
              <w:rPr>
                <w:rFonts w:ascii="Arial" w:cs="Arial" w:eastAsia="Arial" w:hAnsi="Arial"/>
                <w:sz w:val="22"/>
                <w:szCs w:val="22"/>
                <w:color w:val="auto"/>
                <w:w w:val="98"/>
              </w:rPr>
              <w:t>77,453,276</w:t>
            </w:r>
          </w:p>
        </w:tc>
        <w:tc>
          <w:tcPr>
            <w:tcW w:w="14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88,060,418</w:t>
            </w:r>
          </w:p>
        </w:tc>
        <w:tc>
          <w:tcPr>
            <w:tcW w:w="22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Arial" w:cs="Arial" w:eastAsia="Arial" w:hAnsi="Arial"/>
                <w:sz w:val="22"/>
                <w:szCs w:val="22"/>
                <w:color w:val="auto"/>
                <w:w w:val="81"/>
              </w:rPr>
              <w:t>$</w:t>
            </w: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w w:val="98"/>
              </w:rPr>
              <w:t>83,255,593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260"/>
              <w:spacing w:after="0"/>
              <w:rPr>
                <w:sz w:val="20"/>
                <w:szCs w:val="20"/>
                <w:color w:val="auto"/>
              </w:rPr>
            </w:pPr>
            <w:r>
              <w:rPr>
                <w:rFonts w:ascii="Arial" w:cs="Arial" w:eastAsia="Arial" w:hAnsi="Arial"/>
                <w:sz w:val="22"/>
                <w:szCs w:val="22"/>
                <w:color w:val="auto"/>
              </w:rPr>
              <w:t>Payment in kind</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7,233,317</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6,445,122</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rPr>
              <w:t>5,645,535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4,821,510</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3,122,988</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rPr>
              <w:t>6,981,507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20" w:type="dxa"/>
            <w:vAlign w:val="bottom"/>
          </w:tcPr>
          <w:p>
            <w:pPr>
              <w:spacing w:after="0"/>
              <w:rPr>
                <w:sz w:val="23"/>
                <w:szCs w:val="23"/>
                <w:color w:val="auto"/>
              </w:rPr>
            </w:pPr>
          </w:p>
        </w:tc>
        <w:tc>
          <w:tcPr>
            <w:tcW w:w="1240" w:type="dxa"/>
            <w:vAlign w:val="bottom"/>
            <w:gridSpan w:val="2"/>
          </w:tcPr>
          <w:p>
            <w:pPr>
              <w:jc w:val="right"/>
              <w:ind w:right="3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rPr>
              <w:t>3,013,976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260"/>
              <w:spacing w:after="0"/>
              <w:rPr>
                <w:sz w:val="20"/>
                <w:szCs w:val="20"/>
                <w:color w:val="auto"/>
              </w:rPr>
            </w:pPr>
            <w:r>
              <w:rPr>
                <w:rFonts w:ascii="Arial" w:cs="Arial" w:eastAsia="Arial" w:hAnsi="Arial"/>
                <w:sz w:val="22"/>
                <w:szCs w:val="22"/>
                <w:color w:val="auto"/>
              </w:rPr>
              <w:t>Payment in kind</w:t>
            </w:r>
          </w:p>
        </w:tc>
        <w:tc>
          <w:tcPr>
            <w:tcW w:w="120" w:type="dxa"/>
            <w:vAlign w:val="bottom"/>
          </w:tcPr>
          <w:p>
            <w:pPr>
              <w:spacing w:after="0"/>
              <w:rPr>
                <w:sz w:val="23"/>
                <w:szCs w:val="23"/>
                <w:color w:val="auto"/>
              </w:rPr>
            </w:pPr>
          </w:p>
        </w:tc>
        <w:tc>
          <w:tcPr>
            <w:tcW w:w="1240" w:type="dxa"/>
            <w:vAlign w:val="bottom"/>
            <w:gridSpan w:val="2"/>
          </w:tcPr>
          <w:p>
            <w:pPr>
              <w:jc w:val="right"/>
              <w:ind w:right="3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rPr>
              <w:t>2,031,589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3,387,858</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9,381,881</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rPr>
              <w:t>4,499,350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260"/>
              <w:spacing w:after="0"/>
              <w:rPr>
                <w:sz w:val="20"/>
                <w:szCs w:val="20"/>
                <w:color w:val="auto"/>
              </w:rPr>
            </w:pPr>
            <w:r>
              <w:rPr>
                <w:rFonts w:ascii="Arial" w:cs="Arial" w:eastAsia="Arial" w:hAnsi="Arial"/>
                <w:sz w:val="22"/>
                <w:szCs w:val="22"/>
                <w:color w:val="auto"/>
              </w:rPr>
              <w:t>Payment in kind</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7,328,846</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4,319,300</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rPr>
              <w:t>2,850,498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96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120" w:type="dxa"/>
            <w:vAlign w:val="bottom"/>
          </w:tcPr>
          <w:p>
            <w:pPr>
              <w:spacing w:after="0"/>
              <w:rPr>
                <w:sz w:val="23"/>
                <w:szCs w:val="23"/>
                <w:color w:val="auto"/>
              </w:rPr>
            </w:pPr>
          </w:p>
        </w:tc>
        <w:tc>
          <w:tcPr>
            <w:tcW w:w="1240" w:type="dxa"/>
            <w:vAlign w:val="bottom"/>
            <w:gridSpan w:val="2"/>
          </w:tcPr>
          <w:p>
            <w:pPr>
              <w:jc w:val="right"/>
              <w:ind w:right="3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776,945</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7"/>
        </w:trPr>
        <w:tc>
          <w:tcPr>
            <w:tcW w:w="6960" w:type="dxa"/>
            <w:vAlign w:val="bottom"/>
          </w:tcPr>
          <w:p>
            <w:pPr>
              <w:ind w:left="260"/>
              <w:spacing w:after="0"/>
              <w:rPr>
                <w:sz w:val="20"/>
                <w:szCs w:val="20"/>
                <w:color w:val="auto"/>
              </w:rPr>
            </w:pPr>
            <w:r>
              <w:rPr>
                <w:rFonts w:ascii="Arial" w:cs="Arial" w:eastAsia="Arial" w:hAnsi="Arial"/>
                <w:sz w:val="22"/>
                <w:szCs w:val="22"/>
                <w:b w:val="1"/>
                <w:bCs w:val="1"/>
                <w:color w:val="auto"/>
              </w:rPr>
              <w:t>Total investment income</w:t>
            </w:r>
          </w:p>
        </w:tc>
        <w:tc>
          <w:tcPr>
            <w:tcW w:w="12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88"/>
              </w:rPr>
              <w:t>100,224,807</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91"/>
              </w:rPr>
              <w:t>112,106,654</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2"/>
                <w:szCs w:val="22"/>
                <w:color w:val="auto"/>
                <w:w w:val="88"/>
              </w:rPr>
              <w:t>108,278,048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96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1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260"/>
              <w:spacing w:after="0"/>
              <w:rPr>
                <w:sz w:val="20"/>
                <w:szCs w:val="20"/>
                <w:color w:val="auto"/>
              </w:rPr>
            </w:pPr>
            <w:r>
              <w:rPr>
                <w:rFonts w:ascii="Arial" w:cs="Arial" w:eastAsia="Arial" w:hAnsi="Arial"/>
                <w:sz w:val="22"/>
                <w:szCs w:val="22"/>
                <w:color w:val="auto"/>
              </w:rPr>
              <w:t>Base management fee</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8"/>
              </w:rPr>
              <w:t>18,636,039</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18,225,229</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w w:val="98"/>
              </w:rPr>
              <w:t>17,468,376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260"/>
              <w:spacing w:after="0"/>
              <w:rPr>
                <w:sz w:val="20"/>
                <w:szCs w:val="20"/>
                <w:color w:val="auto"/>
              </w:rPr>
            </w:pPr>
            <w:r>
              <w:rPr>
                <w:rFonts w:ascii="Arial" w:cs="Arial" w:eastAsia="Arial" w:hAnsi="Arial"/>
                <w:sz w:val="22"/>
                <w:szCs w:val="22"/>
                <w:color w:val="auto"/>
              </w:rPr>
              <w:t>Performance-based incentive fee</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4,579,660</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5,146,696</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w w:val="98"/>
              </w:rPr>
              <w:t>11,492,928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260"/>
              <w:spacing w:after="0"/>
              <w:rPr>
                <w:sz w:val="20"/>
                <w:szCs w:val="20"/>
                <w:color w:val="auto"/>
              </w:rPr>
            </w:pPr>
            <w:r>
              <w:rPr>
                <w:rFonts w:ascii="Arial" w:cs="Arial" w:eastAsia="Arial" w:hAnsi="Arial"/>
                <w:sz w:val="22"/>
                <w:szCs w:val="22"/>
                <w:color w:val="auto"/>
              </w:rPr>
              <w:t>Interest and expenses on debt</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8"/>
              </w:rPr>
              <w:t>32,167,755</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28,943,312</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w w:val="98"/>
              </w:rPr>
              <w:t>22,818,492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260"/>
              <w:spacing w:after="0"/>
              <w:rPr>
                <w:sz w:val="20"/>
                <w:szCs w:val="20"/>
                <w:color w:val="auto"/>
              </w:rPr>
            </w:pPr>
            <w:r>
              <w:rPr>
                <w:rFonts w:ascii="Arial" w:cs="Arial" w:eastAsia="Arial" w:hAnsi="Arial"/>
                <w:sz w:val="22"/>
                <w:szCs w:val="22"/>
                <w:color w:val="auto"/>
              </w:rPr>
              <w:t>Administrative services expenses</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2,075,080</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2,113,895</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rPr>
              <w:t>2,086,500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960" w:type="dxa"/>
            <w:vAlign w:val="bottom"/>
          </w:tcPr>
          <w:p>
            <w:pPr>
              <w:ind w:left="260"/>
              <w:spacing w:after="0"/>
              <w:rPr>
                <w:sz w:val="20"/>
                <w:szCs w:val="20"/>
                <w:color w:val="auto"/>
              </w:rPr>
            </w:pPr>
            <w:r>
              <w:rPr>
                <w:rFonts w:ascii="Arial" w:cs="Arial" w:eastAsia="Arial" w:hAnsi="Arial"/>
                <w:sz w:val="22"/>
                <w:szCs w:val="22"/>
                <w:color w:val="auto"/>
              </w:rPr>
              <w:t>Other general and administrative expenses</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2,573,920</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2,637,820</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rPr>
              <w:t>2,504,853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60"/>
              <w:spacing w:after="0" w:line="212" w:lineRule="exact"/>
              <w:rPr>
                <w:sz w:val="20"/>
                <w:szCs w:val="20"/>
                <w:color w:val="auto"/>
              </w:rPr>
            </w:pPr>
            <w:r>
              <w:rPr>
                <w:rFonts w:ascii="Arial" w:cs="Arial" w:eastAsia="Arial" w:hAnsi="Arial"/>
                <w:sz w:val="22"/>
                <w:szCs w:val="22"/>
                <w:b w:val="1"/>
                <w:bCs w:val="1"/>
                <w:color w:val="auto"/>
                <w:w w:val="95"/>
              </w:rPr>
              <w:t>Expenses before Management Fees waiver, provision for taxes and</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6960" w:type="dxa"/>
            <w:vAlign w:val="bottom"/>
          </w:tcPr>
          <w:p>
            <w:pPr>
              <w:ind w:left="260"/>
              <w:spacing w:after="0"/>
              <w:rPr>
                <w:sz w:val="20"/>
                <w:szCs w:val="20"/>
                <w:color w:val="auto"/>
              </w:rPr>
            </w:pPr>
            <w:r>
              <w:rPr>
                <w:rFonts w:ascii="Arial" w:cs="Arial" w:eastAsia="Arial" w:hAnsi="Arial"/>
                <w:sz w:val="22"/>
                <w:szCs w:val="22"/>
                <w:b w:val="1"/>
                <w:bCs w:val="1"/>
                <w:color w:val="auto"/>
              </w:rPr>
              <w:t>financing costs</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60,032,454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57,066,952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w w:val="98"/>
              </w:rPr>
              <w:t>56,371,149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960" w:type="dxa"/>
            <w:vAlign w:val="bottom"/>
          </w:tcPr>
          <w:p>
            <w:pPr>
              <w:ind w:left="260"/>
              <w:spacing w:after="0"/>
              <w:rPr>
                <w:sz w:val="20"/>
                <w:szCs w:val="20"/>
                <w:color w:val="auto"/>
              </w:rPr>
            </w:pPr>
            <w:r>
              <w:rPr>
                <w:rFonts w:ascii="Arial" w:cs="Arial" w:eastAsia="Arial" w:hAnsi="Arial"/>
                <w:sz w:val="22"/>
                <w:szCs w:val="22"/>
                <w:color w:val="auto"/>
              </w:rPr>
              <w:t>Management Fees waiver</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5"/>
              </w:rPr>
              <w:t>(1,921,987)</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w w:val="95"/>
              </w:rPr>
              <w:t>(1,427,253)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260"/>
              <w:spacing w:after="0"/>
              <w:rPr>
                <w:sz w:val="20"/>
                <w:szCs w:val="20"/>
                <w:color w:val="auto"/>
              </w:rPr>
            </w:pPr>
            <w:r>
              <w:rPr>
                <w:rFonts w:ascii="Arial" w:cs="Arial" w:eastAsia="Arial" w:hAnsi="Arial"/>
                <w:sz w:val="22"/>
                <w:szCs w:val="22"/>
                <w:color w:val="auto"/>
              </w:rPr>
              <w:t>Provision for taxes</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1,200,000</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1,200,000</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6960" w:type="dxa"/>
            <w:vAlign w:val="bottom"/>
          </w:tcPr>
          <w:p>
            <w:pPr>
              <w:ind w:left="260"/>
              <w:spacing w:after="0"/>
              <w:rPr>
                <w:sz w:val="20"/>
                <w:szCs w:val="20"/>
                <w:color w:val="auto"/>
              </w:rPr>
            </w:pPr>
            <w:r>
              <w:rPr>
                <w:rFonts w:ascii="Arial" w:cs="Arial" w:eastAsia="Arial" w:hAnsi="Arial"/>
                <w:sz w:val="22"/>
                <w:szCs w:val="22"/>
                <w:color w:val="auto"/>
              </w:rPr>
              <w:t>Make-whole premium</w:t>
            </w:r>
          </w:p>
        </w:tc>
        <w:tc>
          <w:tcPr>
            <w:tcW w:w="120" w:type="dxa"/>
            <w:vAlign w:val="bottom"/>
          </w:tcPr>
          <w:p>
            <w:pPr>
              <w:spacing w:after="0"/>
              <w:rPr>
                <w:sz w:val="23"/>
                <w:szCs w:val="23"/>
                <w:color w:val="auto"/>
              </w:rPr>
            </w:pPr>
          </w:p>
        </w:tc>
        <w:tc>
          <w:tcPr>
            <w:tcW w:w="1240" w:type="dxa"/>
            <w:vAlign w:val="bottom"/>
            <w:gridSpan w:val="2"/>
          </w:tcPr>
          <w:p>
            <w:pPr>
              <w:jc w:val="right"/>
              <w:ind w:right="3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2,162,526</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6960" w:type="dxa"/>
            <w:vAlign w:val="bottom"/>
          </w:tcPr>
          <w:p>
            <w:pPr>
              <w:ind w:left="260"/>
              <w:spacing w:after="0"/>
              <w:rPr>
                <w:sz w:val="20"/>
                <w:szCs w:val="20"/>
                <w:color w:val="auto"/>
              </w:rPr>
            </w:pPr>
            <w:r>
              <w:rPr>
                <w:rFonts w:ascii="Arial" w:cs="Arial" w:eastAsia="Arial" w:hAnsi="Arial"/>
                <w:sz w:val="22"/>
                <w:szCs w:val="22"/>
                <w:color w:val="auto"/>
              </w:rPr>
              <w:t>PSLF transaction costs</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2,184,128</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4"/>
        </w:trPr>
        <w:tc>
          <w:tcPr>
            <w:tcW w:w="6960" w:type="dxa"/>
            <w:vAlign w:val="bottom"/>
          </w:tcPr>
          <w:p>
            <w:pPr>
              <w:ind w:left="260"/>
              <w:spacing w:after="0"/>
              <w:rPr>
                <w:sz w:val="20"/>
                <w:szCs w:val="20"/>
                <w:color w:val="auto"/>
              </w:rPr>
            </w:pPr>
            <w:r>
              <w:rPr>
                <w:rFonts w:ascii="Arial" w:cs="Arial" w:eastAsia="Arial" w:hAnsi="Arial"/>
                <w:sz w:val="22"/>
                <w:szCs w:val="22"/>
                <w:color w:val="auto"/>
              </w:rPr>
              <w:t>Credit facility amendment and debt issuance costs</w:t>
            </w:r>
          </w:p>
        </w:tc>
        <w:tc>
          <w:tcPr>
            <w:tcW w:w="120" w:type="dxa"/>
            <w:vAlign w:val="bottom"/>
          </w:tcPr>
          <w:p>
            <w:pPr>
              <w:spacing w:after="0"/>
              <w:rPr>
                <w:sz w:val="23"/>
                <w:szCs w:val="23"/>
                <w:color w:val="auto"/>
              </w:rPr>
            </w:pPr>
          </w:p>
        </w:tc>
        <w:tc>
          <w:tcPr>
            <w:tcW w:w="1240" w:type="dxa"/>
            <w:vAlign w:val="bottom"/>
            <w:gridSpan w:val="2"/>
          </w:tcPr>
          <w:p>
            <w:pPr>
              <w:jc w:val="right"/>
              <w:ind w:right="3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7,080,205</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7"/>
        </w:trPr>
        <w:tc>
          <w:tcPr>
            <w:tcW w:w="6960" w:type="dxa"/>
            <w:vAlign w:val="bottom"/>
          </w:tcPr>
          <w:p>
            <w:pPr>
              <w:ind w:left="260"/>
              <w:spacing w:after="0"/>
              <w:rPr>
                <w:sz w:val="20"/>
                <w:szCs w:val="20"/>
                <w:color w:val="auto"/>
              </w:rPr>
            </w:pPr>
            <w:r>
              <w:rPr>
                <w:rFonts w:ascii="Arial" w:cs="Arial" w:eastAsia="Arial" w:hAnsi="Arial"/>
                <w:sz w:val="22"/>
                <w:szCs w:val="22"/>
                <w:b w:val="1"/>
                <w:bCs w:val="1"/>
                <w:color w:val="auto"/>
              </w:rPr>
              <w:t>Net expenses</w:t>
            </w:r>
          </w:p>
        </w:tc>
        <w:tc>
          <w:tcPr>
            <w:tcW w:w="12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8"/>
              </w:rPr>
              <w:t>61,494,595</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67,509,683</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w w:val="98"/>
              </w:rPr>
              <w:t>54,943,896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960" w:type="dxa"/>
            <w:vAlign w:val="bottom"/>
          </w:tcPr>
          <w:p>
            <w:pPr>
              <w:ind w:left="260"/>
              <w:spacing w:after="0"/>
              <w:rPr>
                <w:sz w:val="20"/>
                <w:szCs w:val="20"/>
                <w:color w:val="auto"/>
              </w:rPr>
            </w:pPr>
            <w:r>
              <w:rPr>
                <w:rFonts w:ascii="Arial" w:cs="Arial" w:eastAsia="Arial" w:hAnsi="Arial"/>
                <w:sz w:val="22"/>
                <w:szCs w:val="22"/>
                <w:b w:val="1"/>
                <w:bCs w:val="1"/>
                <w:color w:val="auto"/>
              </w:rPr>
              <w:t>Net investment income</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8"/>
              </w:rPr>
              <w:t>38,730,212</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44,596,971</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w w:val="98"/>
              </w:rPr>
              <w:t>53,334,152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960" w:type="dxa"/>
            <w:vAlign w:val="bottom"/>
          </w:tcPr>
          <w:p>
            <w:pPr>
              <w:spacing w:after="0"/>
              <w:rPr>
                <w:sz w:val="20"/>
                <w:szCs w:val="20"/>
                <w:color w:val="auto"/>
              </w:rPr>
            </w:pPr>
            <w:r>
              <w:rPr>
                <w:rFonts w:ascii="Arial" w:cs="Arial" w:eastAsia="Arial" w:hAnsi="Arial"/>
                <w:sz w:val="22"/>
                <w:szCs w:val="22"/>
                <w:b w:val="1"/>
                <w:bCs w:val="1"/>
                <w:color w:val="auto"/>
                <w:w w:val="92"/>
              </w:rPr>
              <w:t>Realized and change in unrealized (loss) gain on investments and debt:</w:t>
            </w:r>
          </w:p>
        </w:tc>
        <w:tc>
          <w:tcPr>
            <w:tcW w:w="1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22"/>
                <w:szCs w:val="22"/>
                <w:color w:val="auto"/>
              </w:rPr>
              <w:t>Net realized (loss) gain on:</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12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w w:val="92"/>
              </w:rPr>
              <w:t>(11,577,419)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22"/>
                <w:szCs w:val="22"/>
                <w:color w:val="auto"/>
                <w:w w:val="96"/>
              </w:rPr>
              <w:t>(51,940,526)</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w w:val="98"/>
              </w:rPr>
              <w:t>34,813,876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260"/>
              <w:spacing w:after="0"/>
              <w:rPr>
                <w:sz w:val="20"/>
                <w:szCs w:val="20"/>
                <w:color w:val="auto"/>
              </w:rPr>
            </w:pPr>
            <w:r>
              <w:rPr>
                <w:rFonts w:ascii="Arial" w:cs="Arial" w:eastAsia="Arial" w:hAnsi="Arial"/>
                <w:sz w:val="22"/>
                <w:szCs w:val="22"/>
                <w:color w:val="auto"/>
              </w:rPr>
              <w:t>Non-controlled and controlled, affiliated investments</w:t>
            </w:r>
          </w:p>
        </w:tc>
        <w:tc>
          <w:tcPr>
            <w:tcW w:w="120" w:type="dxa"/>
            <w:vAlign w:val="bottom"/>
          </w:tcPr>
          <w:p>
            <w:pPr>
              <w:spacing w:after="0"/>
              <w:rPr>
                <w:sz w:val="23"/>
                <w:szCs w:val="23"/>
                <w:color w:val="auto"/>
              </w:rPr>
            </w:pPr>
          </w:p>
        </w:tc>
        <w:tc>
          <w:tcPr>
            <w:tcW w:w="1240" w:type="dxa"/>
            <w:vAlign w:val="bottom"/>
            <w:gridSpan w:val="2"/>
          </w:tcPr>
          <w:p>
            <w:pPr>
              <w:jc w:val="right"/>
              <w:ind w:right="3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22"/>
                <w:szCs w:val="22"/>
                <w:color w:val="auto"/>
                <w:w w:val="96"/>
              </w:rPr>
              <w:t>(56,575,132)</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w w:val="98"/>
              </w:rPr>
              <w:t>11,042,330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960" w:type="dxa"/>
            <w:vAlign w:val="bottom"/>
          </w:tcPr>
          <w:p>
            <w:pPr>
              <w:ind w:left="260"/>
              <w:spacing w:after="0"/>
              <w:rPr>
                <w:sz w:val="20"/>
                <w:szCs w:val="20"/>
                <w:color w:val="auto"/>
              </w:rPr>
            </w:pPr>
            <w:r>
              <w:rPr>
                <w:rFonts w:ascii="Arial" w:cs="Arial" w:eastAsia="Arial" w:hAnsi="Arial"/>
                <w:sz w:val="22"/>
                <w:szCs w:val="22"/>
                <w:color w:val="auto"/>
              </w:rPr>
              <w:t>Deconsolidation loss</w:t>
            </w:r>
          </w:p>
        </w:tc>
        <w:tc>
          <w:tcPr>
            <w:tcW w:w="12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rPr>
              <w:t>(9,249,833)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9"/>
        </w:trPr>
        <w:tc>
          <w:tcPr>
            <w:tcW w:w="6960" w:type="dxa"/>
            <w:vAlign w:val="bottom"/>
          </w:tcPr>
          <w:p>
            <w:pPr>
              <w:ind w:left="260"/>
              <w:spacing w:after="0"/>
              <w:rPr>
                <w:sz w:val="20"/>
                <w:szCs w:val="20"/>
                <w:color w:val="auto"/>
              </w:rPr>
            </w:pPr>
            <w:r>
              <w:rPr>
                <w:rFonts w:ascii="Arial" w:cs="Arial" w:eastAsia="Arial" w:hAnsi="Arial"/>
                <w:sz w:val="22"/>
                <w:szCs w:val="22"/>
                <w:b w:val="1"/>
                <w:bCs w:val="1"/>
                <w:color w:val="auto"/>
              </w:rPr>
              <w:t>Net realized (loss) gain on investments</w:t>
            </w:r>
          </w:p>
        </w:tc>
        <w:tc>
          <w:tcPr>
            <w:tcW w:w="1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86"/>
              </w:rPr>
              <w:t>(20,827,252)</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81"/>
              </w:rPr>
              <w:t>(108,515,658)</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2"/>
                <w:szCs w:val="22"/>
                <w:color w:val="auto"/>
                <w:w w:val="98"/>
              </w:rPr>
              <w:t>45,856,206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22"/>
                <w:szCs w:val="22"/>
                <w:color w:val="auto"/>
              </w:rPr>
              <w:t>Net change in change in unrealized (depreciation) appreciation on:</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7,686,665</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22,788,117</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3"/>
          </w:tcPr>
          <w:p>
            <w:pPr>
              <w:jc w:val="right"/>
              <w:spacing w:after="0"/>
              <w:rPr>
                <w:sz w:val="20"/>
                <w:szCs w:val="20"/>
                <w:color w:val="auto"/>
              </w:rPr>
            </w:pPr>
            <w:r>
              <w:rPr>
                <w:rFonts w:ascii="Arial" w:cs="Arial" w:eastAsia="Arial" w:hAnsi="Arial"/>
                <w:sz w:val="22"/>
                <w:szCs w:val="22"/>
                <w:color w:val="auto"/>
                <w:w w:val="91"/>
              </w:rPr>
              <w:t>(16,751,386)</w:t>
            </w:r>
          </w:p>
        </w:tc>
        <w:tc>
          <w:tcPr>
            <w:tcW w:w="0" w:type="dxa"/>
            <w:vAlign w:val="bottom"/>
          </w:tcPr>
          <w:p>
            <w:pPr>
              <w:spacing w:after="0"/>
              <w:rPr>
                <w:sz w:val="1"/>
                <w:szCs w:val="1"/>
                <w:color w:val="auto"/>
              </w:rPr>
            </w:pPr>
          </w:p>
        </w:tc>
      </w:tr>
      <w:tr>
        <w:trPr>
          <w:trHeight w:val="270"/>
        </w:trPr>
        <w:tc>
          <w:tcPr>
            <w:tcW w:w="6960" w:type="dxa"/>
            <w:vAlign w:val="bottom"/>
          </w:tcPr>
          <w:p>
            <w:pPr>
              <w:ind w:left="260"/>
              <w:spacing w:after="0"/>
              <w:rPr>
                <w:sz w:val="20"/>
                <w:szCs w:val="20"/>
                <w:color w:val="auto"/>
              </w:rPr>
            </w:pPr>
            <w:r>
              <w:rPr>
                <w:rFonts w:ascii="Arial" w:cs="Arial" w:eastAsia="Arial" w:hAnsi="Arial"/>
                <w:sz w:val="22"/>
                <w:szCs w:val="22"/>
                <w:color w:val="auto"/>
              </w:rPr>
              <w:t>Non-controlled and controlled, affiliated investments</w:t>
            </w:r>
          </w:p>
        </w:tc>
        <w:tc>
          <w:tcPr>
            <w:tcW w:w="12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w w:val="92"/>
              </w:rPr>
              <w:t>(53,863,620)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51,361,260</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3"/>
          </w:tcPr>
          <w:p>
            <w:pPr>
              <w:jc w:val="right"/>
              <w:spacing w:after="0"/>
              <w:rPr>
                <w:sz w:val="20"/>
                <w:szCs w:val="20"/>
                <w:color w:val="auto"/>
              </w:rPr>
            </w:pPr>
            <w:r>
              <w:rPr>
                <w:rFonts w:ascii="Arial" w:cs="Arial" w:eastAsia="Arial" w:hAnsi="Arial"/>
                <w:sz w:val="22"/>
                <w:szCs w:val="22"/>
                <w:color w:val="auto"/>
                <w:w w:val="91"/>
              </w:rPr>
              <w:t>(38,586,621)</w:t>
            </w:r>
          </w:p>
        </w:tc>
        <w:tc>
          <w:tcPr>
            <w:tcW w:w="0" w:type="dxa"/>
            <w:vAlign w:val="bottom"/>
          </w:tcPr>
          <w:p>
            <w:pPr>
              <w:spacing w:after="0"/>
              <w:rPr>
                <w:sz w:val="1"/>
                <w:szCs w:val="1"/>
                <w:color w:val="auto"/>
              </w:rPr>
            </w:pPr>
          </w:p>
        </w:tc>
      </w:tr>
      <w:tr>
        <w:trPr>
          <w:trHeight w:val="274"/>
        </w:trPr>
        <w:tc>
          <w:tcPr>
            <w:tcW w:w="6960" w:type="dxa"/>
            <w:vAlign w:val="bottom"/>
          </w:tcPr>
          <w:p>
            <w:pPr>
              <w:ind w:left="260"/>
              <w:spacing w:after="0"/>
              <w:rPr>
                <w:sz w:val="20"/>
                <w:szCs w:val="20"/>
                <w:color w:val="auto"/>
              </w:rPr>
            </w:pPr>
            <w:r>
              <w:rPr>
                <w:rFonts w:ascii="Arial" w:cs="Arial" w:eastAsia="Arial" w:hAnsi="Arial"/>
                <w:sz w:val="22"/>
                <w:szCs w:val="22"/>
                <w:color w:val="auto"/>
              </w:rPr>
              <w:t>Debt depreciation</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8"/>
              </w:rPr>
              <w:t>12,304,242</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5,694,116</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rPr>
              <w:t>3,861,111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60"/>
              <w:spacing w:after="0" w:line="212" w:lineRule="exact"/>
              <w:rPr>
                <w:sz w:val="20"/>
                <w:szCs w:val="20"/>
                <w:color w:val="auto"/>
              </w:rPr>
            </w:pPr>
            <w:r>
              <w:rPr>
                <w:rFonts w:ascii="Arial" w:cs="Arial" w:eastAsia="Arial" w:hAnsi="Arial"/>
                <w:sz w:val="22"/>
                <w:szCs w:val="22"/>
                <w:b w:val="1"/>
                <w:bCs w:val="1"/>
                <w:color w:val="auto"/>
                <w:w w:val="93"/>
              </w:rPr>
              <w:t>Net change in unrealized (depreciation) appreciation on investments</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6960" w:type="dxa"/>
            <w:vAlign w:val="bottom"/>
          </w:tcPr>
          <w:p>
            <w:pPr>
              <w:ind w:left="260"/>
              <w:spacing w:after="0"/>
              <w:rPr>
                <w:sz w:val="20"/>
                <w:szCs w:val="20"/>
                <w:color w:val="auto"/>
              </w:rPr>
            </w:pPr>
            <w:r>
              <w:rPr>
                <w:rFonts w:ascii="Arial" w:cs="Arial" w:eastAsia="Arial" w:hAnsi="Arial"/>
                <w:sz w:val="22"/>
                <w:szCs w:val="22"/>
                <w:b w:val="1"/>
                <w:bCs w:val="1"/>
                <w:color w:val="auto"/>
              </w:rPr>
              <w:t>and debt</w:t>
            </w:r>
          </w:p>
        </w:tc>
        <w:tc>
          <w:tcPr>
            <w:tcW w:w="1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w w:val="92"/>
              </w:rPr>
              <w:t>(33,872,713)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79,843,493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22"/>
                <w:szCs w:val="22"/>
                <w:color w:val="auto"/>
                <w:w w:val="91"/>
              </w:rPr>
              <w:t>(51,476,896)</w:t>
            </w:r>
          </w:p>
        </w:tc>
        <w:tc>
          <w:tcPr>
            <w:tcW w:w="0" w:type="dxa"/>
            <w:vAlign w:val="bottom"/>
          </w:tcPr>
          <w:p>
            <w:pPr>
              <w:spacing w:after="0"/>
              <w:rPr>
                <w:sz w:val="1"/>
                <w:szCs w:val="1"/>
                <w:color w:val="auto"/>
              </w:rPr>
            </w:pPr>
          </w:p>
        </w:tc>
      </w:tr>
      <w:tr>
        <w:trPr>
          <w:trHeight w:val="267"/>
        </w:trPr>
        <w:tc>
          <w:tcPr>
            <w:tcW w:w="6960" w:type="dxa"/>
            <w:vAlign w:val="bottom"/>
          </w:tcPr>
          <w:p>
            <w:pPr>
              <w:spacing w:after="0"/>
              <w:rPr>
                <w:sz w:val="20"/>
                <w:szCs w:val="20"/>
                <w:color w:val="auto"/>
              </w:rPr>
            </w:pPr>
            <w:r>
              <w:rPr>
                <w:rFonts w:ascii="Arial" w:cs="Arial" w:eastAsia="Arial" w:hAnsi="Arial"/>
                <w:sz w:val="22"/>
                <w:szCs w:val="22"/>
                <w:b w:val="1"/>
                <w:bCs w:val="1"/>
                <w:color w:val="auto"/>
                <w:w w:val="95"/>
              </w:rPr>
              <w:t>Net realized and change in unrealized loss from investments and debt</w:t>
            </w:r>
          </w:p>
        </w:tc>
        <w:tc>
          <w:tcPr>
            <w:tcW w:w="12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86"/>
              </w:rPr>
              <w:t>(54,699,965)</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89"/>
              </w:rPr>
              <w:t>(28,672,165)</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95"/>
              </w:rPr>
              <w:t>(5,620,690)</w:t>
            </w:r>
          </w:p>
        </w:tc>
        <w:tc>
          <w:tcPr>
            <w:tcW w:w="6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960" w:type="dxa"/>
            <w:vAlign w:val="bottom"/>
          </w:tcPr>
          <w:p>
            <w:pPr>
              <w:spacing w:after="0"/>
              <w:rPr>
                <w:sz w:val="20"/>
                <w:szCs w:val="20"/>
                <w:color w:val="auto"/>
              </w:rPr>
            </w:pPr>
            <w:r>
              <w:rPr>
                <w:rFonts w:ascii="Arial" w:cs="Arial" w:eastAsia="Arial" w:hAnsi="Arial"/>
                <w:sz w:val="22"/>
                <w:szCs w:val="22"/>
                <w:b w:val="1"/>
                <w:bCs w:val="1"/>
                <w:color w:val="auto"/>
              </w:rPr>
              <w:t>Net (decrease) increase in net assets resulting from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1"/>
              </w:rPr>
              <w:t>(15,969,753</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15,924,806</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8"/>
              </w:rPr>
              <w:t>47,713,462</w:t>
            </w:r>
          </w:p>
        </w:tc>
        <w:tc>
          <w:tcPr>
            <w:tcW w:w="2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960" w:type="dxa"/>
            <w:vAlign w:val="bottom"/>
          </w:tcPr>
          <w:p>
            <w:pPr>
              <w:spacing w:after="0" w:line="216" w:lineRule="exact"/>
              <w:rPr>
                <w:sz w:val="20"/>
                <w:szCs w:val="20"/>
                <w:color w:val="auto"/>
              </w:rPr>
            </w:pPr>
            <w:r>
              <w:rPr>
                <w:rFonts w:ascii="Arial" w:cs="Arial" w:eastAsia="Arial" w:hAnsi="Arial"/>
                <w:sz w:val="22"/>
                <w:szCs w:val="22"/>
                <w:color w:val="auto"/>
                <w:w w:val="93"/>
              </w:rPr>
              <w:t>Net (decrease) increase in net assets resulting from operations per common</w:t>
            </w:r>
          </w:p>
        </w:tc>
        <w:tc>
          <w:tcPr>
            <w:tcW w:w="120" w:type="dxa"/>
            <w:vAlign w:val="bottom"/>
            <w:vMerge w:val="restart"/>
          </w:tcPr>
          <w:p>
            <w:pPr>
              <w:jc w:val="right"/>
              <w:spacing w:after="0"/>
              <w:rPr>
                <w:sz w:val="20"/>
                <w:szCs w:val="20"/>
                <w:color w:val="auto"/>
              </w:rPr>
            </w:pPr>
            <w:r>
              <w:rPr>
                <w:rFonts w:ascii="Arial" w:cs="Arial" w:eastAsia="Arial" w:hAnsi="Arial"/>
                <w:sz w:val="19"/>
                <w:szCs w:val="19"/>
                <w:color w:val="auto"/>
                <w:w w:val="75"/>
              </w:rPr>
              <w:t>$</w:t>
            </w:r>
          </w:p>
        </w:tc>
        <w:tc>
          <w:tcPr>
            <w:tcW w:w="1240" w:type="dxa"/>
            <w:vAlign w:val="bottom"/>
            <w:gridSpan w:val="2"/>
            <w:vMerge w:val="restart"/>
          </w:tcPr>
          <w:p>
            <w:pPr>
              <w:jc w:val="right"/>
              <w:spacing w:after="0"/>
              <w:rPr>
                <w:sz w:val="20"/>
                <w:szCs w:val="20"/>
                <w:color w:val="auto"/>
              </w:rPr>
            </w:pPr>
            <w:r>
              <w:rPr>
                <w:rFonts w:ascii="Arial" w:cs="Arial" w:eastAsia="Arial" w:hAnsi="Arial"/>
                <w:sz w:val="22"/>
                <w:szCs w:val="22"/>
                <w:color w:val="auto"/>
              </w:rPr>
              <w:t>(0.24)</w:t>
            </w:r>
          </w:p>
        </w:tc>
        <w:tc>
          <w:tcPr>
            <w:tcW w:w="200" w:type="dxa"/>
            <w:vAlign w:val="bottom"/>
            <w:gridSpan w:val="2"/>
            <w:vMerge w:val="restart"/>
          </w:tcPr>
          <w:p>
            <w:pPr>
              <w:jc w:val="right"/>
              <w:spacing w:after="0"/>
              <w:rPr>
                <w:sz w:val="20"/>
                <w:szCs w:val="20"/>
                <w:color w:val="auto"/>
              </w:rPr>
            </w:pPr>
            <w:r>
              <w:rPr>
                <w:rFonts w:ascii="Arial" w:cs="Arial" w:eastAsia="Arial" w:hAnsi="Arial"/>
                <w:sz w:val="22"/>
                <w:szCs w:val="22"/>
                <w:color w:val="auto"/>
              </w:rPr>
              <w:t>$</w:t>
            </w:r>
          </w:p>
        </w:tc>
        <w:tc>
          <w:tcPr>
            <w:tcW w:w="1140" w:type="dxa"/>
            <w:vAlign w:val="bottom"/>
            <w:vMerge w:val="restart"/>
          </w:tcPr>
          <w:p>
            <w:pPr>
              <w:jc w:val="right"/>
              <w:spacing w:after="0"/>
              <w:rPr>
                <w:sz w:val="20"/>
                <w:szCs w:val="20"/>
                <w:color w:val="auto"/>
              </w:rPr>
            </w:pPr>
            <w:r>
              <w:rPr>
                <w:rFonts w:ascii="Arial" w:cs="Arial" w:eastAsia="Arial" w:hAnsi="Arial"/>
                <w:sz w:val="22"/>
                <w:szCs w:val="22"/>
                <w:color w:val="auto"/>
              </w:rPr>
              <w:t>0.24</w:t>
            </w:r>
          </w:p>
        </w:tc>
        <w:tc>
          <w:tcPr>
            <w:tcW w:w="220" w:type="dxa"/>
            <w:vAlign w:val="bottom"/>
          </w:tcPr>
          <w:p>
            <w:pPr>
              <w:spacing w:after="0"/>
              <w:rPr>
                <w:sz w:val="18"/>
                <w:szCs w:val="18"/>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22"/>
                <w:szCs w:val="22"/>
                <w:color w:val="auto"/>
                <w:w w:val="81"/>
              </w:rPr>
              <w:t>$</w:t>
            </w: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22"/>
                <w:szCs w:val="22"/>
                <w:color w:val="auto"/>
              </w:rPr>
              <w:t>0.68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960" w:type="dxa"/>
            <w:vAlign w:val="bottom"/>
          </w:tcPr>
          <w:p>
            <w:pPr>
              <w:spacing w:after="0" w:line="251" w:lineRule="exact"/>
              <w:rPr>
                <w:sz w:val="20"/>
                <w:szCs w:val="20"/>
                <w:color w:val="auto"/>
              </w:rPr>
            </w:pPr>
            <w:r>
              <w:rPr>
                <w:rFonts w:ascii="Arial" w:cs="Arial" w:eastAsia="Arial" w:hAnsi="Arial"/>
                <w:sz w:val="22"/>
                <w:szCs w:val="22"/>
                <w:color w:val="auto"/>
              </w:rPr>
              <w:t>share</w:t>
            </w:r>
          </w:p>
        </w:tc>
        <w:tc>
          <w:tcPr>
            <w:tcW w:w="120" w:type="dxa"/>
            <w:vAlign w:val="bottom"/>
            <w:vMerge w:val="continue"/>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200" w:type="dxa"/>
            <w:vAlign w:val="bottom"/>
            <w:gridSpan w:val="2"/>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gridSpan w:val="2"/>
            <w:vMerge w:val="continue"/>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9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tcBorders>
            <w:gridSpan w:val="2"/>
          </w:tcPr>
          <w:p>
            <w:pPr>
              <w:spacing w:after="0" w:line="20" w:lineRule="exact"/>
              <w:rPr>
                <w:sz w:val="1"/>
                <w:szCs w:val="1"/>
                <w:color w:val="auto"/>
              </w:rPr>
            </w:pPr>
          </w:p>
        </w:tc>
        <w:tc>
          <w:tcPr>
            <w:tcW w:w="112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6960" w:type="dxa"/>
            <w:vAlign w:val="bottom"/>
          </w:tcPr>
          <w:p>
            <w:pPr>
              <w:spacing w:after="0"/>
              <w:rPr>
                <w:sz w:val="20"/>
                <w:szCs w:val="20"/>
                <w:color w:val="auto"/>
              </w:rPr>
            </w:pPr>
            <w:r>
              <w:rPr>
                <w:rFonts w:ascii="Arial" w:cs="Arial" w:eastAsia="Arial" w:hAnsi="Arial"/>
                <w:sz w:val="22"/>
                <w:szCs w:val="22"/>
                <w:color w:val="auto"/>
              </w:rPr>
              <w:t>Net investment income per common share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0.58</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0.66</w:t>
            </w:r>
          </w:p>
        </w:tc>
        <w:tc>
          <w:tcPr>
            <w:tcW w:w="2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0.75</w:t>
            </w: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ectPr>
          <w:pgSz w:w="11900" w:h="16838" w:orient="portrait"/>
          <w:cols w:equalWidth="0" w:num="1">
            <w:col w:w="11200"/>
          </w:cols>
          <w:pgMar w:left="320" w:top="145" w:right="379" w:bottom="0" w:gutter="0" w:footer="0" w:header="0"/>
        </w:sectPr>
      </w:pPr>
    </w:p>
    <w:bookmarkStart w:id="9" w:name="page10"/>
    <w:bookmarkEnd w:id="9"/>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invests primarily in U.S. middle-market companies in the form of first lien secured debt, second lien secured debt, subordinated debt and equity investments. PennantPark Investment Corporation is managed by PennantPark Investment Advisers, LLC.</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ADVISERS, LLC</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today has more than $3.5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as well as changes in the economy and risks associated with possible disruption in the Company’s operations or the economy generally due to terrorism, natural disasters or pandemics such as COVID-19. The Company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5"/>
        </w:numPr>
        <w:rPr>
          <w:rFonts w:ascii="Arial" w:cs="Arial" w:eastAsia="Arial" w:hAnsi="Arial"/>
          <w:sz w:val="19"/>
          <w:szCs w:val="19"/>
          <w:color w:val="auto"/>
        </w:rPr>
      </w:pPr>
      <w:r>
        <w:rPr>
          <w:rFonts w:ascii="Arial" w:cs="Arial" w:eastAsia="Arial" w:hAnsi="Arial"/>
          <w:sz w:val="19"/>
          <w:szCs w:val="19"/>
          <w:color w:val="auto"/>
        </w:rPr>
        <w:t xml:space="preserve">905-1000 </w:t>
      </w:r>
      <w:r>
        <w:rPr>
          <w:rFonts w:ascii="Arial" w:cs="Arial" w:eastAsia="Arial" w:hAnsi="Arial"/>
          <w:sz w:val="19"/>
          <w:szCs w:val="19"/>
          <w:u w:val="single" w:color="auto"/>
          <w:color w:val="auto"/>
        </w:rPr>
        <w:t>www.pennantpark.com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2020-11-19T15:06:57Z</dcterms:created>
  <dcterms:modified xsi:type="dcterms:W3CDTF">2020-11-19T15:06:57Z</dcterms:modified>
</cp:coreProperties>
</file>