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1, 2008.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Act Registration No. 333-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Investment Company Act of 1940 File No.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Pre-Effective Amendment No. </w:t>
      </w:r>
      <w:r>
        <w:rPr>
          <w:rFonts w:ascii="MS PGothic" w:cs="MS PGothic" w:eastAsia="MS PGothic" w:hAnsi="MS PGothic"/>
          <w:sz w:val="18"/>
          <w:szCs w:val="18"/>
          <w:color w:val="auto"/>
          <w:highlight w:val="black"/>
        </w:rPr>
        <w:t>☐</w:t>
      </w:r>
    </w:p>
    <w:p>
      <w:pPr>
        <w:spacing w:after="0" w:line="10"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Post-Effective Amendment No.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PennantPark Investment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590 Madison Avenue</w:t>
      </w:r>
    </w:p>
    <w:p>
      <w:pPr>
        <w:jc w:val="center"/>
        <w:spacing w:after="0" w:line="223" w:lineRule="auto"/>
        <w:rPr>
          <w:sz w:val="20"/>
          <w:szCs w:val="20"/>
          <w:color w:val="auto"/>
        </w:rPr>
      </w:pPr>
      <w:r>
        <w:rPr>
          <w:rFonts w:ascii="Arial" w:cs="Arial" w:eastAsia="Arial" w:hAnsi="Arial"/>
          <w:sz w:val="14"/>
          <w:szCs w:val="14"/>
          <w:b w:val="1"/>
          <w:bCs w:val="1"/>
          <w:color w:val="auto"/>
        </w:rPr>
        <w:t>15th Floor</w:t>
      </w:r>
    </w:p>
    <w:p>
      <w:pPr>
        <w:jc w:val="center"/>
        <w:spacing w:after="0" w:line="222" w:lineRule="auto"/>
        <w:rPr>
          <w:sz w:val="20"/>
          <w:szCs w:val="20"/>
          <w:color w:val="auto"/>
        </w:rPr>
      </w:pPr>
      <w:r>
        <w:rPr>
          <w:rFonts w:ascii="Arial" w:cs="Arial" w:eastAsia="Arial" w:hAnsi="Arial"/>
          <w:sz w:val="14"/>
          <w:szCs w:val="14"/>
          <w:b w:val="1"/>
          <w:bCs w:val="1"/>
          <w:color w:val="auto"/>
        </w:rPr>
        <w:t>New York, NY 10022</w:t>
      </w:r>
    </w:p>
    <w:p>
      <w:pPr>
        <w:jc w:val="center"/>
        <w:spacing w:after="0" w:line="221" w:lineRule="auto"/>
        <w:rPr>
          <w:sz w:val="20"/>
          <w:szCs w:val="20"/>
          <w:color w:val="auto"/>
        </w:rPr>
      </w:pPr>
      <w:r>
        <w:rPr>
          <w:rFonts w:ascii="Arial" w:cs="Arial" w:eastAsia="Arial" w:hAnsi="Arial"/>
          <w:sz w:val="14"/>
          <w:szCs w:val="14"/>
          <w:b w:val="1"/>
          <w:bCs w:val="1"/>
          <w:color w:val="auto"/>
        </w:rPr>
        <w:t>(Address of Principal Executive Offices)</w:t>
      </w:r>
    </w:p>
    <w:p>
      <w:pPr>
        <w:jc w:val="center"/>
        <w:spacing w:after="0" w:line="222" w:lineRule="auto"/>
        <w:rPr>
          <w:sz w:val="20"/>
          <w:szCs w:val="20"/>
          <w:color w:val="auto"/>
        </w:rPr>
      </w:pPr>
      <w:r>
        <w:rPr>
          <w:rFonts w:ascii="Arial" w:cs="Arial" w:eastAsia="Arial" w:hAnsi="Arial"/>
          <w:sz w:val="14"/>
          <w:szCs w:val="14"/>
          <w:b w:val="1"/>
          <w:bCs w:val="1"/>
          <w:color w:val="auto"/>
        </w:rPr>
        <w:t>(212) 905-1000</w:t>
      </w: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Arthur H. Penn</w:t>
      </w:r>
    </w:p>
    <w:p>
      <w:pPr>
        <w:jc w:val="center"/>
        <w:spacing w:after="0" w:line="223" w:lineRule="auto"/>
        <w:rPr>
          <w:sz w:val="20"/>
          <w:szCs w:val="20"/>
          <w:color w:val="auto"/>
        </w:rPr>
      </w:pPr>
      <w:r>
        <w:rPr>
          <w:rFonts w:ascii="Arial" w:cs="Arial" w:eastAsia="Arial" w:hAnsi="Arial"/>
          <w:sz w:val="14"/>
          <w:szCs w:val="14"/>
          <w:b w:val="1"/>
          <w:bCs w:val="1"/>
          <w:color w:val="auto"/>
        </w:rPr>
        <w:t>c/o PennantPark Investment Corporation</w:t>
      </w:r>
    </w:p>
    <w:p>
      <w:pPr>
        <w:jc w:val="center"/>
        <w:spacing w:after="0" w:line="222" w:lineRule="auto"/>
        <w:rPr>
          <w:sz w:val="20"/>
          <w:szCs w:val="20"/>
          <w:color w:val="auto"/>
        </w:rPr>
      </w:pPr>
      <w:r>
        <w:rPr>
          <w:rFonts w:ascii="Arial" w:cs="Arial" w:eastAsia="Arial" w:hAnsi="Arial"/>
          <w:sz w:val="14"/>
          <w:szCs w:val="14"/>
          <w:b w:val="1"/>
          <w:bCs w:val="1"/>
          <w:color w:val="auto"/>
        </w:rPr>
        <w:t>590 Madison Avenue</w:t>
      </w:r>
    </w:p>
    <w:p>
      <w:pPr>
        <w:jc w:val="center"/>
        <w:spacing w:after="0" w:line="221" w:lineRule="auto"/>
        <w:rPr>
          <w:sz w:val="20"/>
          <w:szCs w:val="20"/>
          <w:color w:val="auto"/>
        </w:rPr>
      </w:pPr>
      <w:r>
        <w:rPr>
          <w:rFonts w:ascii="Arial" w:cs="Arial" w:eastAsia="Arial" w:hAnsi="Arial"/>
          <w:sz w:val="14"/>
          <w:szCs w:val="14"/>
          <w:b w:val="1"/>
          <w:bCs w:val="1"/>
          <w:color w:val="auto"/>
        </w:rPr>
        <w:t>15th Floor</w:t>
      </w:r>
    </w:p>
    <w:p>
      <w:pPr>
        <w:jc w:val="center"/>
        <w:spacing w:after="0" w:line="222" w:lineRule="auto"/>
        <w:rPr>
          <w:sz w:val="20"/>
          <w:szCs w:val="20"/>
          <w:color w:val="auto"/>
        </w:rPr>
      </w:pPr>
      <w:r>
        <w:rPr>
          <w:rFonts w:ascii="Arial" w:cs="Arial" w:eastAsia="Arial" w:hAnsi="Arial"/>
          <w:sz w:val="14"/>
          <w:szCs w:val="14"/>
          <w:b w:val="1"/>
          <w:bCs w:val="1"/>
          <w:color w:val="auto"/>
        </w:rPr>
        <w:t>New York, NY 10022</w:t>
      </w: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to:</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Thomas Friedmann, Esq.</w:t>
      </w:r>
    </w:p>
    <w:p>
      <w:pPr>
        <w:jc w:val="center"/>
        <w:spacing w:after="0" w:line="223" w:lineRule="auto"/>
        <w:rPr>
          <w:sz w:val="20"/>
          <w:szCs w:val="20"/>
          <w:color w:val="auto"/>
        </w:rPr>
      </w:pPr>
      <w:r>
        <w:rPr>
          <w:rFonts w:ascii="Arial" w:cs="Arial" w:eastAsia="Arial" w:hAnsi="Arial"/>
          <w:sz w:val="14"/>
          <w:szCs w:val="14"/>
          <w:b w:val="1"/>
          <w:bCs w:val="1"/>
          <w:color w:val="auto"/>
        </w:rPr>
        <w:t>David Harris, Esq.</w:t>
      </w:r>
    </w:p>
    <w:p>
      <w:pPr>
        <w:jc w:val="center"/>
        <w:spacing w:after="0" w:line="222" w:lineRule="auto"/>
        <w:rPr>
          <w:sz w:val="20"/>
          <w:szCs w:val="20"/>
          <w:color w:val="auto"/>
        </w:rPr>
      </w:pPr>
      <w:r>
        <w:rPr>
          <w:rFonts w:ascii="Arial" w:cs="Arial" w:eastAsia="Arial" w:hAnsi="Arial"/>
          <w:sz w:val="14"/>
          <w:szCs w:val="14"/>
          <w:b w:val="1"/>
          <w:bCs w:val="1"/>
          <w:color w:val="auto"/>
        </w:rPr>
        <w:t>Dechert, LLP</w:t>
      </w:r>
    </w:p>
    <w:p>
      <w:pPr>
        <w:jc w:val="center"/>
        <w:spacing w:after="0" w:line="221" w:lineRule="auto"/>
        <w:rPr>
          <w:sz w:val="20"/>
          <w:szCs w:val="20"/>
          <w:color w:val="auto"/>
        </w:rPr>
      </w:pPr>
      <w:r>
        <w:rPr>
          <w:rFonts w:ascii="Arial" w:cs="Arial" w:eastAsia="Arial" w:hAnsi="Arial"/>
          <w:sz w:val="14"/>
          <w:szCs w:val="14"/>
          <w:b w:val="1"/>
          <w:bCs w:val="1"/>
          <w:color w:val="auto"/>
        </w:rPr>
        <w:t>1775 I Street, N.W.</w:t>
      </w:r>
    </w:p>
    <w:p>
      <w:pPr>
        <w:jc w:val="center"/>
        <w:spacing w:after="0" w:line="222" w:lineRule="auto"/>
        <w:rPr>
          <w:sz w:val="20"/>
          <w:szCs w:val="20"/>
          <w:color w:val="auto"/>
        </w:rPr>
      </w:pPr>
      <w:r>
        <w:rPr>
          <w:rFonts w:ascii="Arial" w:cs="Arial" w:eastAsia="Arial" w:hAnsi="Arial"/>
          <w:sz w:val="14"/>
          <w:szCs w:val="14"/>
          <w:b w:val="1"/>
          <w:bCs w:val="1"/>
          <w:color w:val="auto"/>
        </w:rPr>
        <w:t>Washington, DC 20006-2401</w:t>
      </w:r>
    </w:p>
    <w:p>
      <w:pPr>
        <w:jc w:val="center"/>
        <w:spacing w:after="0" w:line="221" w:lineRule="auto"/>
        <w:rPr>
          <w:sz w:val="20"/>
          <w:szCs w:val="20"/>
          <w:color w:val="auto"/>
        </w:rPr>
      </w:pPr>
      <w:r>
        <w:rPr>
          <w:rFonts w:ascii="Arial" w:cs="Arial" w:eastAsia="Arial" w:hAnsi="Arial"/>
          <w:sz w:val="14"/>
          <w:szCs w:val="14"/>
          <w:b w:val="1"/>
          <w:bCs w:val="1"/>
          <w:color w:val="auto"/>
        </w:rPr>
        <w:t>APPROXIMATE DATE OF PROPOSED PUBLIC OFFERING:</w:t>
      </w:r>
    </w:p>
    <w:p>
      <w:pPr>
        <w:jc w:val="center"/>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85725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ind w:right="200" w:firstLine="342"/>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7"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42" w:lineRule="exact"/>
        <w:rPr>
          <w:sz w:val="24"/>
          <w:szCs w:val="24"/>
          <w:color w:val="auto"/>
        </w:rPr>
      </w:pPr>
    </w:p>
    <w:p>
      <w:pPr>
        <w:ind w:left="540" w:hanging="190"/>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pacing w:after="0" w:line="41" w:lineRule="exact"/>
        <w:rPr>
          <w:rFonts w:ascii="MS PGothic" w:cs="MS PGothic" w:eastAsia="MS PGothic" w:hAnsi="MS PGothic"/>
          <w:sz w:val="14"/>
          <w:szCs w:val="14"/>
          <w:color w:val="auto"/>
        </w:rPr>
      </w:pPr>
    </w:p>
    <w:p>
      <w:pPr>
        <w:ind w:left="360"/>
        <w:spacing w:after="0"/>
        <w:rPr>
          <w:rFonts w:ascii="MS PGothic" w:cs="MS PGothic" w:eastAsia="MS PGothic" w:hAnsi="MS PGothic"/>
          <w:sz w:val="14"/>
          <w:szCs w:val="14"/>
          <w:color w:val="auto"/>
        </w:rPr>
      </w:pPr>
      <w:r>
        <w:rPr>
          <w:rFonts w:ascii="Arial" w:cs="Arial" w:eastAsia="Arial" w:hAnsi="Arial"/>
          <w:sz w:val="14"/>
          <w:szCs w:val="14"/>
          <w:color w:val="auto"/>
        </w:rPr>
        <w:t>If appropriate, check the following box:</w:t>
      </w:r>
    </w:p>
    <w:p>
      <w:pPr>
        <w:spacing w:after="0" w:line="16" w:lineRule="exact"/>
        <w:rPr>
          <w:rFonts w:ascii="MS PGothic" w:cs="MS PGothic" w:eastAsia="MS PGothic" w:hAnsi="MS PGothic"/>
          <w:sz w:val="14"/>
          <w:szCs w:val="14"/>
          <w:color w:val="auto"/>
        </w:rPr>
      </w:pPr>
    </w:p>
    <w:p>
      <w:pPr>
        <w:ind w:left="36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This amendment designates a new effective date for a previously filed registration statement.</w:t>
      </w:r>
    </w:p>
    <w:p>
      <w:pPr>
        <w:spacing w:after="0" w:line="67" w:lineRule="exact"/>
        <w:rPr>
          <w:sz w:val="24"/>
          <w:szCs w:val="24"/>
          <w:color w:val="auto"/>
        </w:rPr>
      </w:pPr>
    </w:p>
    <w:p>
      <w:pPr>
        <w:ind w:right="20" w:firstLine="350"/>
        <w:spacing w:after="0" w:line="239" w:lineRule="auto"/>
        <w:tabs>
          <w:tab w:leader="none" w:pos="529"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29"/>
        </w:trPr>
        <w:tc>
          <w:tcPr>
            <w:tcW w:w="20" w:type="dxa"/>
            <w:vAlign w:val="bottom"/>
          </w:tcPr>
          <w:p>
            <w:pPr>
              <w:spacing w:after="0"/>
              <w:rPr>
                <w:sz w:val="11"/>
                <w:szCs w:val="11"/>
                <w:color w:val="auto"/>
              </w:rPr>
            </w:pPr>
          </w:p>
        </w:tc>
        <w:tc>
          <w:tcPr>
            <w:tcW w:w="504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jc w:val="center"/>
              <w:ind w:left="12"/>
              <w:spacing w:after="0" w:line="129" w:lineRule="exact"/>
              <w:rPr>
                <w:sz w:val="20"/>
                <w:szCs w:val="20"/>
                <w:color w:val="auto"/>
              </w:rPr>
            </w:pPr>
            <w:r>
              <w:rPr>
                <w:rFonts w:ascii="Arial" w:cs="Arial" w:eastAsia="Arial" w:hAnsi="Arial"/>
                <w:sz w:val="14"/>
                <w:szCs w:val="14"/>
                <w:b w:val="1"/>
                <w:bCs w:val="1"/>
                <w:color w:val="auto"/>
                <w:w w:val="87"/>
              </w:rPr>
              <w:t>Proposed Maximum</w:t>
            </w:r>
          </w:p>
        </w:tc>
        <w:tc>
          <w:tcPr>
            <w:tcW w:w="1600" w:type="dxa"/>
            <w:vAlign w:val="bottom"/>
            <w:tcBorders>
              <w:right w:val="single" w:sz="8" w:color="auto"/>
            </w:tcBorders>
          </w:tcPr>
          <w:p>
            <w:pPr>
              <w:jc w:val="center"/>
              <w:ind w:left="15"/>
              <w:spacing w:after="0" w:line="129" w:lineRule="exact"/>
              <w:rPr>
                <w:sz w:val="20"/>
                <w:szCs w:val="20"/>
                <w:color w:val="auto"/>
              </w:rPr>
            </w:pPr>
            <w:r>
              <w:rPr>
                <w:rFonts w:ascii="Arial" w:cs="Arial" w:eastAsia="Arial" w:hAnsi="Arial"/>
                <w:sz w:val="14"/>
                <w:szCs w:val="14"/>
                <w:b w:val="1"/>
                <w:bCs w:val="1"/>
                <w:color w:val="auto"/>
                <w:w w:val="87"/>
              </w:rPr>
              <w:t>Proposed Maximum</w:t>
            </w:r>
          </w:p>
        </w:tc>
        <w:tc>
          <w:tcPr>
            <w:tcW w:w="1560" w:type="dxa"/>
            <w:vAlign w:val="bottom"/>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504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7"/>
              </w:rPr>
              <w:t>Amount Being</w:t>
            </w:r>
          </w:p>
        </w:tc>
        <w:tc>
          <w:tcPr>
            <w:tcW w:w="1600" w:type="dxa"/>
            <w:vAlign w:val="bottom"/>
            <w:tcBorders>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34"/>
              <w:spacing w:after="0"/>
              <w:rPr>
                <w:sz w:val="20"/>
                <w:szCs w:val="20"/>
                <w:color w:val="auto"/>
              </w:rPr>
            </w:pPr>
            <w:r>
              <w:rPr>
                <w:rFonts w:ascii="Arial" w:cs="Arial" w:eastAsia="Arial" w:hAnsi="Arial"/>
                <w:sz w:val="14"/>
                <w:szCs w:val="14"/>
                <w:b w:val="1"/>
                <w:bCs w:val="1"/>
                <w:color w:val="auto"/>
                <w:w w:val="88"/>
              </w:rPr>
              <w:t>Amount of</w:t>
            </w: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ind w:left="1480"/>
              <w:spacing w:after="0"/>
              <w:rPr>
                <w:sz w:val="20"/>
                <w:szCs w:val="20"/>
                <w:color w:val="auto"/>
              </w:rPr>
            </w:pPr>
            <w:r>
              <w:rPr>
                <w:rFonts w:ascii="Arial" w:cs="Arial" w:eastAsia="Arial" w:hAnsi="Arial"/>
                <w:sz w:val="14"/>
                <w:szCs w:val="14"/>
                <w:b w:val="1"/>
                <w:bCs w:val="1"/>
                <w:color w:val="auto"/>
              </w:rPr>
              <w:t>Title of Securities Being Registered</w:t>
            </w: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9"/>
              </w:rPr>
              <w:t>Per Unit</w:t>
            </w:r>
          </w:p>
        </w:tc>
        <w:tc>
          <w:tcPr>
            <w:tcW w:w="1600" w:type="dxa"/>
            <w:vAlign w:val="bottom"/>
            <w:tcBorders>
              <w:bottom w:val="single" w:sz="8" w:color="auto"/>
              <w:right w:val="single" w:sz="8" w:color="auto"/>
            </w:tcBorders>
          </w:tcPr>
          <w:p>
            <w:pPr>
              <w:jc w:val="center"/>
              <w:ind w:left="15"/>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1560" w:type="dxa"/>
            <w:vAlign w:val="bottom"/>
            <w:tcBorders>
              <w:bottom w:val="single" w:sz="8" w:color="auto"/>
            </w:tcBorders>
          </w:tcPr>
          <w:p>
            <w:pPr>
              <w:jc w:val="center"/>
              <w:ind w:left="14"/>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r>
      <w:tr>
        <w:trPr>
          <w:trHeight w:val="169"/>
        </w:trPr>
        <w:tc>
          <w:tcPr>
            <w:tcW w:w="20" w:type="dxa"/>
            <w:vAlign w:val="bottom"/>
            <w:tcBorders>
              <w:bottom w:val="single" w:sz="8" w:color="auto"/>
            </w:tcBorders>
          </w:tcPr>
          <w:p>
            <w:pPr>
              <w:spacing w:after="0"/>
              <w:rPr>
                <w:sz w:val="14"/>
                <w:szCs w:val="14"/>
                <w:color w:val="auto"/>
              </w:rPr>
            </w:pPr>
          </w:p>
        </w:tc>
        <w:tc>
          <w:tcPr>
            <w:tcW w:w="504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2"/>
                <w:szCs w:val="12"/>
                <w:color w:val="auto"/>
              </w:rPr>
              <w:t>Common Stock, $0.001 par value</w:t>
            </w:r>
            <w:r>
              <w:rPr>
                <w:rFonts w:ascii="Arial" w:cs="Arial" w:eastAsia="Arial" w:hAnsi="Arial"/>
                <w:sz w:val="19"/>
                <w:szCs w:val="19"/>
                <w:color w:val="auto"/>
                <w:vertAlign w:val="superscript"/>
              </w:rPr>
              <w:t>(2)</w:t>
            </w: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jc w:val="right"/>
              <w:ind w:right="852"/>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right w:val="single" w:sz="8" w:color="auto"/>
            </w:tcBorders>
          </w:tcPr>
          <w:p>
            <w:pPr>
              <w:jc w:val="right"/>
              <w:ind w:right="855"/>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color w:val="auto"/>
              </w:rPr>
              <w:t>$</w:t>
            </w:r>
          </w:p>
        </w:tc>
      </w:tr>
      <w:tr>
        <w:trPr>
          <w:trHeight w:val="169"/>
        </w:trPr>
        <w:tc>
          <w:tcPr>
            <w:tcW w:w="5060" w:type="dxa"/>
            <w:vAlign w:val="bottom"/>
            <w:tcBorders>
              <w:bottom w:val="single" w:sz="8" w:color="auto"/>
              <w:right w:val="single" w:sz="8" w:color="auto"/>
            </w:tcBorders>
            <w:gridSpan w:val="2"/>
          </w:tcPr>
          <w:p>
            <w:pPr>
              <w:spacing w:after="0" w:line="169" w:lineRule="exact"/>
              <w:rPr>
                <w:sz w:val="20"/>
                <w:szCs w:val="20"/>
                <w:color w:val="auto"/>
              </w:rPr>
            </w:pPr>
            <w:r>
              <w:rPr>
                <w:rFonts w:ascii="Arial" w:cs="Arial" w:eastAsia="Arial" w:hAnsi="Arial"/>
                <w:sz w:val="12"/>
                <w:szCs w:val="12"/>
                <w:color w:val="auto"/>
              </w:rPr>
              <w:t>Preferred Stock, $0.001 par value</w:t>
            </w:r>
            <w:r>
              <w:rPr>
                <w:rFonts w:ascii="Arial" w:cs="Arial" w:eastAsia="Arial" w:hAnsi="Arial"/>
                <w:sz w:val="19"/>
                <w:szCs w:val="19"/>
                <w:color w:val="auto"/>
                <w:vertAlign w:val="superscript"/>
              </w:rPr>
              <w:t>(2)</w:t>
            </w: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9"/>
        </w:trPr>
        <w:tc>
          <w:tcPr>
            <w:tcW w:w="5060" w:type="dxa"/>
            <w:vAlign w:val="bottom"/>
            <w:tcBorders>
              <w:bottom w:val="single" w:sz="8" w:color="auto"/>
              <w:right w:val="single" w:sz="8" w:color="auto"/>
            </w:tcBorders>
            <w:gridSpan w:val="2"/>
          </w:tcPr>
          <w:p>
            <w:pPr>
              <w:spacing w:after="0" w:line="169" w:lineRule="exact"/>
              <w:rPr>
                <w:sz w:val="20"/>
                <w:szCs w:val="20"/>
                <w:color w:val="auto"/>
              </w:rPr>
            </w:pPr>
            <w:r>
              <w:rPr>
                <w:rFonts w:ascii="Arial" w:cs="Arial" w:eastAsia="Arial" w:hAnsi="Arial"/>
                <w:sz w:val="12"/>
                <w:szCs w:val="12"/>
                <w:color w:val="auto"/>
              </w:rPr>
              <w:t>Warrants</w:t>
            </w:r>
            <w:r>
              <w:rPr>
                <w:rFonts w:ascii="Arial" w:cs="Arial" w:eastAsia="Arial" w:hAnsi="Arial"/>
                <w:sz w:val="19"/>
                <w:szCs w:val="19"/>
                <w:color w:val="auto"/>
                <w:vertAlign w:val="superscript"/>
              </w:rPr>
              <w:t>(3)</w:t>
            </w: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9"/>
        </w:trPr>
        <w:tc>
          <w:tcPr>
            <w:tcW w:w="5060" w:type="dxa"/>
            <w:vAlign w:val="bottom"/>
            <w:tcBorders>
              <w:bottom w:val="single" w:sz="8" w:color="auto"/>
              <w:right w:val="single" w:sz="8" w:color="auto"/>
            </w:tcBorders>
            <w:gridSpan w:val="2"/>
          </w:tcPr>
          <w:p>
            <w:pPr>
              <w:spacing w:after="0" w:line="169" w:lineRule="exact"/>
              <w:rPr>
                <w:sz w:val="20"/>
                <w:szCs w:val="20"/>
                <w:color w:val="auto"/>
              </w:rPr>
            </w:pPr>
            <w:r>
              <w:rPr>
                <w:rFonts w:ascii="Arial" w:cs="Arial" w:eastAsia="Arial" w:hAnsi="Arial"/>
                <w:sz w:val="12"/>
                <w:szCs w:val="12"/>
                <w:color w:val="auto"/>
              </w:rPr>
              <w:t>Subscription Rights</w:t>
            </w:r>
            <w:r>
              <w:rPr>
                <w:rFonts w:ascii="Arial" w:cs="Arial" w:eastAsia="Arial" w:hAnsi="Arial"/>
                <w:sz w:val="19"/>
                <w:szCs w:val="19"/>
                <w:color w:val="auto"/>
                <w:vertAlign w:val="superscript"/>
              </w:rPr>
              <w:t>(4)</w:t>
            </w: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9"/>
        </w:trPr>
        <w:tc>
          <w:tcPr>
            <w:tcW w:w="5060" w:type="dxa"/>
            <w:vAlign w:val="bottom"/>
            <w:tcBorders>
              <w:bottom w:val="single" w:sz="8" w:color="auto"/>
              <w:right w:val="single" w:sz="8" w:color="auto"/>
            </w:tcBorders>
            <w:gridSpan w:val="2"/>
          </w:tcPr>
          <w:p>
            <w:pPr>
              <w:spacing w:after="0" w:line="169" w:lineRule="exact"/>
              <w:rPr>
                <w:sz w:val="20"/>
                <w:szCs w:val="20"/>
                <w:color w:val="auto"/>
              </w:rPr>
            </w:pPr>
            <w:r>
              <w:rPr>
                <w:rFonts w:ascii="Arial" w:cs="Arial" w:eastAsia="Arial" w:hAnsi="Arial"/>
                <w:sz w:val="12"/>
                <w:szCs w:val="12"/>
                <w:color w:val="auto"/>
              </w:rPr>
              <w:t>Debt Securities</w:t>
            </w:r>
            <w:r>
              <w:rPr>
                <w:rFonts w:ascii="Arial" w:cs="Arial" w:eastAsia="Arial" w:hAnsi="Arial"/>
                <w:sz w:val="19"/>
                <w:szCs w:val="19"/>
                <w:color w:val="auto"/>
                <w:vertAlign w:val="superscript"/>
              </w:rPr>
              <w:t>(5)</w:t>
            </w: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9"/>
        </w:trPr>
        <w:tc>
          <w:tcPr>
            <w:tcW w:w="506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Total</w:t>
            </w:r>
          </w:p>
        </w:tc>
        <w:tc>
          <w:tcPr>
            <w:tcW w:w="160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jc w:val="center"/>
              <w:ind w:left="15"/>
              <w:spacing w:after="0" w:line="169" w:lineRule="exact"/>
              <w:rPr>
                <w:sz w:val="20"/>
                <w:szCs w:val="20"/>
                <w:color w:val="auto"/>
              </w:rPr>
            </w:pPr>
            <w:r>
              <w:rPr>
                <w:rFonts w:ascii="Arial" w:cs="Arial" w:eastAsia="Arial" w:hAnsi="Arial"/>
                <w:sz w:val="12"/>
                <w:szCs w:val="12"/>
                <w:color w:val="auto"/>
                <w:w w:val="97"/>
              </w:rPr>
              <w:t>250,000,000</w:t>
            </w:r>
            <w:r>
              <w:rPr>
                <w:rFonts w:ascii="Arial" w:cs="Arial" w:eastAsia="Arial" w:hAnsi="Arial"/>
                <w:sz w:val="19"/>
                <w:szCs w:val="19"/>
                <w:color w:val="auto"/>
                <w:w w:val="97"/>
                <w:vertAlign w:val="superscript"/>
              </w:rPr>
              <w:t>(6)</w:t>
            </w:r>
          </w:p>
        </w:tc>
        <w:tc>
          <w:tcPr>
            <w:tcW w:w="1560" w:type="dxa"/>
            <w:vAlign w:val="bottom"/>
          </w:tcPr>
          <w:p>
            <w:pPr>
              <w:jc w:val="center"/>
              <w:ind w:left="34"/>
              <w:spacing w:after="0"/>
              <w:rPr>
                <w:sz w:val="20"/>
                <w:szCs w:val="20"/>
                <w:color w:val="auto"/>
              </w:rPr>
            </w:pPr>
            <w:r>
              <w:rPr>
                <w:rFonts w:ascii="Arial" w:cs="Arial" w:eastAsia="Arial" w:hAnsi="Arial"/>
                <w:sz w:val="14"/>
                <w:szCs w:val="14"/>
                <w:color w:val="auto"/>
                <w:w w:val="85"/>
              </w:rPr>
              <w:t>9,825</w:t>
            </w: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 w:lineRule="exact"/>
        <w:rPr>
          <w:sz w:val="24"/>
          <w:szCs w:val="24"/>
          <w:color w:val="auto"/>
        </w:rPr>
      </w:pPr>
    </w:p>
    <w:p>
      <w:pPr>
        <w:ind w:left="340" w:right="220" w:hanging="332"/>
        <w:spacing w:after="0" w:line="230"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number of shares of common stock or preferred stock as may be sold, from time to time.</w:t>
      </w:r>
    </w:p>
    <w:p>
      <w:pPr>
        <w:ind w:left="340" w:right="12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number of warrants as may be sold, from time to time, representing rights to purchase common stock, preferred stock or debt securities.</w:t>
      </w: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number of subscription rights as may be sold, from time to time, representing rights to purchase common stock.</w:t>
      </w:r>
    </w:p>
    <w:p>
      <w:pPr>
        <w:spacing w:after="0" w:line="10" w:lineRule="exact"/>
        <w:rPr>
          <w:rFonts w:ascii="Arial" w:cs="Arial" w:eastAsia="Arial" w:hAnsi="Arial"/>
          <w:sz w:val="12"/>
          <w:szCs w:val="12"/>
          <w:color w:val="auto"/>
        </w:rPr>
      </w:pPr>
    </w:p>
    <w:p>
      <w:pPr>
        <w:ind w:left="340" w:right="320" w:hanging="332"/>
        <w:spacing w:after="0" w:line="258"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$250,000,000.</w:t>
      </w: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$250,000,000.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ind w:right="38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the Registration Statement shall become effective on such dates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ind w:right="120"/>
        <w:spacing w:after="0" w:line="249" w:lineRule="auto"/>
        <w:rPr>
          <w:sz w:val="20"/>
          <w:szCs w:val="20"/>
          <w:color w:val="auto"/>
        </w:rPr>
      </w:pPr>
      <w:r>
        <w:rPr>
          <w:rFonts w:ascii="Arial" w:cs="Arial" w:eastAsia="Arial" w:hAnsi="Arial"/>
          <w:sz w:val="18"/>
          <w:szCs w:val="18"/>
          <w:b w:val="1"/>
          <w:bCs w:val="1"/>
          <w:color w:val="DE1A1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April 1, 2008</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127000</wp:posOffset>
            </wp:positionV>
            <wp:extent cx="2470150" cy="523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Preferred Stock</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Warrants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Subscription Rights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business development company, or BDC under the Investment Company Act of 1940 (the “1940 Act”). In addition, for tax purposes we have elected to be treated as a regulated investment company, or RIC, under the Internal Revenue Code of 1986, as amended (the “Code”).</w:t>
      </w:r>
    </w:p>
    <w:p>
      <w:pPr>
        <w:spacing w:after="0" w:line="6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mezzanine debt, senior secured loans and equity investments. From time to time, we may also invest in public companies whose securities are not thinly traded. We consider our core assets, by value and investment focus, to consist of subordinated debt, second lien secured debt and, to a lesser extent, equity investments.</w:t>
      </w:r>
    </w:p>
    <w:p>
      <w:pPr>
        <w:spacing w:after="0" w:line="6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fund a portion of our investments with borrowed money, a practice commonly known as leverage. We can offer no assurances that we will achieve our investment objectives.</w:t>
      </w:r>
    </w:p>
    <w:p>
      <w:pPr>
        <w:spacing w:after="0" w:line="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may offer, from time to time, in one or more offerings or series, together or separately, up to $250,000,000 of our common stock, preferred stock, debt securities, warrants representing rights to purchase shares of our common stock, preferred stock or debt securities or subscription rights, which we refer to, collectively, as the “securities.” The securities may be offered at prices and on terms to be described in one or more supplements to this prospectus. In the event we offer common stock, the offering price per share of our common stock less any underwriting commissions or discounts will not be less than the net value per share of our common stock at the time we make the offering except (1) in connection with a rights offering to our existing stockholders, (2) with the consent of the majority of our common stockholders, or (3) under such circumstances as the Securities and Exchange Commission, or the SEC, may permit.</w:t>
      </w:r>
    </w:p>
    <w:p>
      <w:pPr>
        <w:spacing w:after="0" w:line="3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common stock has been approved for quotation on NASDAQ under the symbol “PNNT”. The last reported closing price for our common stock on March 24, 2008 was $8.70 per share.</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This prospectus and any accompanying prospectus supplement contains important information you should know before investing in our securities. Please read them before you invest and keep them for future reference. We file annual, quarterly and current reports, proxy statements and other information with the Securities and Exchange Commission. This information is available free of charge by contacting us at 590 Madison Avenue, New York, NY 10022 or by telephone at (212) 905-1000 or on our website at </w:t>
      </w:r>
      <w:r>
        <w:rPr>
          <w:rFonts w:ascii="Arial" w:cs="Arial" w:eastAsia="Arial" w:hAnsi="Arial"/>
          <w:sz w:val="18"/>
          <w:szCs w:val="18"/>
          <w:i w:val="1"/>
          <w:iCs w:val="1"/>
          <w:color w:val="auto"/>
        </w:rPr>
        <w:t>www.pennantpark.com.</w:t>
      </w:r>
      <w:r>
        <w:rPr>
          <w:rFonts w:ascii="Arial" w:cs="Arial" w:eastAsia="Arial" w:hAnsi="Arial"/>
          <w:sz w:val="18"/>
          <w:szCs w:val="18"/>
          <w:color w:val="auto"/>
        </w:rPr>
        <w:t xml:space="preserve"> The SEC also maintains a website at www.sec.gov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0"/>
          <w:szCs w:val="20"/>
          <w:color w:val="auto"/>
        </w:rPr>
      </w:pPr>
    </w:p>
    <w:p>
      <w:pPr>
        <w:ind w:right="140" w:firstLine="456"/>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securities involves a high degree of risk, including the risk of the use of leverage. Before buying any shares of our common stock, you should read the discussion of the material risks of investing in the Company in “ </w:t>
      </w:r>
      <w:hyperlink w:anchor="page15">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11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tbl>
      <w:tblPr>
        <w:tblLayout w:type="fixed"/>
        <w:tblInd w:w="4380" w:type="dxa"/>
        <w:tblCellMar>
          <w:top w:w="0" w:type="dxa"/>
          <w:left w:w="0" w:type="dxa"/>
          <w:bottom w:w="0" w:type="dxa"/>
          <w:right w:w="0" w:type="dxa"/>
        </w:tblCellMar>
      </w:tblPr>
      <w:tr>
        <w:trPr>
          <w:trHeight w:val="228"/>
        </w:trPr>
        <w:tc>
          <w:tcPr>
            <w:tcW w:w="1760" w:type="dxa"/>
            <w:vAlign w:val="bottom"/>
          </w:tcPr>
          <w:p>
            <w:pPr>
              <w:spacing w:after="0"/>
              <w:rPr>
                <w:sz w:val="20"/>
                <w:szCs w:val="20"/>
                <w:color w:val="auto"/>
              </w:rPr>
            </w:pPr>
            <w:r>
              <w:rPr>
                <w:rFonts w:ascii="Arial" w:cs="Arial" w:eastAsia="Arial" w:hAnsi="Arial"/>
                <w:sz w:val="18"/>
                <w:szCs w:val="18"/>
                <w:b w:val="1"/>
                <w:bCs w:val="1"/>
                <w:color w:val="auto"/>
              </w:rPr>
              <w:t>Prospectus dated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 2008</w:t>
            </w:r>
          </w:p>
        </w:tc>
      </w:tr>
    </w:tbl>
    <w:p>
      <w:pPr>
        <w:sectPr>
          <w:pgSz w:w="11900" w:h="16838" w:orient="portrait"/>
          <w:cols w:equalWidth="0" w:num="1">
            <w:col w:w="11420"/>
          </w:cols>
          <w:pgMar w:left="240" w:top="269" w:right="239" w:bottom="1440" w:gutter="0" w:footer="0" w:header="0"/>
        </w:sectPr>
      </w:pPr>
    </w:p>
    <w:bookmarkStart w:id="2" w:name="page3"/>
    <w:bookmarkEnd w:id="2"/>
    <w:p>
      <w:pPr>
        <w:ind w:right="4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34"/>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34"/>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3"/>
          </w:tcPr>
          <w:p>
            <w:pPr>
              <w:spacing w:after="0"/>
              <w:rPr>
                <w:sz w:val="17"/>
                <w:szCs w:val="17"/>
                <w:color w:val="auto"/>
              </w:rPr>
            </w:pPr>
          </w:p>
        </w:tc>
        <w:tc>
          <w:tcPr>
            <w:tcW w:w="902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13">
              <w:r>
                <w:rPr>
                  <w:rFonts w:ascii="Arial" w:cs="Arial" w:eastAsia="Arial" w:hAnsi="Arial"/>
                  <w:sz w:val="18"/>
                  <w:szCs w:val="18"/>
                  <w:color w:val="0000EE"/>
                  <w:w w:val="95"/>
                </w:rPr>
                <w:t>SELECTED FINANCIAL DATA</w:t>
              </w:r>
            </w:hyperlink>
          </w:p>
        </w:tc>
        <w:tc>
          <w:tcPr>
            <w:tcW w:w="868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FORWARD-LOOKING STATEMENTS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USE OF PROCEEDS</w:t>
              </w:r>
            </w:hyperlink>
          </w:p>
        </w:tc>
        <w:tc>
          <w:tcPr>
            <w:tcW w:w="820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DISTRIBUTIONS</w:t>
              </w:r>
            </w:hyperlink>
          </w:p>
        </w:tc>
        <w:tc>
          <w:tcPr>
            <w:tcW w:w="200" w:type="dxa"/>
            <w:vAlign w:val="bottom"/>
            <w:tcBorders>
              <w:top w:val="single" w:sz="8" w:color="0000EE"/>
            </w:tcBorders>
            <w:gridSpan w:val="2"/>
          </w:tcPr>
          <w:p>
            <w:pPr>
              <w:spacing w:after="0"/>
              <w:rPr>
                <w:sz w:val="17"/>
                <w:szCs w:val="17"/>
                <w:color w:val="auto"/>
              </w:rPr>
            </w:pPr>
          </w:p>
        </w:tc>
        <w:tc>
          <w:tcPr>
            <w:tcW w:w="9520" w:type="dxa"/>
            <w:vAlign w:val="bottom"/>
            <w:gridSpan w:val="2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9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PRICE RANGE OF COMMON STOCK</w:t>
              </w:r>
            </w:hyperlink>
          </w:p>
        </w:tc>
        <w:tc>
          <w:tcPr>
            <w:tcW w:w="5800" w:type="dxa"/>
            <w:vAlign w:val="bottom"/>
            <w:tcBorders>
              <w:top w:val="single" w:sz="8" w:color="0000EE"/>
            </w:tcBorders>
            <w:gridSpan w:val="14"/>
          </w:tcPr>
          <w:p>
            <w:pPr>
              <w:spacing w:after="0"/>
              <w:rPr>
                <w:sz w:val="17"/>
                <w:szCs w:val="17"/>
                <w:color w:val="auto"/>
              </w:rPr>
            </w:pPr>
          </w:p>
        </w:tc>
        <w:tc>
          <w:tcPr>
            <w:tcW w:w="23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BUSINESS</w:t>
              </w:r>
            </w:hyperlink>
          </w:p>
        </w:tc>
        <w:tc>
          <w:tcPr>
            <w:tcW w:w="10220" w:type="dxa"/>
            <w:vAlign w:val="bottom"/>
            <w:gridSpan w:val="3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SENIOR SECURITIES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INVESTMENT OBJECTIVES AND POLICIES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PORTFOLIO COMPANIES</w:t>
              </w:r>
            </w:hyperlink>
          </w:p>
        </w:tc>
        <w:tc>
          <w:tcPr>
            <w:tcW w:w="762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65">
              <w:r>
                <w:rPr>
                  <w:rFonts w:ascii="Arial" w:cs="Arial" w:eastAsia="Arial" w:hAnsi="Arial"/>
                  <w:sz w:val="18"/>
                  <w:szCs w:val="18"/>
                  <w:color w:val="0000EE"/>
                  <w:w w:val="97"/>
                </w:rPr>
                <w:t>MANAGEMENT</w:t>
              </w:r>
            </w:hyperlink>
          </w:p>
        </w:tc>
        <w:tc>
          <w:tcPr>
            <w:tcW w:w="720" w:type="dxa"/>
            <w:vAlign w:val="bottom"/>
            <w:tcBorders>
              <w:top w:val="single" w:sz="8" w:color="0000EE"/>
            </w:tcBorders>
            <w:gridSpan w:val="7"/>
          </w:tcPr>
          <w:p>
            <w:pPr>
              <w:spacing w:after="0"/>
              <w:rPr>
                <w:sz w:val="17"/>
                <w:szCs w:val="17"/>
                <w:color w:val="auto"/>
              </w:rPr>
            </w:pPr>
          </w:p>
        </w:tc>
        <w:tc>
          <w:tcPr>
            <w:tcW w:w="9060" w:type="dxa"/>
            <w:vAlign w:val="bottom"/>
            <w:gridSpan w:val="2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CONTROL PERSONS AND PRINCIPAL STOCKHOLDERS</w:t>
              </w:r>
            </w:hyperlink>
          </w:p>
        </w:tc>
        <w:tc>
          <w:tcPr>
            <w:tcW w:w="662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CERTAIN RELATIONSHIPS AND TRANSACTIONS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4"/>
              </w:rPr>
            </w:pPr>
            <w:hyperlink w:anchor="page76">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6"/>
          </w:tcPr>
          <w:p>
            <w:pPr>
              <w:spacing w:after="0"/>
              <w:rPr>
                <w:sz w:val="17"/>
                <w:szCs w:val="17"/>
                <w:color w:val="auto"/>
              </w:rPr>
            </w:pPr>
          </w:p>
        </w:tc>
        <w:tc>
          <w:tcPr>
            <w:tcW w:w="714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79">
              <w:r>
                <w:rPr>
                  <w:rFonts w:ascii="Arial" w:cs="Arial" w:eastAsia="Arial" w:hAnsi="Arial"/>
                  <w:sz w:val="18"/>
                  <w:szCs w:val="18"/>
                  <w:color w:val="0000EE"/>
                  <w:w w:val="96"/>
                </w:rPr>
                <w:t>DIVIDEND REINVESTMENT PLAN</w:t>
              </w:r>
            </w:hyperlink>
          </w:p>
        </w:tc>
        <w:tc>
          <w:tcPr>
            <w:tcW w:w="830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DESCRIPTION OF OUR CAPITAL STOCK</w:t>
              </w:r>
            </w:hyperlink>
          </w:p>
        </w:tc>
        <w:tc>
          <w:tcPr>
            <w:tcW w:w="7840" w:type="dxa"/>
            <w:vAlign w:val="bottom"/>
            <w:gridSpan w:val="1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DESCRIPTION OF OUR PREFERRED STOCK</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DESCRIPTION OF OUR WARRANTS</w:t>
              </w:r>
            </w:hyperlink>
          </w:p>
        </w:tc>
        <w:tc>
          <w:tcPr>
            <w:tcW w:w="758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DESCRIPTION OF OUR SUBSCRIPTION RIGHTS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2"/>
              </w:rPr>
            </w:pPr>
            <w:hyperlink w:anchor="page90">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6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03">
              <w:r>
                <w:rPr>
                  <w:rFonts w:ascii="Arial" w:cs="Arial" w:eastAsia="Arial" w:hAnsi="Arial"/>
                  <w:sz w:val="18"/>
                  <w:szCs w:val="18"/>
                  <w:color w:val="0000EE"/>
                  <w:w w:val="93"/>
                </w:rPr>
                <w:t>REGULATION</w:t>
              </w:r>
            </w:hyperlink>
          </w:p>
        </w:tc>
        <w:tc>
          <w:tcPr>
            <w:tcW w:w="9940" w:type="dxa"/>
            <w:vAlign w:val="bottom"/>
            <w:gridSpan w:val="3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9"/>
          </w:tcPr>
          <w:p>
            <w:pPr>
              <w:spacing w:after="0" w:line="196" w:lineRule="exact"/>
              <w:rPr>
                <w:rFonts w:ascii="Arial" w:cs="Arial" w:eastAsia="Arial" w:hAnsi="Arial"/>
                <w:sz w:val="18"/>
                <w:szCs w:val="18"/>
                <w:color w:val="0000EE"/>
                <w:w w:val="93"/>
              </w:rPr>
            </w:pPr>
            <w:hyperlink w:anchor="page107">
              <w:r>
                <w:rPr>
                  <w:rFonts w:ascii="Arial" w:cs="Arial" w:eastAsia="Arial" w:hAnsi="Arial"/>
                  <w:sz w:val="18"/>
                  <w:szCs w:val="18"/>
                  <w:color w:val="0000EE"/>
                  <w:w w:val="93"/>
                </w:rPr>
                <w:t>BROKERAGE ALLOCATIONS AND OTHER PRACTICES</w:t>
              </w:r>
            </w:hyperlink>
          </w:p>
        </w:tc>
        <w:tc>
          <w:tcPr>
            <w:tcW w:w="668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2"/>
          </w:tcPr>
          <w:p>
            <w:pPr>
              <w:spacing w:after="0" w:line="196" w:lineRule="exact"/>
              <w:rPr>
                <w:rFonts w:ascii="Arial" w:cs="Arial" w:eastAsia="Arial" w:hAnsi="Arial"/>
                <w:sz w:val="18"/>
                <w:szCs w:val="18"/>
                <w:color w:val="0000EE"/>
                <w:w w:val="94"/>
              </w:rPr>
            </w:pPr>
            <w:hyperlink w:anchor="page108">
              <w:r>
                <w:rPr>
                  <w:rFonts w:ascii="Arial" w:cs="Arial" w:eastAsia="Arial" w:hAnsi="Arial"/>
                  <w:sz w:val="18"/>
                  <w:szCs w:val="18"/>
                  <w:color w:val="0000EE"/>
                  <w:w w:val="94"/>
                </w:rPr>
                <w:t>MATERIAL U.S. FEDERAL INCOME TAX CONSIDERATIONS</w:t>
              </w:r>
            </w:hyperlink>
          </w:p>
        </w:tc>
        <w:tc>
          <w:tcPr>
            <w:tcW w:w="630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CUSTODIAN, TRANSFER AGENT AND TRUSTEE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LEGAL MATTERS</w:t>
              </w:r>
            </w:hyperlink>
          </w:p>
        </w:tc>
        <w:tc>
          <w:tcPr>
            <w:tcW w:w="718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700" w:type="dxa"/>
            <w:vAlign w:val="bottom"/>
            <w:gridSpan w:val="11"/>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INDEPENDENT REGISTERED PUBLIC ACCOUNTING FIRM</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468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PRIVACY PRINCIPLES</w:t>
              </w:r>
            </w:hyperlink>
          </w:p>
        </w:tc>
        <w:tc>
          <w:tcPr>
            <w:tcW w:w="638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700" w:type="dxa"/>
            <w:vAlign w:val="bottom"/>
            <w:gridSpan w:val="9"/>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8080" w:type="dxa"/>
            <w:vAlign w:val="bottom"/>
            <w:gridSpan w:val="1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w:anchor="page117">
              <w:r>
                <w:rPr>
                  <w:rFonts w:ascii="Arial" w:cs="Arial" w:eastAsia="Arial" w:hAnsi="Arial"/>
                  <w:sz w:val="18"/>
                  <w:szCs w:val="18"/>
                  <w:color w:val="0000EE"/>
                  <w:w w:val="95"/>
                </w:rPr>
                <w:t>INDEX TO FINANCIAL STATEMENTS</w:t>
              </w:r>
            </w:hyperlink>
          </w:p>
        </w:tc>
        <w:tc>
          <w:tcPr>
            <w:tcW w:w="808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57">
              <w:r>
                <w:rPr>
                  <w:rFonts w:ascii="Arial" w:cs="Arial" w:eastAsia="Arial" w:hAnsi="Arial"/>
                  <w:sz w:val="18"/>
                  <w:szCs w:val="18"/>
                  <w:color w:val="0000EE"/>
                  <w:w w:val="92"/>
                </w:rPr>
                <w:t>Part C OTHER INFORMATION</w:t>
              </w:r>
            </w:hyperlink>
          </w:p>
        </w:tc>
        <w:tc>
          <w:tcPr>
            <w:tcW w:w="872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1060" w:type="dxa"/>
            <w:vAlign w:val="bottom"/>
            <w:gridSpan w:val="34"/>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SIGNATURES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THIS PROSPECTUS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$250,000,000 of our common stock, preferred stock, debt securities, warrants representing rights to purchase shares of our common stock, preferred stock or debt securities and subscription rights to purchase common stock on the terms to be determined at the time of the offering. The securities may be offered at prices and on terms described in one or more supplements to this prospectus. This prospectus provides you with a general description of the securities that we may offer.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and the additional information described under the headings “Additional Information” and “Risk Factors” before you make an investment decision.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274"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PROSPECTUS SUMMARY</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You should read carefully the more detailed information set forth under “Risk Factors” and the other information included in this prospectus. In this prospectus and accompanying prospectus supplement, if any, except where the context suggests otherwise, the terms “we,” “us,” “our” and “PennantPark” refer to PennantPark Investment Corporation; “PennantPark Investment Advisers” or the “Investment Adviser” refers to PennantPark Investment Advisers, LLC; “PennantPark Investment Administration” or the “Administrator” refers to PennantPark Investment Administration,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PennantPark Investment Corporation, a Maryland corporation organized on January 11, 2007, is a closed-end, externally managed, non-diversified investment company that has elected to be treated as a business development company, or BDC, under the Investment Company Act of 1940, as amended, or the “1940 Act.” In addition, for tax purposes we have elected to be treated as a regulated investment company, or RIC, under the Code.</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mezzanine debt, senior secured loans and equity investments. From time to time, we may also invest in public companies whose securities are not thinly traded. We consider our core assets, by value and investment focus, to consist of subordinated debt, second lien secured debt and, to a lesser extent, equity investments.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 In this prospectus, we use the term “middle-market” to refer to companies with annual revenues between $50 million and $1 billion.</w:t>
      </w:r>
    </w:p>
    <w:p>
      <w:pPr>
        <w:spacing w:after="0" w:line="12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While our primary focus is to generate current income and capital appreciation through debt and equity investments in thinly traded or private U.S. companies, we may invest up to 30% of the portfolio in opportunistic investments. These investments may include investments in high-yield bonds, distressed debt, private equity or securities of public companies that are not thinly traded and securities of companies located outside of the United States. We expect that these public companies generally will have debt securities that are non-investment grade.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5" w:name="page6"/>
    <w:bookmarkEnd w:id="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provides highlights from the selected financial data disclosed on page 9 as of and for the periods ended December 31, 2007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Period from 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20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Three months ended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2007 (inception) to</w:t>
            </w:r>
          </w:p>
        </w:tc>
        <w:tc>
          <w:tcPr>
            <w:tcW w:w="0" w:type="dxa"/>
            <w:vAlign w:val="bottom"/>
          </w:tcPr>
          <w:p>
            <w:pPr>
              <w:spacing w:after="0"/>
              <w:rPr>
                <w:sz w:val="1"/>
                <w:szCs w:val="1"/>
                <w:color w:val="auto"/>
              </w:rPr>
            </w:pPr>
          </w:p>
        </w:tc>
      </w:tr>
      <w:tr>
        <w:trPr>
          <w:trHeight w:val="161"/>
        </w:trPr>
        <w:tc>
          <w:tcPr>
            <w:tcW w:w="7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yield and per share data)</w:t>
            </w:r>
          </w:p>
        </w:tc>
        <w:tc>
          <w:tcPr>
            <w:tcW w:w="202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85"/>
              </w:rPr>
              <w:t>December 31, 2007</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September 30, 2007</w:t>
            </w:r>
          </w:p>
        </w:tc>
        <w:tc>
          <w:tcPr>
            <w:tcW w:w="0" w:type="dxa"/>
            <w:vAlign w:val="bottom"/>
          </w:tcPr>
          <w:p>
            <w:pPr>
              <w:spacing w:after="0"/>
              <w:rPr>
                <w:sz w:val="1"/>
                <w:szCs w:val="1"/>
                <w:color w:val="auto"/>
              </w:rPr>
            </w:pPr>
          </w:p>
        </w:tc>
      </w:tr>
      <w:tr>
        <w:trPr>
          <w:trHeight w:val="142"/>
        </w:trPr>
        <w:tc>
          <w:tcPr>
            <w:tcW w:w="700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89"/>
              </w:rPr>
              <w:t>(unaudited)</w:t>
            </w: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jc w:val="right"/>
              <w:ind w:right="6"/>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4,732</w:t>
            </w:r>
          </w:p>
        </w:tc>
        <w:tc>
          <w:tcPr>
            <w:tcW w:w="8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7,305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(16,269)</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80" w:type="dxa"/>
            <w:vAlign w:val="bottom"/>
          </w:tcPr>
          <w:p>
            <w:pPr>
              <w:spacing w:after="0"/>
              <w:rPr>
                <w:sz w:val="19"/>
                <w:szCs w:val="19"/>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(11,537)</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Distributions declared per share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0.22</w:t>
            </w: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Net asset value per share</w:t>
            </w:r>
            <w:r>
              <w:rPr>
                <w:rFonts w:ascii="Arial" w:cs="Arial" w:eastAsia="Arial" w:hAnsi="Arial"/>
                <w:sz w:val="22"/>
                <w:szCs w:val="22"/>
                <w:color w:val="auto"/>
                <w:vertAlign w:val="superscript"/>
              </w:rPr>
              <w:t>(1)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322"/>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254,221</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429,679</w:t>
            </w: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555,008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Total investment portfolio</w:t>
            </w:r>
            <w:r>
              <w:rPr>
                <w:rFonts w:ascii="Arial" w:cs="Arial" w:eastAsia="Arial" w:hAnsi="Arial"/>
                <w:sz w:val="22"/>
                <w:szCs w:val="22"/>
                <w:color w:val="auto"/>
                <w:vertAlign w:val="superscript"/>
              </w:rPr>
              <w:t>(2)</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423,971</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548,976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Borrowings outstanding</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91,500</w:t>
            </w: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Yield on debt portfolio (at period end)</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10.4%</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line="217" w:lineRule="exact"/>
              <w:rPr>
                <w:sz w:val="20"/>
                <w:szCs w:val="20"/>
                <w:color w:val="auto"/>
              </w:rPr>
            </w:pPr>
            <w:r>
              <w:rPr>
                <w:rFonts w:ascii="Arial" w:cs="Arial" w:eastAsia="Arial" w:hAnsi="Arial"/>
                <w:sz w:val="18"/>
                <w:szCs w:val="18"/>
                <w:color w:val="auto"/>
              </w:rPr>
              <w:t>10.1%</w:t>
            </w:r>
            <w:r>
              <w:rPr>
                <w:rFonts w:ascii="Arial" w:cs="Arial" w:eastAsia="Arial" w:hAnsi="Arial"/>
                <w:sz w:val="22"/>
                <w:szCs w:val="22"/>
                <w:color w:val="auto"/>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Stock began trading on April 19, 2007. The market price per share as of December 31, 2007 and September 30, 2007, respectively, was $10.02 and $13.40.</w:t>
      </w:r>
    </w:p>
    <w:p>
      <w:pPr>
        <w:spacing w:after="0" w:line="111" w:lineRule="exact"/>
        <w:rPr>
          <w:rFonts w:ascii="Arial" w:cs="Arial" w:eastAsia="Arial" w:hAnsi="Arial"/>
          <w:sz w:val="15"/>
          <w:szCs w:val="15"/>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cash equivalents.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Unaudited.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investment activities are managed by the Investment Adviser under an investment management agreement (the “Investment Management Agreement”). The Investment Adviser is responsible for sourcing potential investments, conducting research on prospective investments, analyzing investment opportunities, structuring our investments and monitoring our investments and portfolio companies on an ongoing basis. The Investment Adviser is led by Arthur H. Penn, its founder and the founder of PennantPark.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L.P., or Apollo Investment Management,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2006.</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During the period in which Mr. Penn was the Chief Operating Officer, Apollo Investment raised approximately $930 million of gross proceeds in an initial public offering in April 2004 and raised an additional $308 million in a follow-on offering of public equity in March 2006. Mr. Penn supervised the negotiation and execution of a senior secured credit facility with a syndicate of banks which, as amended, provides for borrowings up to $2.0 billion. During Mr. Penn’s tenure with Apollo Investment, it invested approximately $2.8 billion in 73 companies in partnership with 54 different financial sponsors.</w:t>
      </w:r>
    </w:p>
    <w:p>
      <w:pPr>
        <w:spacing w:after="0" w:line="113"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During his more than 20-year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Investment Adviser has three experienced investment professionals, in addition to Mr. Penn, who are partners of the firm. These investment professionals, Geoffrey Chang, Salvatore Giannetti III and Whit Williams, have a combined 44 years of experience in the mezzanine, private equity and leveraged finance businesses. See “Management,” “Certain Relationships and Transactions—Investment Management Agreement” and “Risk Factors—Risks Relating to our Business and Structure.”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our administration agreement (the “Administration Agreement”), the Administrator furnishes us with clerical, bookkeeping and record keeping services and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 See “Certain Relationships and Transactions— Administration Agreement” and “Risk Factors—Risks Relating to our Business and Structure.”</w:t>
      </w:r>
    </w:p>
    <w:p>
      <w:pPr>
        <w:spacing w:after="0" w:line="12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Administrator has experienced professionals including, Aviv Efrat, who serves as our Chief Financial Officer and Treasurer. Mr. Efrat, who is also a Managing Director of PennantPark Investment Administration, has extensive experience in finance and administration of registered investment companies, having served for a decade as a Director at BlackRock, Inc., a leading investment firm.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do not intend to pursue short-term origination targets. We believe our approach will enable us to build an attractive investment portfolio that meets our return and value criteria over the long-term.</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Flexible Transaction Structuring</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believe the in-depth coverage and experience of Mr. Penn, as well as that of the other investment professionals of our Investment Adviser, enable us to invest throughout various stages of the economic cycle and provide us with ongoing market insights in addition to a significant investment sourcing engine.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because competition for investment opportunities generally has increased prior to downturn in the credit market which began in mid-2007 among alternative investment vehicles, such as hedge funds, those entities have begun to invest in areas they have not traditionally invested in, including investments in middle-market companies. As a result of these new entrants, competition for investment opportunities at middle-market companies had intensified. However, we believe that there has been a reduction in the amount of debt capital available for lending in leveraged buyout transactions since the downturn in the credit markets, which began in mid-2007. We believe this has resulted in a less competitive environment for making new investments.</w:t>
      </w:r>
    </w:p>
    <w:p>
      <w:pPr>
        <w:spacing w:after="0" w:line="118"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use the industry information available to our Investment Adviser to assess investment risks and determine appropriate pricing for our investments in portfolio companies. We benefit from the relationships of Messrs. Penn, Chang, Giannetti and Williams and other of our senior investment professionals retained by our Investment Adviser, who enable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maintain a five-year, multi-currency $300 million senior secured credit facility with a group of lenders, under which we had $10 million and $91.5 million of indebtedness outstanding at September 30, 2007 and December 31, 2007, respectively. Pricing on borrowings under our credit facility is set at 100 basis points over LIBOR. We expect that our substantial debt capital resources will provide us with the flexibility to take advantage of market opportunities when they arise. See note 11 to our financial statements.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and Regulatory Structure</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investment activities are managed by PennantPark Investment Advisers and supervised by our board of directors, a majority of whom are independent of PennantPark. PennantPark Investment Advisers is an Investment Adviser that is registered under the Investment Advisers Act of 1940, or the Advisers Act. Under our Investment Management Agreement, we pay PennantPark Investment Advisers an annual base management fee based on our gross assets as well as an incentive fee based on our performance. See “Certain Relationships and Transactions—Investment Management Agreement.”</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BDC, we are required to comply with certain regulatory requirements. Also, while we are permitted to finance investments using debt, our ability to use debt is limited in certain significant respects. See “Regulation.” We have elected to be treated for federal income tax purposes as a RIC. For more information, see “Material U.S. Federal Income Tax Considerations.”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intend to use the net proceeds from selling securities pursuant to this prospectus to reduce our outstanding obligations under our Credit Facility, invest in new or existing portfolio companies, or for other general corporate purposes. Any supplements to this prospectus relating to an offering will more fully identify the use of the proceeds from such offering.</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anticipate that substantially all of the net proceeds of an offering will be invested in new or existing portfolio companies within two years of issuance, depending on the availability of appropriate investment opportunities consistent with our investment objectives and market conditions. The management fee payable by us will not be reduced while our assets are invested in such securities. See “Regulation—Temporary Investments” for additional information about temporary investments we may make while waiting to make longer-term investments in pursuit of our investment objective.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The amount and general timing of our quarterly dividends, if any, will be determined by our board of directors. For more information, see “Distributions.”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and subject to extension. With respect to ARPS, we expect the dividend rate to be variable and determined for each dividend period. See “Risk Factors—Risks Related to Issuance of our Preferred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For more information, see “Dividend Reinvestment Plan.”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of Distribution</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may offer, from time to time, up to $250,000,000 of our securities, on terms to be determined at the time of each such offering and set forth in a supplement to this prospectus.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directly to one or more purchasers, through agents designated from time to time by us, or to or through underwriters or dealers.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For more information, see “Distributions.”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3" w:lineRule="exact"/>
        <w:rPr>
          <w:sz w:val="20"/>
          <w:szCs w:val="20"/>
          <w:color w:val="auto"/>
        </w:rPr>
      </w:pPr>
    </w:p>
    <w:p>
      <w:pPr>
        <w:ind w:right="160" w:firstLine="456"/>
        <w:spacing w:after="0" w:line="227"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NY 10022. Our common stock is quoted on NASDAQ under the symbol “PNNT”. Our Internet website address is www.pennantpark.com.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FEES AND EXPENSES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fees or expenses, stockholders will indirectly bear such fees or expenses as investors in the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Sales load (as a percentage of offering price) %</w:t>
            </w: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60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20"/>
        </w:trPr>
        <w:tc>
          <w:tcPr>
            <w:tcW w:w="10820" w:type="dxa"/>
            <w:vAlign w:val="bottom"/>
            <w:vMerge w:val="restart"/>
          </w:tcPr>
          <w:p>
            <w:pPr>
              <w:spacing w:after="0"/>
              <w:rPr>
                <w:sz w:val="20"/>
                <w:szCs w:val="20"/>
                <w:color w:val="auto"/>
              </w:rPr>
            </w:pPr>
            <w:r>
              <w:rPr>
                <w:rFonts w:ascii="Arial" w:cs="Arial" w:eastAsia="Arial" w:hAnsi="Arial"/>
                <w:sz w:val="18"/>
                <w:szCs w:val="18"/>
                <w:b w:val="1"/>
                <w:bCs w:val="1"/>
                <w:color w:val="auto"/>
              </w:rPr>
              <w:t>Total common stockholder expenses (as a percentage of offering price) %</w:t>
            </w: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20" w:type="dxa"/>
            <w:vAlign w:val="bottom"/>
            <w:vMerge w:val="continue"/>
          </w:tcPr>
          <w:p>
            <w:pPr>
              <w:spacing w:after="0"/>
              <w:rPr>
                <w:sz w:val="24"/>
                <w:szCs w:val="24"/>
                <w:color w:val="auto"/>
              </w:rPr>
            </w:pPr>
          </w:p>
        </w:tc>
        <w:tc>
          <w:tcPr>
            <w:tcW w:w="600" w:type="dxa"/>
            <w:vAlign w:val="bottom"/>
            <w:gridSpan w:val="2"/>
          </w:tcPr>
          <w:p>
            <w:pPr>
              <w:jc w:val="right"/>
              <w:spacing w:after="0" w:line="33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1082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Estimated annual expenses (as a percentage of net assets attributable to common shares)</w:t>
            </w:r>
            <w:r>
              <w:rPr>
                <w:rFonts w:ascii="Arial" w:cs="Arial" w:eastAsia="Arial" w:hAnsi="Arial"/>
                <w:sz w:val="22"/>
                <w:szCs w:val="22"/>
                <w:b w:val="1"/>
                <w:bCs w:val="1"/>
                <w:color w:val="auto"/>
                <w:vertAlign w:val="superscript"/>
              </w:rPr>
              <w:t>(4)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Management fees</w:t>
            </w:r>
          </w:p>
        </w:tc>
        <w:tc>
          <w:tcPr>
            <w:tcW w:w="600" w:type="dxa"/>
            <w:vAlign w:val="bottom"/>
            <w:gridSpan w:val="2"/>
          </w:tcPr>
          <w:p>
            <w:pPr>
              <w:jc w:val="right"/>
              <w:spacing w:after="0" w:line="217" w:lineRule="exact"/>
              <w:rPr>
                <w:sz w:val="20"/>
                <w:szCs w:val="20"/>
                <w:color w:val="auto"/>
              </w:rPr>
            </w:pPr>
            <w:r>
              <w:rPr>
                <w:rFonts w:ascii="Arial" w:cs="Arial" w:eastAsia="Arial" w:hAnsi="Arial"/>
                <w:sz w:val="18"/>
                <w:szCs w:val="18"/>
                <w:color w:val="auto"/>
                <w:w w:val="84"/>
              </w:rPr>
              <w:t>2.76%</w:t>
            </w:r>
            <w:r>
              <w:rPr>
                <w:rFonts w:ascii="Arial" w:cs="Arial" w:eastAsia="Arial" w:hAnsi="Arial"/>
                <w:sz w:val="22"/>
                <w:szCs w:val="22"/>
                <w:color w:val="auto"/>
                <w:w w:val="84"/>
                <w:vertAlign w:val="superscript"/>
              </w:rPr>
              <w:t>(5)</w:t>
            </w:r>
          </w:p>
        </w:tc>
        <w:tc>
          <w:tcPr>
            <w:tcW w:w="0" w:type="dxa"/>
            <w:vAlign w:val="bottom"/>
          </w:tcPr>
          <w:p>
            <w:pPr>
              <w:spacing w:after="0"/>
              <w:rPr>
                <w:sz w:val="1"/>
                <w:szCs w:val="1"/>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00" w:type="dxa"/>
            <w:vAlign w:val="bottom"/>
            <w:gridSpan w:val="2"/>
            <w:shd w:val="clear" w:color="auto" w:fill="CCEEFF"/>
          </w:tcPr>
          <w:p>
            <w:pPr>
              <w:jc w:val="right"/>
              <w:spacing w:after="0" w:line="217" w:lineRule="exact"/>
              <w:rPr>
                <w:sz w:val="20"/>
                <w:szCs w:val="20"/>
                <w:color w:val="auto"/>
              </w:rPr>
            </w:pPr>
            <w:r>
              <w:rPr>
                <w:rFonts w:ascii="Arial" w:cs="Arial" w:eastAsia="Arial" w:hAnsi="Arial"/>
                <w:sz w:val="18"/>
                <w:szCs w:val="18"/>
                <w:color w:val="auto"/>
                <w:w w:val="84"/>
              </w:rPr>
              <w:t>0.70%</w:t>
            </w:r>
            <w:r>
              <w:rPr>
                <w:rFonts w:ascii="Arial" w:cs="Arial" w:eastAsia="Arial" w:hAnsi="Arial"/>
                <w:sz w:val="22"/>
                <w:szCs w:val="22"/>
                <w:color w:val="auto"/>
                <w:w w:val="84"/>
                <w:vertAlign w:val="superscript"/>
              </w:rPr>
              <w:t>(6)</w:t>
            </w:r>
          </w:p>
        </w:tc>
        <w:tc>
          <w:tcPr>
            <w:tcW w:w="0" w:type="dxa"/>
            <w:vAlign w:val="bottom"/>
          </w:tcPr>
          <w:p>
            <w:pPr>
              <w:spacing w:after="0"/>
              <w:rPr>
                <w:sz w:val="1"/>
                <w:szCs w:val="1"/>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Interest and other credit facility related expenses on borrowed funds</w:t>
            </w:r>
          </w:p>
        </w:tc>
        <w:tc>
          <w:tcPr>
            <w:tcW w:w="600" w:type="dxa"/>
            <w:vAlign w:val="bottom"/>
            <w:gridSpan w:val="2"/>
          </w:tcPr>
          <w:p>
            <w:pPr>
              <w:jc w:val="right"/>
              <w:spacing w:after="0" w:line="217" w:lineRule="exact"/>
              <w:rPr>
                <w:sz w:val="20"/>
                <w:szCs w:val="20"/>
                <w:color w:val="auto"/>
              </w:rPr>
            </w:pPr>
            <w:r>
              <w:rPr>
                <w:rFonts w:ascii="Arial" w:cs="Arial" w:eastAsia="Arial" w:hAnsi="Arial"/>
                <w:sz w:val="18"/>
                <w:szCs w:val="18"/>
                <w:color w:val="auto"/>
                <w:w w:val="84"/>
              </w:rPr>
              <w:t>1.73%</w:t>
            </w:r>
            <w:r>
              <w:rPr>
                <w:rFonts w:ascii="Arial" w:cs="Arial" w:eastAsia="Arial" w:hAnsi="Arial"/>
                <w:sz w:val="22"/>
                <w:szCs w:val="22"/>
                <w:color w:val="auto"/>
                <w:w w:val="84"/>
                <w:vertAlign w:val="superscript"/>
              </w:rPr>
              <w:t>(7)</w:t>
            </w:r>
          </w:p>
        </w:tc>
        <w:tc>
          <w:tcPr>
            <w:tcW w:w="0" w:type="dxa"/>
            <w:vAlign w:val="bottom"/>
          </w:tcPr>
          <w:p>
            <w:pPr>
              <w:spacing w:after="0"/>
              <w:rPr>
                <w:sz w:val="1"/>
                <w:szCs w:val="1"/>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00" w:type="dxa"/>
            <w:vAlign w:val="bottom"/>
            <w:gridSpan w:val="2"/>
            <w:shd w:val="clear" w:color="auto" w:fill="CCEEFF"/>
          </w:tcPr>
          <w:p>
            <w:pPr>
              <w:jc w:val="right"/>
              <w:spacing w:after="0" w:line="217" w:lineRule="exact"/>
              <w:rPr>
                <w:sz w:val="20"/>
                <w:szCs w:val="20"/>
                <w:color w:val="auto"/>
              </w:rPr>
            </w:pPr>
            <w:r>
              <w:rPr>
                <w:rFonts w:ascii="Arial" w:cs="Arial" w:eastAsia="Arial" w:hAnsi="Arial"/>
                <w:sz w:val="18"/>
                <w:szCs w:val="18"/>
                <w:color w:val="auto"/>
                <w:w w:val="84"/>
              </w:rPr>
              <w:t>2.03%</w:t>
            </w:r>
            <w:r>
              <w:rPr>
                <w:rFonts w:ascii="Arial" w:cs="Arial" w:eastAsia="Arial" w:hAnsi="Arial"/>
                <w:sz w:val="22"/>
                <w:szCs w:val="22"/>
                <w:color w:val="auto"/>
                <w:w w:val="84"/>
                <w:vertAlign w:val="superscript"/>
              </w:rPr>
              <w:t>(8)</w:t>
            </w:r>
          </w:p>
        </w:tc>
        <w:tc>
          <w:tcPr>
            <w:tcW w:w="0" w:type="dxa"/>
            <w:vAlign w:val="bottom"/>
          </w:tcPr>
          <w:p>
            <w:pPr>
              <w:spacing w:after="0"/>
              <w:rPr>
                <w:sz w:val="1"/>
                <w:szCs w:val="1"/>
                <w:color w:val="auto"/>
              </w:rPr>
            </w:pPr>
          </w:p>
        </w:tc>
      </w:tr>
      <w:tr>
        <w:trPr>
          <w:trHeight w:val="398"/>
        </w:trPr>
        <w:tc>
          <w:tcPr>
            <w:tcW w:w="10820" w:type="dxa"/>
            <w:vAlign w:val="bottom"/>
          </w:tcPr>
          <w:p>
            <w:pPr>
              <w:spacing w:after="0"/>
              <w:rPr>
                <w:sz w:val="20"/>
                <w:szCs w:val="20"/>
                <w:color w:val="auto"/>
              </w:rPr>
            </w:pPr>
            <w:r>
              <w:rPr>
                <w:rFonts w:ascii="Arial" w:cs="Arial" w:eastAsia="Arial" w:hAnsi="Arial"/>
                <w:sz w:val="18"/>
                <w:szCs w:val="18"/>
                <w:b w:val="1"/>
                <w:bCs w:val="1"/>
                <w:color w:val="auto"/>
              </w:rPr>
              <w:t>Total annual expenses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4"/>
              </w:rPr>
              <w:t>7.22%</w:t>
            </w:r>
            <w:r>
              <w:rPr>
                <w:rFonts w:ascii="Arial" w:cs="Arial" w:eastAsia="Arial" w:hAnsi="Arial"/>
                <w:sz w:val="22"/>
                <w:szCs w:val="22"/>
                <w:color w:val="auto"/>
                <w:w w:val="84"/>
                <w:vertAlign w:val="superscript"/>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6" w:lineRule="exact"/>
        <w:rPr>
          <w:sz w:val="20"/>
          <w:szCs w:val="20"/>
          <w:color w:val="auto"/>
        </w:rPr>
      </w:pPr>
    </w:p>
    <w:p>
      <w:pPr>
        <w:ind w:left="460" w:right="8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w:t>
      </w:r>
    </w:p>
    <w:p>
      <w:pPr>
        <w:spacing w:after="0" w:line="37"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expenses of our dividend reinvestment plan are included in “other expenses” because they are not material expenses.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assets attributable to common shares” equals our net assets at December 31, 2007.</w:t>
      </w:r>
    </w:p>
    <w:p>
      <w:pPr>
        <w:spacing w:after="0" w:line="76"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37" w:lineRule="exact"/>
        <w:rPr>
          <w:rFonts w:ascii="Arial" w:cs="Arial" w:eastAsia="Arial" w:hAnsi="Arial"/>
          <w:sz w:val="18"/>
          <w:szCs w:val="18"/>
          <w:color w:val="auto"/>
        </w:rPr>
      </w:pPr>
    </w:p>
    <w:p>
      <w:pPr>
        <w:ind w:left="46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Incentive fees are based on actual amounts incurred during the three months ended December 31, 2007 and annualized for a full year. However, the incentive fees which are based on our performance, will vary from year to year and will not be paid unless our performance exceeds certain thresholds. As we cannot predict whether we will meet these thresholds, the incentive fee paid in future years, if any, may be substantially different than the fee earned during the three months ended December 31, 2007. For more detailed information about the incentive fee, please see the section of this prospectus captioned “Certain Relationships and Transactions—Investment Management Agreement” and Note 3 to our financial statements included elsewhere in this prospectus.</w:t>
      </w:r>
    </w:p>
    <w:p>
      <w:pPr>
        <w:spacing w:after="0" w:line="49" w:lineRule="exact"/>
        <w:rPr>
          <w:rFonts w:ascii="Arial" w:cs="Arial" w:eastAsia="Arial" w:hAnsi="Arial"/>
          <w:sz w:val="18"/>
          <w:szCs w:val="18"/>
          <w:color w:val="auto"/>
        </w:rPr>
      </w:pPr>
    </w:p>
    <w:p>
      <w:pPr>
        <w:ind w:left="460" w:right="60" w:hanging="452"/>
        <w:spacing w:after="0" w:line="298"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“Interest and other credit facility related expenses on borrowed funds” represents interest and credit facility fees incurred and amortization of debt issuance costs during the three months ended December 31, 2007 annualized for a full year. As of December 31, 2007, we had $208.5 million unused and $91.5 million in borrowings outstanding under our $300.0 million credit facility. For more information, see “Risk Factors—We currently use borrowed funds to make investments and are exposed to the typical risks associated with leverage.”</w:t>
      </w:r>
    </w:p>
    <w:p>
      <w:pPr>
        <w:spacing w:after="0" w:line="18" w:lineRule="exact"/>
        <w:rPr>
          <w:rFonts w:ascii="Arial" w:cs="Arial" w:eastAsia="Arial" w:hAnsi="Arial"/>
          <w:sz w:val="16"/>
          <w:szCs w:val="16"/>
          <w:color w:val="auto"/>
        </w:rPr>
      </w:pPr>
    </w:p>
    <w:p>
      <w:pPr>
        <w:ind w:left="460" w:right="120" w:hanging="452"/>
        <w:spacing w:after="0" w:line="25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and the expenses of the Investment Adviser reimbursable under our Investment Management Agreement and of the Administrator reimbursable under our Administration Agreement. Such expenses are based on actual other expenses for the three months ended December 31, 2007 annualized for a full year. See our “Consolidated Statement of Operations” in our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1" w:name="page12"/>
    <w:bookmarkEnd w:id="11"/>
    <w:p>
      <w:pPr>
        <w:ind w:left="460" w:right="60" w:hanging="452"/>
        <w:spacing w:after="0" w:line="318"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annual expenses” as a percentage of net assets attributable to common shares are higher than the total annual expenses percentage would be for a company that is not leveraged. We borrow money to leverage our net assets and increase our total assets. The SEC requires that the “total annual expenses” percentage be calculated as a percentage of net assets (defined as total assets less indebtedness), rather than the total assets, including assets that have been funded with borrowed monies. If the “total annual expenses” percentage were calculated instead as a percentage of total assets, our “total annual expenses” would be 5.24% of total assets. For a presentation and calculation of total annual expenses based on total assets, see page 33 of this prospectus.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following example illustrates the projected dollar amount of total cumulative expenses that you would pay on a $1,000 hypothetical investment in common shares, assuming (1) a 4.25% sales load (underwriting discounts and commissions) and offering expenses totaling 0.20%, (2) total net annual expenses of 6.52% of net assets attributable to common shares as set forth in the table above (other than performance-based incentive fees) and (3) a 5% annual return: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1 Year</w:t>
            </w:r>
          </w:p>
        </w:tc>
        <w:tc>
          <w:tcPr>
            <w:tcW w:w="4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3 Years</w:t>
            </w:r>
          </w:p>
        </w:tc>
        <w:tc>
          <w:tcPr>
            <w:tcW w:w="44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5 Years</w:t>
            </w:r>
          </w:p>
        </w:tc>
        <w:tc>
          <w:tcPr>
            <w:tcW w:w="4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10 Years</w:t>
            </w:r>
          </w:p>
        </w:tc>
        <w:tc>
          <w:tcPr>
            <w:tcW w:w="2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7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w w:val="79"/>
              </w:rPr>
              <w:t>$ 106</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$ 227</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$ 344</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  622</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additional information regarding our dividend reinvestment plan.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SELECTED FINANCIAL DATA</w:t>
      </w:r>
    </w:p>
    <w:p>
      <w:pPr>
        <w:spacing w:after="0" w:line="17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Quarterly financial information is derived from unaudited financial data and, in the opinion of management, reflects all adjustments (consisting of normal recurring adjustments) that are necessary to present fairly the results of such interim periods. Interim results as of and for the three months ended December 31, 2007 are not necessarily indicative of the results that may be expected for the year ending September 30, 2008. The Statement of Operations, Per Share Data and Balance Sheet Data for the period from January 11, 2007 (inception ) through September 30, 2007 are derived from our financial statements which have been audited by KPMG LLP, our independent registered public accounting firm. This selected financial data should be read in conjunction with our financial statements and related notes thereto and “Management’s Discussion and Analysis of Financial Condition and Results of Operations” and “Regulation—Senior Securities” included elsewhere in this prospectus.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January 11,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2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61"/>
        </w:trPr>
        <w:tc>
          <w:tcPr>
            <w:tcW w:w="7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2580" w:type="dxa"/>
            <w:vAlign w:val="bottom"/>
            <w:gridSpan w:val="3"/>
          </w:tcPr>
          <w:p>
            <w:pPr>
              <w:jc w:val="right"/>
              <w:ind w:right="1440"/>
              <w:spacing w:after="0"/>
              <w:rPr>
                <w:sz w:val="20"/>
                <w:szCs w:val="20"/>
                <w:color w:val="auto"/>
              </w:rPr>
            </w:pPr>
            <w:r>
              <w:rPr>
                <w:rFonts w:ascii="Arial" w:cs="Arial" w:eastAsia="Arial" w:hAnsi="Arial"/>
                <w:sz w:val="14"/>
                <w:szCs w:val="14"/>
                <w:b w:val="1"/>
                <w:bCs w:val="1"/>
                <w:color w:val="auto"/>
                <w:w w:val="88"/>
              </w:rPr>
              <w:t>December 31, 2007</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142"/>
        </w:trPr>
        <w:tc>
          <w:tcPr>
            <w:tcW w:w="736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7"/>
              </w:rPr>
              <w:t>(Unaudited)</w:t>
            </w:r>
          </w:p>
        </w:tc>
        <w:tc>
          <w:tcPr>
            <w:tcW w:w="1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9,004</w:t>
            </w:r>
          </w:p>
        </w:tc>
        <w:tc>
          <w:tcPr>
            <w:tcW w:w="1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line="217" w:lineRule="exact"/>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22"/>
                <w:szCs w:val="22"/>
                <w:color w:val="auto"/>
                <w:vertAlign w:val="superscript"/>
              </w:rPr>
              <w:t>(1)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4,272</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realized and unrealized loss</w:t>
            </w:r>
          </w:p>
        </w:tc>
        <w:tc>
          <w:tcPr>
            <w:tcW w:w="180" w:type="dxa"/>
            <w:vAlign w:val="bottom"/>
          </w:tcPr>
          <w:p>
            <w:pPr>
              <w:spacing w:after="0"/>
              <w:rPr>
                <w:sz w:val="18"/>
                <w:szCs w:val="18"/>
                <w:color w:val="auto"/>
              </w:rPr>
            </w:pPr>
          </w:p>
        </w:tc>
        <w:tc>
          <w:tcPr>
            <w:tcW w:w="2400" w:type="dxa"/>
            <w:vAlign w:val="bottom"/>
            <w:gridSpan w:val="2"/>
          </w:tcPr>
          <w:p>
            <w:pPr>
              <w:jc w:val="right"/>
              <w:ind w:right="1320"/>
              <w:spacing w:after="0"/>
              <w:rPr>
                <w:sz w:val="20"/>
                <w:szCs w:val="20"/>
                <w:color w:val="auto"/>
              </w:rPr>
            </w:pPr>
            <w:r>
              <w:rPr>
                <w:rFonts w:ascii="Arial" w:cs="Arial" w:eastAsia="Arial" w:hAnsi="Arial"/>
                <w:sz w:val="18"/>
                <w:szCs w:val="18"/>
                <w:color w:val="auto"/>
              </w:rPr>
              <w:t>(16,269)</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8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(11,537)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322"/>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0.23</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w:t>
            </w:r>
          </w:p>
        </w:tc>
        <w:tc>
          <w:tcPr>
            <w:tcW w:w="18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80" w:type="dxa"/>
            <w:vAlign w:val="bottom"/>
          </w:tcPr>
          <w:p>
            <w:pPr>
              <w:spacing w:after="0"/>
              <w:rPr>
                <w:sz w:val="18"/>
                <w:szCs w:val="18"/>
                <w:color w:val="auto"/>
              </w:rPr>
            </w:pPr>
          </w:p>
        </w:tc>
        <w:tc>
          <w:tcPr>
            <w:tcW w:w="2400" w:type="dxa"/>
            <w:vAlign w:val="bottom"/>
            <w:gridSpan w:val="2"/>
          </w:tcPr>
          <w:p>
            <w:pPr>
              <w:jc w:val="right"/>
              <w:ind w:right="1320"/>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322"/>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429,679</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555,008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line="217" w:lineRule="exact"/>
              <w:rPr>
                <w:sz w:val="20"/>
                <w:szCs w:val="20"/>
                <w:color w:val="auto"/>
              </w:rPr>
            </w:pPr>
            <w:r>
              <w:rPr>
                <w:rFonts w:ascii="Arial" w:cs="Arial" w:eastAsia="Arial" w:hAnsi="Arial"/>
                <w:sz w:val="18"/>
                <w:szCs w:val="18"/>
                <w:color w:val="auto"/>
              </w:rPr>
              <w:t>Total investment portfolio</w:t>
            </w:r>
            <w:r>
              <w:rPr>
                <w:rFonts w:ascii="Arial" w:cs="Arial" w:eastAsia="Arial" w:hAnsi="Arial"/>
                <w:sz w:val="22"/>
                <w:szCs w:val="22"/>
                <w:color w:val="auto"/>
                <w:vertAlign w:val="superscript"/>
              </w:rPr>
              <w:t>(3)</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423,971</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548,976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91,500</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Payable for investments and cash equivalents purchased</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79,407</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269,344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Total net asset value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254,221</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270,393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line="217" w:lineRule="exact"/>
              <w:rPr>
                <w:sz w:val="20"/>
                <w:szCs w:val="20"/>
                <w:color w:val="auto"/>
              </w:rPr>
            </w:pPr>
            <w:r>
              <w:rPr>
                <w:rFonts w:ascii="Arial" w:cs="Arial" w:eastAsia="Arial" w:hAnsi="Arial"/>
                <w:sz w:val="18"/>
                <w:szCs w:val="18"/>
                <w:color w:val="auto"/>
              </w:rPr>
              <w:t>Total return</w:t>
            </w:r>
            <w:r>
              <w:rPr>
                <w:rFonts w:ascii="Arial" w:cs="Arial" w:eastAsia="Arial" w:hAnsi="Arial"/>
                <w:sz w:val="22"/>
                <w:szCs w:val="22"/>
                <w:color w:val="auto"/>
                <w:vertAlign w:val="superscript"/>
              </w:rPr>
              <w:t>(2)</w:t>
            </w:r>
          </w:p>
        </w:tc>
        <w:tc>
          <w:tcPr>
            <w:tcW w:w="180" w:type="dxa"/>
            <w:vAlign w:val="bottom"/>
          </w:tcPr>
          <w:p>
            <w:pPr>
              <w:spacing w:after="0"/>
              <w:rPr>
                <w:sz w:val="18"/>
                <w:szCs w:val="18"/>
                <w:color w:val="auto"/>
              </w:rPr>
            </w:pPr>
          </w:p>
        </w:tc>
        <w:tc>
          <w:tcPr>
            <w:tcW w:w="2400" w:type="dxa"/>
            <w:vAlign w:val="bottom"/>
            <w:gridSpan w:val="2"/>
          </w:tcPr>
          <w:p>
            <w:pPr>
              <w:jc w:val="right"/>
              <w:ind w:right="1180"/>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(at period end)</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Value of long-term investments (at period end)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342,191</w:t>
            </w:r>
          </w:p>
        </w:tc>
        <w:tc>
          <w:tcPr>
            <w:tcW w:w="1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291,017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Yield on debt portfolio (at period end)</w:t>
            </w:r>
          </w:p>
        </w:tc>
        <w:tc>
          <w:tcPr>
            <w:tcW w:w="18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line="217" w:lineRule="exact"/>
              <w:rPr>
                <w:sz w:val="20"/>
                <w:szCs w:val="20"/>
                <w:color w:val="auto"/>
              </w:rPr>
            </w:pPr>
            <w:r>
              <w:rPr>
                <w:rFonts w:ascii="Arial" w:cs="Arial" w:eastAsia="Arial" w:hAnsi="Arial"/>
                <w:sz w:val="18"/>
                <w:szCs w:val="18"/>
                <w:color w:val="auto"/>
              </w:rPr>
              <w:t>10.1%</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Inception of operations.</w:t>
      </w:r>
    </w:p>
    <w:p>
      <w:pPr>
        <w:spacing w:after="0" w:line="7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base management fee waiver is in effect through March 31, 2008. See “Certain Relationships and Transactions-Investment Advisory Fees.”</w:t>
      </w:r>
    </w:p>
    <w:p>
      <w:pPr>
        <w:spacing w:after="0" w:line="72" w:lineRule="exact"/>
        <w:rPr>
          <w:rFonts w:ascii="Arial" w:cs="Arial" w:eastAsia="Arial" w:hAnsi="Arial"/>
          <w:sz w:val="16"/>
          <w:szCs w:val="16"/>
          <w:color w:val="auto"/>
        </w:rPr>
      </w:pPr>
    </w:p>
    <w:p>
      <w:pPr>
        <w:ind w:left="460" w:right="160" w:hanging="452"/>
        <w:spacing w:after="0" w:line="276"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Total return is based on the change in market price per share and takes into account dividends and distributions, if any, reinvested in accordance with our dividend reinvestment plan. Total return would have been (23.66)%</w:t>
      </w:r>
      <w:r>
        <w:rPr>
          <w:rFonts w:ascii="Arial" w:cs="Arial" w:eastAsia="Arial" w:hAnsi="Arial"/>
          <w:sz w:val="20"/>
          <w:szCs w:val="20"/>
          <w:color w:val="auto"/>
          <w:vertAlign w:val="superscript"/>
        </w:rPr>
        <w:t>(4)</w:t>
      </w:r>
      <w:r>
        <w:rPr>
          <w:rFonts w:ascii="Arial" w:cs="Arial" w:eastAsia="Arial" w:hAnsi="Arial"/>
          <w:sz w:val="16"/>
          <w:szCs w:val="16"/>
          <w:color w:val="auto"/>
        </w:rPr>
        <w:t xml:space="preserve"> and (8.49)%</w:t>
      </w:r>
      <w:r>
        <w:rPr>
          <w:rFonts w:ascii="Arial" w:cs="Arial" w:eastAsia="Arial" w:hAnsi="Arial"/>
          <w:sz w:val="20"/>
          <w:szCs w:val="20"/>
          <w:color w:val="auto"/>
          <w:vertAlign w:val="superscript"/>
        </w:rPr>
        <w:t>(4)</w:t>
      </w:r>
      <w:r>
        <w:rPr>
          <w:rFonts w:ascii="Arial" w:cs="Arial" w:eastAsia="Arial" w:hAnsi="Arial"/>
          <w:sz w:val="16"/>
          <w:szCs w:val="16"/>
          <w:color w:val="auto"/>
        </w:rPr>
        <w:t>, respectively, for the three months ended December 31, 2007 and the period from January 11, 2007 (inception) to September 30, 2007 without the base management fee waiver. Total return is not annualized.</w:t>
      </w:r>
    </w:p>
    <w:p>
      <w:pPr>
        <w:spacing w:after="0" w:line="14"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cash equivalent.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Selected Quarterly Data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6"/>
              </w:rPr>
              <w:t>2007</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97"/>
              <w:spacing w:after="0" w:line="142" w:lineRule="exact"/>
              <w:rPr>
                <w:sz w:val="20"/>
                <w:szCs w:val="20"/>
                <w:color w:val="auto"/>
              </w:rPr>
            </w:pPr>
            <w:r>
              <w:rPr>
                <w:rFonts w:ascii="Arial" w:cs="Arial" w:eastAsia="Arial" w:hAnsi="Arial"/>
                <w:sz w:val="14"/>
                <w:szCs w:val="14"/>
                <w:b w:val="1"/>
                <w:bCs w:val="1"/>
                <w:color w:val="auto"/>
                <w:w w:val="85"/>
              </w:rPr>
              <w:t>Q1</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98"/>
              <w:spacing w:after="0" w:line="142" w:lineRule="exact"/>
              <w:rPr>
                <w:sz w:val="20"/>
                <w:szCs w:val="20"/>
                <w:color w:val="auto"/>
              </w:rPr>
            </w:pPr>
            <w:r>
              <w:rPr>
                <w:rFonts w:ascii="Arial" w:cs="Arial" w:eastAsia="Arial" w:hAnsi="Arial"/>
                <w:sz w:val="14"/>
                <w:szCs w:val="14"/>
                <w:b w:val="1"/>
                <w:bCs w:val="1"/>
                <w:color w:val="auto"/>
                <w:w w:val="96"/>
              </w:rPr>
              <w:t>Q4</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Q3</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40"/>
              <w:spacing w:after="0" w:line="142" w:lineRule="exact"/>
              <w:rPr>
                <w:sz w:val="20"/>
                <w:szCs w:val="20"/>
                <w:color w:val="auto"/>
              </w:rPr>
            </w:pPr>
            <w:r>
              <w:rPr>
                <w:rFonts w:ascii="Arial" w:cs="Arial" w:eastAsia="Arial" w:hAnsi="Arial"/>
                <w:sz w:val="14"/>
                <w:szCs w:val="14"/>
                <w:b w:val="1"/>
                <w:bCs w:val="1"/>
                <w:color w:val="auto"/>
                <w:w w:val="99"/>
              </w:rPr>
              <w:t>Q2*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9,004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5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5,425</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4,732</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4,348</w:t>
            </w:r>
          </w:p>
        </w:tc>
        <w:tc>
          <w:tcPr>
            <w:tcW w:w="5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3,208</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(16,269)</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(18,870)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(5,152)</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(11,537)</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(14,522)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(1,944)</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(0.09)</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12.07</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12.83</w:t>
            </w:r>
          </w:p>
        </w:tc>
        <w:tc>
          <w:tcPr>
            <w:tcW w:w="5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13.74</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10.02</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5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14.04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From January 11, 2007 (inception of operations).</w:t>
      </w:r>
    </w:p>
    <w:p>
      <w:pPr>
        <w:spacing w:after="0" w:line="7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common stock began trading on April 19,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RISK FACTORS</w:t>
      </w:r>
    </w:p>
    <w:p>
      <w:pPr>
        <w:spacing w:after="0" w:line="1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debt securities, warrants or subscription rights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were incorporated in January 2007. We are subject to all of the business risks and uncertainties associated with any new business, including the risk that we will not achieve our investment objectives and that the value of our common stock could decline substantially. Although we have used, and will continue to use, the proceeds of our initial public offering and of our credit facility, we anticipate that it will take us up to two years from the date of our initial public offering to invest all of our assets in accordance with our investment objectives. Any distributions we make during such period may be substantially lower than the distributions that we expect to pay when our portfolio is fully invested.</w:t>
      </w:r>
    </w:p>
    <w:p>
      <w:pPr>
        <w:spacing w:after="0" w:line="191" w:lineRule="exact"/>
        <w:rPr>
          <w:sz w:val="20"/>
          <w:szCs w:val="20"/>
          <w:color w:val="auto"/>
        </w:rPr>
      </w:pPr>
    </w:p>
    <w:p>
      <w:pPr>
        <w:ind w:right="80"/>
        <w:spacing w:after="0" w:line="361" w:lineRule="auto"/>
        <w:rPr>
          <w:sz w:val="20"/>
          <w:szCs w:val="20"/>
          <w:color w:val="auto"/>
        </w:rPr>
      </w:pPr>
      <w:r>
        <w:rPr>
          <w:rFonts w:ascii="Arial" w:cs="Arial" w:eastAsia="Arial" w:hAnsi="Arial"/>
          <w:sz w:val="15"/>
          <w:szCs w:val="15"/>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ind w:right="100" w:firstLine="456"/>
        <w:spacing w:after="0" w:line="291"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Mr. Penn and other managers of our Investment Adviser evaluate, negotiate, structure, close and monitor our investments. Our future success depends on the continued service of Mr. Penn and other management personnel of our Investment Adviser. The departure of Mr. Penn or any other managers of PennantPark Investment Advisers could have a material adverse effect on our ability to achieve our investment objectives. In addition, we can offer no assurance that PennantPark Investment Advisers will remain our Investment Adviser.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make long-term, subordinated loans and invest in equity investments,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which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financial condition and results of operation will depend on our ability to manage future growth effectively.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will have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Investment Adviser may also be called upon to provide managerial assistance to portfolio companies as the principals of our Administrator and other investment vehicles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business development companies, commercial and investment banks, commercial financing companies, and, to the extent they provide an alternative form of financing, private equity funds. Additionally, because competition for investment opportunities generally has increased among alternative investment vehicles, such as hedge funds, those entities have begun to invest in areas they have not traditionally invested in, including making investments in middle-market companies. As a result of these new entrants, competition for investment opportunities at middle-market companies has intensified.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4"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Entrants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7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PennantPark may not replicate the historical performance of other investment companies with which Mr. Penn and our other investment professionals have been affiliated.</w:t>
      </w:r>
    </w:p>
    <w:p>
      <w:pPr>
        <w:spacing w:after="0" w:line="4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1940 Act imposes numerous constraints on the investment activities of business development companies. For example, business development companies are required to invest at least 70% of their total assets primarily in securities of U.S. private or thinly traded public companies, cash, cash equivalents, U.S. government securities and other high quality debt investments that mature in one year or less. These constraints may hinder our Investment Adviser’s ability to take advantage of attractive investment opportunities and to achieve our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6" w:name="page17"/>
    <w:bookmarkEnd w:id="16"/>
    <w:p>
      <w:pPr>
        <w:ind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 objectives. Mr. Penn, our Chief Executive Officer and the Managing Member of our Investment Adviser, has had approximately four years of experience managing the investments of PennantPark and another business development company. However, current market conditions and the current stage of the economic cycle present significant challenges to us that have not been present in recent years, if ever. In addition, the investment philosophy and techniques used by our Investment Adviser may differ from those used by other investment companies. Accordingly, we can offer no assurance that PennantPark will replicate the historical performance of other investment companies with which Mr. Penn and our other investment professionals have been affiliated, and we caution that our investment returns could be substantially lower than the returns achieved by such other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subject to corporate-level income tax if we are unable to qualify as a RIC.</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To qualify as a RIC under the Code, we must meet certain source-of-income, asset diversification and annual distribution requirements. The annual distribution requirement for a RIC is satisfied if we distribute at least 90% of our ordinary income and realized net short-term capital gains in excess of realized net long-term capital losses, if any, to our stockholders on an annual basis. To the extent we use debt financing, we are subject to certain asset coverage ratio requirements under the 1940 Act and financial covenants under loan and credit agreements that could, under certain circumstances, restrict us from making distributions necessary to qualify as a RIC. If we are unable to obtain cash from other sources, we may fail to qualify as a RIC and, thus, may be subject to corporate-level income tax. To qualify as a RIC, we must also meet certain asset diversification requirements at the end of each calendar quarter. Failure to meet these tests may result in having to dispose of certain investments quickly in order to prevent the loss of RIC status. Because most of our investments are in private companies, any such dispositions could be made at disadvantageous prices and may result in substantial losses. If we fail to qualify as a RIC for any reason and become subject to corporate income tax, the resulting corporate taxes could substantially reduce our net assets, the amount of income available for distribution and the amount of our distributions. Such a failure would have a material adverse effect on us and our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contracted payment-in-kind, or “PIK,” interest, which represents contractual interest added to the loan balance and due at the end of the loan term. Such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will be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some cases we may recognize income before or without receiving cash representing such income. As a result, we may have difficulty meeting the tax requirement to distribute at least 90% of our ordinary income and realized net short-term capital gains in excess of realized net long-term capital losses, if any, to obtain RIC tax</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7" w:name="page18"/>
    <w:bookmarkEnd w:id="1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benefits.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for RIC tax benefits and thus be subject to corporate level income tax.</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governing our operation as a BDC will affect our ability to, and the way in which we, raise additional capital.</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to purchase certain of our securities, the issuance of subscription rights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39" w:lineRule="exact"/>
        <w:rPr>
          <w:sz w:val="20"/>
          <w:szCs w:val="20"/>
          <w:color w:val="auto"/>
        </w:rPr>
      </w:pPr>
    </w:p>
    <w:p>
      <w:pPr>
        <w:ind w:left="900" w:right="40" w:hanging="325"/>
        <w:spacing w:after="0" w:line="294"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Senior Securities. </w:t>
      </w:r>
      <w:r>
        <w:rPr>
          <w:rFonts w:ascii="Arial" w:cs="Arial" w:eastAsia="Arial" w:hAnsi="Arial"/>
          <w:sz w:val="16"/>
          <w:szCs w:val="16"/>
          <w:color w:val="auto"/>
        </w:rPr>
        <w:t>As a result of issuing senior securities, we would also be exposed to typical risks associated with leverage, including an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risk of loss. If we issue preferred securities they would rank “senior” to common stock in our capital structure. Preferred stockholders would have separate voting rights and may have rights, preferences or privileges more favorable than those of our common stock. Furthermore, the issuance of preferred securities could have the effect of delaying, deferring or preventing a transaction or a change of control that might involve a premium price for our common stockholders or otherwise be in your best interest.</w:t>
      </w:r>
    </w:p>
    <w:p>
      <w:pPr>
        <w:spacing w:after="0" w:line="34" w:lineRule="exact"/>
        <w:rPr>
          <w:rFonts w:ascii="Arial" w:cs="Arial" w:eastAsia="Arial" w:hAnsi="Arial"/>
          <w:sz w:val="16"/>
          <w:szCs w:val="16"/>
          <w:color w:val="auto"/>
        </w:rPr>
      </w:pPr>
    </w:p>
    <w:p>
      <w:pPr>
        <w:ind w:left="900" w:hanging="325"/>
        <w:spacing w:after="0" w:line="289"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securities. As a BDC, we are generally not able to issue our common stock at a price below net asset value without first obtaining required approvals from our stockholders and our board of directors. 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37" w:lineRule="exact"/>
        <w:rPr>
          <w:rFonts w:ascii="Arial" w:cs="Arial" w:eastAsia="Arial" w:hAnsi="Arial"/>
          <w:sz w:val="16"/>
          <w:szCs w:val="16"/>
          <w:color w:val="auto"/>
        </w:rPr>
      </w:pPr>
    </w:p>
    <w:p>
      <w:pPr>
        <w:ind w:left="900" w:right="100" w:hanging="325"/>
        <w:spacing w:after="0" w:line="288"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 we</w:t>
      </w:r>
      <w:r>
        <w:rPr>
          <w:rFonts w:ascii="Arial" w:cs="Arial" w:eastAsia="Arial" w:hAnsi="Arial"/>
          <w:sz w:val="16"/>
          <w:szCs w:val="16"/>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We would retain all or a portion of the equity in the securitized pool of loans.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would not treat the debt issued by such a subsidiary as senior securities. An inability to successfully securitize our loan portfolio could limit our ability to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8" w:name="page19"/>
    <w:bookmarkEnd w:id="18"/>
    <w:p>
      <w:pPr>
        <w:jc w:val="both"/>
        <w:ind w:left="920"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grow our business and fully execute our business strategy and adversely affect our earnings, if any. Moreover, the successful securitization of our loan portfolio might expose us to losses as the residual loans in which we do not sell interests will tend to be those that are riskier and more apt to generate losses.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Because we borrow funds to make investments we are exposed to increased risk of loss due to our use of debt to make investments. A decrease in the value of our investments will have a greater negative impact on the value of our common stock than it would if we did not use debt. Our ability to pay distributions is restricted when our asset coverage ratio is not at least 200% and any amounts that we use to service our indebtedness is not available for distribution to our common stockholders.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current and future debt is governed by the terms of our credit facility and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indebtedness outstanding pursuant to our $300 million revolving credit facility and expect in the future to borrow additional amounts under our credit facility and to increase the size of our credit facility. Lenders have fixed dollar claims on our assets that are superior to the claims of our common stockholders or preferred stockholders, if any, and we have granted a security interest in our assets in connection with our credit facility borrowings. In the case of a liquidation event, those lenders would receive proceeds before our stockholders. In addition, borrowings, also known as leverage, magnify the potential for gain or loss on amounts invested and, therefore, increase the risks associated with investing in our securities. Leverage is generally considered a speculative investment technique. If the value of our assets increases, then leveraging would cause the net asset value attributable to our common stock to increase more than it otherwise would have had we not leveraged. Conversely, if the value of our assets decreases, leveraging would cause the net asset value attributable to our common stock to decline more than it otherwise would have had we not leveraged. Similarly, any increase in our revenue in excess of interest expense on our borrowed funds would cause our net income to increase more than it would without the leverage. Any decrease in our revenue would cause our net income to decline more than it would have had we not borrowed funds and could negatively affect our ability to make distributions on our common or preferred stock. Leverage is generally considered a speculative investment technique. Our ability to service any debt that we incur depends largely on our financial performance and is subject to prevailing economic conditions and competitive pressures.</w:t>
      </w:r>
    </w:p>
    <w:p>
      <w:pPr>
        <w:spacing w:after="0" w:line="12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of December 31, 2007 we had outstanding borrowings of $91.5 million under our credit facility with an annual interest rate at that time of 5.90%. Accordingly, to cover the annual interest on our borrowings outstanding at December 31, 2007 at the then current rate we would have to receive an annual return of at least 1.3%. This projection is for illustrative purposes only, and actual interest rates on our credit facility borrowings are likely to fluctuate. The costs associated with our borrowings, including any increase in the management fee payable to our Investment Adviser, will be borne by our common stockholders.</w:t>
      </w:r>
    </w:p>
    <w:p>
      <w:pPr>
        <w:spacing w:after="0" w:line="11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As a BDC, we generally are required to meet a coverage ratio of total assets to total borrowings and other senior securities, which include all of our borrowings and any preferred stock we may issue in the future, of at least 200%. If this ratio declines below 200%, we may not be able to incur additional debt and may need to sell a portion of our investments to repay some debt when it is disadvantageous to do so, and we may not be able to make distributions.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9" w:name="page20"/>
    <w:bookmarkEnd w:id="19"/>
    <w:p>
      <w:pPr>
        <w:ind w:right="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is designed to illustrate the effect on return to a holder of our common stock of the leverage created by our use of borrowing at December 31, 2007 of 26% of our total assets (including such borrowed funds), at the weighted average annual interest rate of 5.90% and assuming hypothetical annual returns on our portfolio of minus 10 to plus 10 percent.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22"/>
                <w:szCs w:val="22"/>
                <w:color w:val="auto"/>
                <w:vertAlign w:val="superscript"/>
              </w:rPr>
              <w:t>(1)</w:t>
            </w:r>
          </w:p>
        </w:tc>
        <w:tc>
          <w:tcPr>
            <w:tcW w:w="2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-10.0%</w:t>
            </w: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-5.0%</w:t>
            </w: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93"/>
        </w:trPr>
        <w:tc>
          <w:tcPr>
            <w:tcW w:w="550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22"/>
                <w:szCs w:val="22"/>
                <w:color w:val="auto"/>
                <w:vertAlign w:val="superscript"/>
              </w:rPr>
              <w:t>(2)</w:t>
            </w:r>
          </w:p>
        </w:tc>
        <w:tc>
          <w:tcPr>
            <w:tcW w:w="2800" w:type="dxa"/>
            <w:vAlign w:val="bottom"/>
          </w:tcPr>
          <w:p>
            <w:pPr>
              <w:jc w:val="right"/>
              <w:ind w:right="112"/>
              <w:spacing w:after="0"/>
              <w:rPr>
                <w:sz w:val="20"/>
                <w:szCs w:val="20"/>
                <w:color w:val="auto"/>
              </w:rPr>
            </w:pPr>
            <w:r>
              <w:rPr>
                <w:rFonts w:ascii="Arial" w:cs="Arial" w:eastAsia="Arial" w:hAnsi="Arial"/>
                <w:sz w:val="18"/>
                <w:szCs w:val="18"/>
                <w:color w:val="auto"/>
              </w:rPr>
              <w:t>-15.6%</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-8.9%</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4.7%</w:t>
            </w:r>
          </w:p>
        </w:tc>
        <w:tc>
          <w:tcPr>
            <w:tcW w:w="660" w:type="dxa"/>
            <w:vAlign w:val="bottom"/>
          </w:tcPr>
          <w:p>
            <w:pPr>
              <w:jc w:val="right"/>
              <w:spacing w:after="0"/>
              <w:rPr>
                <w:sz w:val="20"/>
                <w:szCs w:val="20"/>
                <w:color w:val="auto"/>
              </w:rPr>
            </w:pPr>
            <w:r>
              <w:rPr>
                <w:rFonts w:ascii="Arial" w:cs="Arial" w:eastAsia="Arial" w:hAnsi="Arial"/>
                <w:sz w:val="18"/>
                <w:szCs w:val="18"/>
                <w:color w:val="auto"/>
              </w:rPr>
              <w:t>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99" w:lineRule="exact"/>
        <w:rPr>
          <w:rFonts w:ascii="Arial" w:cs="Arial" w:eastAsia="Arial" w:hAnsi="Arial"/>
          <w:sz w:val="16"/>
          <w:szCs w:val="16"/>
          <w:color w:val="auto"/>
        </w:rPr>
      </w:pPr>
    </w:p>
    <w:p>
      <w:pPr>
        <w:jc w:val="both"/>
        <w:ind w:left="460" w:right="60" w:hanging="452"/>
        <w:spacing w:after="0" w:line="298"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table also assumes that we will maintain a constant level of leverage. The amount of leverage that we use will vary from time to time.</w:t>
      </w:r>
    </w:p>
    <w:p>
      <w:pPr>
        <w:spacing w:after="0" w:line="246"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gain or loss and the risks of investing in us in the same way as our borrowings.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must take preference over any dividends or other payments to our common stockholders, and preferred stockholders are not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interest rates may affect our cost of capital and net investment income.</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25, 2007, when we executed our credit facility, through December 31, 2007, the applicable LIBOR rate has decreased from 5.32% to 4.60%. In periods of rising interest rates, our cost of funds will increase, which could reduce our net investment income. 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“Quantitative and Qualitative Disclosures about Market Risk.”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0" w:name="page21"/>
    <w:bookmarkEnd w:id="20"/>
    <w:p>
      <w:pPr>
        <w:ind w:right="2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 For a definition of Pre-Incentive Fee Net Investment Income, see “Certain Relationships and Transactions—Investment Management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exposed to risks associated with changes in interest rates.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including subordinated loans, senior and junior secured and unsecured debt securities and loans and high-yield bonds,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raise additional capital to grow because we must distribute most of our income.</w:t>
      </w:r>
    </w:p>
    <w:p>
      <w:pPr>
        <w:spacing w:after="0" w:line="96" w:lineRule="exact"/>
        <w:rPr>
          <w:sz w:val="20"/>
          <w:szCs w:val="20"/>
          <w:color w:val="auto"/>
        </w:rPr>
      </w:pPr>
    </w:p>
    <w:p>
      <w:pPr>
        <w:jc w:val="both"/>
        <w:ind w:right="160" w:firstLine="456"/>
        <w:spacing w:after="0" w:line="255" w:lineRule="auto"/>
        <w:rPr>
          <w:sz w:val="20"/>
          <w:szCs w:val="20"/>
          <w:color w:val="auto"/>
        </w:rPr>
      </w:pPr>
      <w:r>
        <w:rPr>
          <w:rFonts w:ascii="Arial" w:cs="Arial" w:eastAsia="Arial" w:hAnsi="Arial"/>
          <w:sz w:val="18"/>
          <w:szCs w:val="18"/>
          <w:color w:val="auto"/>
        </w:rPr>
        <w:t>We may need additional capital to fund the growth of our investments. We have issued equity securities and have borrowed from financial institutions. A reduction in the availability of new capital could limit our ability to grow. We will be required to distribute at least 90% of our ordinary income and realized net short-term capital gains in excess of realized net long-term capital losses, if any, to our stockholders to maintain our RIC status. As a result, these earnings will not be available to fund new investments. If we fail to obtain additional capital to fund our investments, this could limit our ability to grow, which may have an adverse effect on the value of our securities.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as a business development company, we are generally required to maintain a ratio of total assets to total borrowings of at least 200%. This may restrict our ability to borrow in certain circumstances.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partners of our Investment Adviser may serve as officers, directors or principals of entities that operate in the same or a related line of business as we do or of investment funds managed by affiliates of PennantPark that may be formed in the future. The Investment Adviser has not yet undertaken any such services, but may do so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w:t>
      </w:r>
    </w:p>
    <w:p>
      <w:pPr>
        <w:spacing w:after="0" w:line="14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1" w:name="page22"/>
    <w:bookmarkEnd w:id="21"/>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Investment Adviser may receive a quarterly incentive fee based, in part, on our Pre-Incentive Fee Net Investment Income, if any, for the immediately preceding calendar quarter. This incentive fee is subject to a quarterly hurdle rate before providing an incentive fee return to the Investment Adviser. To the extent we or the Investment Adviser are able to exert influence over our portfolio companies, the quarterly incentive fee may provide PennantPark Investment Advisers with an incentive to induce our portfolio companies to accelerate or defer interest or other obligations owed to us from one calendar quarter to another. For a discussion of our advisory fees, see “Certain Relationships and Transactions—Investment Management Agreement.”</w:t>
      </w:r>
    </w:p>
    <w:p>
      <w:pPr>
        <w:spacing w:after="0" w:line="1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have entered into a license agreement (the “License Agreement”) with PennantPark Investment Advisers, pursuant to which our Investment Adviser has agreed to grant us a royalty-free non-exclusive license to use the name “PennantPark.” Under the License Agreement, we will have the right to use the “PennantPark” name for so long as the Investment Adviser or one of its affiliates remains our Investment Adviser. Other than with respect to this limited license, we will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our recording values that are materially different than the values we ultimately receive upon disposition of such assets.</w:t>
      </w:r>
    </w:p>
    <w:p>
      <w:pPr>
        <w:spacing w:after="0" w:line="4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All of our investments are recorded using broker/dealers quotes, or at fair value as determined in good faith by our board of directors. As a result, there will be uncertainty as to the value of our portfolio investments. We expect that a large percentage of our portfolio investments will be in the form of securities that have no broker/dealers quotes. The fair value of such securities may not be readily determinable. We value these securities quarterly at fair value as determined in good faith by our board of directors.</w:t>
      </w:r>
    </w:p>
    <w:p>
      <w:pPr>
        <w:spacing w:after="0" w:line="14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At December 31, 2007, most of our portfolio assets were recorded using broker/dealers quotes. As we invest a greater percentage of our total assets in core assets,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2" w:name="page23"/>
    <w:bookmarkEnd w:id="22"/>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value each individual investment on a quarterly basis and record unrealized depreciation for an investment that we believe has become impaired, including where collection of a loan or realization of an equity investment is doubtful, or when the enterprise value of the portfolio company does not currently support the cost of our debt or equity investment. Enterprise value means the entire value of the company to a potential buyer, including the sum of the values of debt and equity investments used to capitalize the enterprise at a point in time. We will record unrealized appreciation if we believe that the underlying portfolio company has appreciated in value. Without a readily available market value and because of the inherent uncertainty of valuation, the fair value of our investments determined in good faith by the board of directors may differ significantly from the values that would have been used had a ready market existed for the investments, and the differences could be material. Our net asset value could be affected if our determination of the fair value of our investments is materially different than the value that we ultimately realize.</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adjust quarterly the valuation of our portfolio to reflect our board of directors’ determination of the fair value of each investment in our portfolio. Any changes in fair value are recorded in our statement of operations as net change in unrealized appreciation or depreciation.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may acquire our core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recapitalization, or initial public offering of the company, but we are not required to do so.</w:t>
      </w:r>
    </w:p>
    <w:p>
      <w:pPr>
        <w:spacing w:after="0" w:line="10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in light of current market developments in which investor appetite for illiquid securities has substantially diminished.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general disruption in the credit markets could materially damage our business.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United States dollar, a sharp economic downturn or an operational problem that affects third parties or us, and could materially damage our business.</w:t>
      </w:r>
    </w:p>
    <w:p>
      <w:pPr>
        <w:spacing w:after="0" w:line="21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We rely in part on our senior secured securities to provide us with adequate liquidity, but even these securities face liquidity constraints under current market conditions.</w:t>
      </w:r>
    </w:p>
    <w:p>
      <w:pPr>
        <w:spacing w:after="0" w:line="4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Even the market for senior secured debt securities and other over-the-counter traded securities has weakened as the viability of any over-the-counter secondary market depends on the continued willingness of dealers and other participants to purchase the securities, which has slackened under current market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invest primarily in mezzanine debt, senior secured loans and selected equity investments issued by U.S. middle-market companies.</w:t>
      </w:r>
    </w:p>
    <w:p>
      <w:pPr>
        <w:spacing w:after="0" w:line="19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Mezzanine Debt: </w:t>
      </w:r>
      <w:r>
        <w:rPr>
          <w:rFonts w:ascii="Arial" w:cs="Arial" w:eastAsia="Arial" w:hAnsi="Arial"/>
          <w:sz w:val="16"/>
          <w:szCs w:val="16"/>
          <w:color w:val="auto"/>
        </w:rPr>
        <w:t>Our mezzanine debt investments will generally be subordinated to senior secured loans and will generally be unsecured. This may result</w:t>
      </w:r>
      <w:r>
        <w:rPr>
          <w:rFonts w:ascii="Arial" w:cs="Arial" w:eastAsia="Arial" w:hAnsi="Arial"/>
          <w:sz w:val="16"/>
          <w:szCs w:val="16"/>
          <w:i w:val="1"/>
          <w:iCs w:val="1"/>
          <w:color w:val="auto"/>
        </w:rPr>
        <w:t xml:space="preserve"> </w:t>
      </w:r>
      <w:r>
        <w:rPr>
          <w:rFonts w:ascii="Arial" w:cs="Arial" w:eastAsia="Arial" w:hAnsi="Arial"/>
          <w:sz w:val="16"/>
          <w:szCs w:val="16"/>
          <w:color w:val="auto"/>
        </w:rPr>
        <w:t>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extend senior secured loans, we will generally take a security interest in the available assets of these portfolio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4" w:name="page25"/>
    <w:bookmarkEnd w:id="24"/>
    <w:p>
      <w:pPr>
        <w:jc w:val="both"/>
        <w:ind w:right="240" w:firstLine="456"/>
        <w:spacing w:after="0" w:line="303"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Equity Investments: </w:t>
      </w:r>
      <w:r>
        <w:rPr>
          <w:rFonts w:ascii="Arial" w:cs="Arial" w:eastAsia="Arial" w:hAnsi="Arial"/>
          <w:sz w:val="15"/>
          <w:szCs w:val="15"/>
          <w:color w:val="auto"/>
        </w:rPr>
        <w:t>We have made and expect to continue to make selected equity investments. In addition, when we invest in senior secured loans or</w:t>
      </w:r>
      <w:r>
        <w:rPr>
          <w:rFonts w:ascii="Arial" w:cs="Arial" w:eastAsia="Arial" w:hAnsi="Arial"/>
          <w:sz w:val="15"/>
          <w:szCs w:val="15"/>
          <w:i w:val="1"/>
          <w:iCs w:val="1"/>
          <w:color w:val="auto"/>
        </w:rPr>
        <w:t xml:space="preserve"> </w:t>
      </w:r>
      <w:r>
        <w:rPr>
          <w:rFonts w:ascii="Arial" w:cs="Arial" w:eastAsia="Arial" w:hAnsi="Arial"/>
          <w:sz w:val="15"/>
          <w:szCs w:val="15"/>
          <w:color w:val="auto"/>
        </w:rPr>
        <w:t>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Accordingly, we may not be able to realize gains from our equity investments, and any gains that we do realize on the disposition of any equity investments may not be sufficient to offset any other losses we experience.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jc w:val="both"/>
        <w:ind w:left="900" w:right="26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2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4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If we do not invest a sufficient portion of our assets in qualifying assets, we could fail to qualify as a business development company or be precluded from investing according to our current business strategy.</w:t>
      </w:r>
    </w:p>
    <w:p>
      <w:pPr>
        <w:spacing w:after="0" w:line="4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a business development company, we may not acquire any assets other than “qualifying assets” unless, at the time of and after giving effect to such acquisition, at least 70% of our total assets are qualifying assets. See “Regulation.”</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most of our senior secured loans and mezzanine debt investments will constitute as qualifying assets. However, we may be precluded from investing in what we believe are attractive investments if such investments are not qualifying assets for purposes of the 1940 Act. If we do not invest a sufficient portion of our assets in qualifying assets, we could lose our status as a business development company, which would have a material adverse effect on our business, financial condition and results of operations.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4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5" w:name="page26"/>
    <w:bookmarkEnd w:id="25"/>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of a single issuer, excluding limitations on stakeholdings in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Many financial experts believe that we are about to enter into a recession or are already in a recession. Many of our portfolio companies may be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even though we may have structured our investment as senior secured loans.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 We may elect not to make follow-on investments or otherwise lack sufficient funds to make those investments.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the discretion to make any follow-on investments, subject to the availability of capital resources.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6" w:name="page27"/>
    <w:bookmarkEnd w:id="26"/>
    <w:p>
      <w:pPr>
        <w:ind w:right="620"/>
        <w:spacing w:after="0" w:line="33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Because we do not generally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Although we may do so in the future, we do not currently have controlling equity positions in our portfolio companies. As a result,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will typically hold in our portfolio companies, we may not be able to dispose of our investments in the event we disagree with the actions of a portfolio company, and may therefore suffer a decrease in the value of our investments.</w:t>
      </w:r>
    </w:p>
    <w:p>
      <w:pPr>
        <w:spacing w:after="0" w:line="21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presents certain challenges, including the lack of available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We invest primarily in mezzanine debt, senior secured loans and equity investments issued by our portfolio companies. The portfolio companies usually will have, or may be permitted to incur, other debt that ranks equally with, or senior to, the debt securities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7" w:name="page28"/>
    <w:bookmarkEnd w:id="27"/>
    <w:p>
      <w:pPr>
        <w:ind w:righ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incentive fee payable by us to our Investment Adviser also may induce PennantPark Investment Advisers to invest on our behalf in instruments that have a deferred interest feature, even if such deferred payments would not provide cash necessary to enable us to pay current distributions to our stockholders. Under these investments, we would accrue interest over the life of the investment but would not receive the cash income from the investment until the end of the term. Our Pre-Incentive Fee Net Investment Income used to calculate the income portion of our investment fee, however, includes accrued interest. Thus, a portion of this incentive fee would be based on income that we have not yet received in cash.</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including private funds.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statement of operations for that quarter. Thus, we may be required to pay our manager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9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or the removal of our directors. We are subject to the Maryland Business Combination Act, the application of which is subject to any applicable requirements of the 1940 Act. Our board of directors has adopted a resolution exempting us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RISKS RELATED TO ISSUANCE OF OUR PREFERRED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investment in our preferred stock should not constitute a complete investment program.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issue preferred stock, the net asset value and market value of our common stock may become more volatile.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cannot assure that the issuance of preferred stock would result in a higher yield or return to the holders of our common stock. The issuance of preferred stock would likely cause the net asset value and market value of our common stock to become more volatile. If the dividend rate on the preferred stock were to approach the net rate of return on our investment portfolio, the benefit of leverage to the holders of our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greater net asset value decrease would also tend to cause a greater decline in the market price for our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we would pay (and the holders of our common stock would bear) all costs and expenses relating to the issuance and ongoing maintenance of the preferred stock, including higher advisory fees if our total return exceeds the dividend rate on the preferred stock. Holders of preferred stock may have different interests than holders of common stock and may at times have disproportionate influence over our affairs.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Holders of any preferred stock we might issue would have the right to elect members of the board of directors and class voting rights on certain matters.</w:t>
      </w:r>
    </w:p>
    <w:p>
      <w:pPr>
        <w:spacing w:after="0" w:line="13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Holders of any preferred stock we might issue, voting separately as a single class, would have the right to elect two members of our Board of Directors at all times and in the event dividends become two full years in arrears would have the right to elect a majority of the directors until such arrearage is completely eliminated. In addition, preferred stockholders have class voting rights on certain matters, including changes in fundamental investment restrictions and conversion to open-end status, and accordingly can veto any changes. Restrictions imposed on the declarations and payment of dividends or other distributions to the holders of our common stock and preferred stock, both by the 1940 Act and be requirements imposed by rating agencies, might impair our ability to maintain our qualification as an RIC for federal income tax purposes.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we may be limited in our ability to make distributions. Finally,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Investing in our shares may involve an above average degree of risk.</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NAV. Our shares traded on NASDAQ at $10.02 and $13.40 as of December 31, 2007 and September 30, 2007, respectively. Our NAV was $12.07 and $12.83, as of December 31, 2007 and September 30, 2007,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 including Mr. Penn;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FORWARD-LOOKING STATEMENTS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prospectus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2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set forth in our preliminary prospectus entitled “Risk Factors” and elsewhere.</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the Securities and Exchange Commission (“SEC”), including annual reports on Form 10-K, reports on Form 10-Q and current reports on Form 8-K.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USE OF PROCEEDS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intend to use the net proceeds from selling securities pursuant to this prospectus to reduce our outstanding obligations under our Credit Facility, invest in new or existing portfolio companies, or for other general corporate purposes. Any supplements to this prospectus relating to an offering will more fully identify the use of the proceeds from such offering.</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anticipate that substantially all of the net proceeds of an offering will be invested in new or existing portfolio companies within two years of issuance, depending on the availability of appropriate investment opportunities consistent with our investment objectives and market conditions. The management fee payable by us will not be reduced while our assets are invested in such securities. See “Regulation—Temporary Investments” for additional information about temporary investments we may make while waiting to make longer-term investments in pursuit of our investment objective.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DISTRIBUTIONS</w:t>
      </w:r>
    </w:p>
    <w:p>
      <w:pPr>
        <w:spacing w:after="0" w:line="17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intend to make distributions on a quarterly basis to our stockholders. The amount and general timing of our quarterly distributions, if any, will be determined by our Board of Directors. We intend to distribute to our stockholders substantially all of our income. We may elect to make deemed distributions to our stockholders of certain net capital gains. If this happens, you will be treated as if you received an actual distribution of the capital gains we retain and reinvested the after-tax net proceeds in us. You also may be eligible to claim a tax credit (or, in certain circumstances, a tax refund) equal to your allocable share of the tax we paid on the capital gains deemed distributed to you. See “Material U.S. Federal Income Tax Considerations.” With respect to the dividends paid to stockholders, income from origination, structuring, closing, commitment and other upfront fees associated with investments in portfolio companies is treated as taxable income and accordingly, distributed to stockholders.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summarizes our dividends declared since shares of our common stock began being regularly quoted on the NASDAQ Global Select Market:</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8"/>
              </w:rPr>
              <w:t>Dividend</w:t>
            </w:r>
          </w:p>
        </w:tc>
      </w:tr>
      <w:tr>
        <w:trPr>
          <w:trHeight w:val="161"/>
        </w:trPr>
        <w:tc>
          <w:tcPr>
            <w:tcW w:w="898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Declared</w:t>
            </w:r>
          </w:p>
        </w:tc>
      </w:tr>
      <w:tr>
        <w:trPr>
          <w:trHeight w:val="142"/>
        </w:trPr>
        <w:tc>
          <w:tcPr>
            <w:tcW w:w="89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Fiscal year ending September 30, 2008</w:t>
            </w:r>
          </w:p>
        </w:tc>
        <w:tc>
          <w:tcPr>
            <w:tcW w:w="1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8980" w:type="dxa"/>
            <w:vAlign w:val="bottom"/>
          </w:tcPr>
          <w:p>
            <w:pPr>
              <w:ind w:left="440"/>
              <w:spacing w:after="0" w:line="149" w:lineRule="exact"/>
              <w:rPr>
                <w:sz w:val="20"/>
                <w:szCs w:val="20"/>
                <w:color w:val="auto"/>
              </w:rPr>
            </w:pPr>
            <w:r>
              <w:rPr>
                <w:rFonts w:ascii="Arial" w:cs="Arial" w:eastAsia="Arial" w:hAnsi="Arial"/>
                <w:sz w:val="14"/>
                <w:szCs w:val="14"/>
                <w:color w:val="auto"/>
              </w:rPr>
              <w:t>Second quarter</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20"/>
              <w:spacing w:after="0" w:line="149" w:lineRule="exact"/>
              <w:rPr>
                <w:sz w:val="20"/>
                <w:szCs w:val="20"/>
                <w:color w:val="auto"/>
              </w:rPr>
            </w:pPr>
            <w:r>
              <w:rPr>
                <w:rFonts w:ascii="Arial" w:cs="Arial" w:eastAsia="Arial" w:hAnsi="Arial"/>
                <w:sz w:val="14"/>
                <w:szCs w:val="14"/>
                <w:color w:val="auto"/>
                <w:w w:val="80"/>
              </w:rPr>
              <w:t>0.22</w:t>
            </w:r>
          </w:p>
        </w:tc>
        <w:tc>
          <w:tcPr>
            <w:tcW w:w="60" w:type="dxa"/>
            <w:vAlign w:val="bottom"/>
          </w:tcPr>
          <w:p>
            <w:pPr>
              <w:spacing w:after="0"/>
              <w:rPr>
                <w:sz w:val="12"/>
                <w:szCs w:val="12"/>
                <w:color w:val="auto"/>
              </w:rPr>
            </w:pPr>
          </w:p>
        </w:tc>
      </w:tr>
      <w:tr>
        <w:trPr>
          <w:trHeight w:val="149"/>
        </w:trPr>
        <w:tc>
          <w:tcPr>
            <w:tcW w:w="89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First quarter</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0"/>
              </w:rPr>
              <w:t>0.22</w:t>
            </w:r>
          </w:p>
        </w:tc>
        <w:tc>
          <w:tcPr>
            <w:tcW w:w="60" w:type="dxa"/>
            <w:vAlign w:val="bottom"/>
            <w:shd w:val="clear" w:color="auto" w:fill="CCEEFF"/>
          </w:tcPr>
          <w:p>
            <w:pPr>
              <w:spacing w:after="0"/>
              <w:rPr>
                <w:sz w:val="12"/>
                <w:szCs w:val="12"/>
                <w:color w:val="auto"/>
              </w:rPr>
            </w:pPr>
          </w:p>
        </w:tc>
      </w:tr>
      <w:tr>
        <w:trPr>
          <w:trHeight w:val="257"/>
        </w:trPr>
        <w:tc>
          <w:tcPr>
            <w:tcW w:w="8980" w:type="dxa"/>
            <w:vAlign w:val="bottom"/>
          </w:tcPr>
          <w:p>
            <w:pPr>
              <w:spacing w:after="0"/>
              <w:rPr>
                <w:sz w:val="20"/>
                <w:szCs w:val="20"/>
                <w:color w:val="auto"/>
              </w:rPr>
            </w:pPr>
            <w:r>
              <w:rPr>
                <w:rFonts w:ascii="Arial" w:cs="Arial" w:eastAsia="Arial" w:hAnsi="Arial"/>
                <w:sz w:val="14"/>
                <w:szCs w:val="14"/>
                <w:b w:val="1"/>
                <w:bCs w:val="1"/>
                <w:color w:val="auto"/>
              </w:rPr>
              <w:t>Fiscal year ended September 30, 2007</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49"/>
        </w:trPr>
        <w:tc>
          <w:tcPr>
            <w:tcW w:w="89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Fourth quarter</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0"/>
              </w:rPr>
              <w:t>0.22</w:t>
            </w:r>
          </w:p>
        </w:tc>
        <w:tc>
          <w:tcPr>
            <w:tcW w:w="60" w:type="dxa"/>
            <w:vAlign w:val="bottom"/>
            <w:shd w:val="clear" w:color="auto" w:fill="CCEEFF"/>
          </w:tcPr>
          <w:p>
            <w:pPr>
              <w:spacing w:after="0"/>
              <w:rPr>
                <w:sz w:val="12"/>
                <w:szCs w:val="12"/>
                <w:color w:val="auto"/>
              </w:rPr>
            </w:pPr>
          </w:p>
        </w:tc>
      </w:tr>
      <w:tr>
        <w:trPr>
          <w:trHeight w:val="156"/>
        </w:trPr>
        <w:tc>
          <w:tcPr>
            <w:tcW w:w="8980" w:type="dxa"/>
            <w:vAlign w:val="bottom"/>
          </w:tcPr>
          <w:p>
            <w:pPr>
              <w:ind w:left="440"/>
              <w:spacing w:after="0" w:line="149" w:lineRule="exact"/>
              <w:rPr>
                <w:sz w:val="20"/>
                <w:szCs w:val="20"/>
                <w:color w:val="auto"/>
              </w:rPr>
            </w:pPr>
            <w:r>
              <w:rPr>
                <w:rFonts w:ascii="Arial" w:cs="Arial" w:eastAsia="Arial" w:hAnsi="Arial"/>
                <w:sz w:val="14"/>
                <w:szCs w:val="14"/>
                <w:color w:val="auto"/>
              </w:rPr>
              <w:t>Third quarter</w:t>
            </w:r>
          </w:p>
        </w:tc>
        <w:tc>
          <w:tcPr>
            <w:tcW w:w="1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color w:val="auto"/>
                <w:w w:val="80"/>
              </w:rPr>
              <w:t>0.14</w:t>
            </w:r>
          </w:p>
        </w:tc>
        <w:tc>
          <w:tcPr>
            <w:tcW w:w="60" w:type="dxa"/>
            <w:vAlign w:val="bottom"/>
          </w:tcPr>
          <w:p>
            <w:pPr>
              <w:spacing w:after="0"/>
              <w:rPr>
                <w:sz w:val="13"/>
                <w:szCs w:val="13"/>
                <w:color w:val="auto"/>
              </w:rPr>
            </w:pPr>
          </w:p>
        </w:tc>
      </w:tr>
      <w:tr>
        <w:trPr>
          <w:trHeight w:val="149"/>
        </w:trPr>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fiscal year ended September 30, 2007</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1"/>
                <w:szCs w:val="11"/>
                <w:color w:val="auto"/>
              </w:rPr>
              <w:t>0.36</w:t>
            </w:r>
            <w:r>
              <w:rPr>
                <w:rFonts w:ascii="Arial" w:cs="Arial" w:eastAsia="Arial" w:hAnsi="Arial"/>
                <w:sz w:val="17"/>
                <w:szCs w:val="17"/>
                <w:color w:val="auto"/>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 $0.00107 per share is a tax return of capital</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elected to be taxed as a RIC under Subchapter M of the Internal Revenue Code of 1986. To maintain our RIC status, we must distribute at least 90% of our ordinary income and realized net short-term capital gains in excess of realized net long-term capital losses, if any, out of the assets legally available for distribution. In order to avoid certain excise taxes we must distribute during each calendar year an amount at least equal to the sum of (1) 98% of our ordinary income for the calendar year, (2) 98% of our capital gains in excess of capital losses for the one-year period ending on October 31st and (3) any ordinary income and net capital gains for preceding years that were not distributed during such years. In addition, although we currently intend to distribute realized net capital gains (i.e., realized net long-term capital gains in excess of realized net short-term capital losses), if any, at least annually, out of the assets legally available for such distributions, we may in the future decide to retain such capital gains for investment. In such event, the consequences of our retention of net capital gains are as described under “Material U.S. Federal Income Tax Considerations.”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See “Dividend Reinvestment Plan.”</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PennantPark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or thinly traded public companies, cash, cash equivalents, U.S. government securities and high-quality debt investments that mature in one year or less.</w:t>
      </w:r>
    </w:p>
    <w:p>
      <w:pPr>
        <w:spacing w:after="0" w:line="98"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and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mezzanine debt, senior secured loans and equity investments. From time to time, we may also invest in public companies whose securities are not thinly traded. We consider our core assets, by value and investment focus, to consist of subordinated debt, second lien secured debt and, to a lesser extent, equity investments.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companies in which we invest are typically highly leveraged, often as a result of leveraged buy-outs or other recapitalization transactions,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expect that our investments in mezzanine debt, senior secured loans and other investments will range between $10 million and $50 million each. We expect this investment size to vary proportionately with the size of our capital base.</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level of our investment activity in our core assets depends on many factors, including the amount of debt and equity capital available to middle-market companies, the level of merger and acquisition activity for such companies, the availability of credit to finance transactions, the general economic environment and the competitive environment for the types of investments we make. Although we have used, and will continue to use, the proceeds of our initial public offering and borrowings under our credit facility, we anticipate that it will take us up to two years from the date of our initial public offering to invest all of our assets in accordance with our investment objectives. Any distributions we make during such period may be substantially lower than the distributions that we expect to pay when our portfolio is fully invested.</w:t>
      </w:r>
    </w:p>
    <w:p>
      <w:pPr>
        <w:spacing w:after="0" w:line="14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While our primary focus is to generate current income and capital appreciation through debt and equity investments in thinly traded or private U.S. companies, we may invest up to 30% of the portfolio in opportunistic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35" w:name="page36"/>
    <w:bookmarkEnd w:id="3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investments. These investments may include investments in high-yield bonds, distressed debt, private equity or securities of public companies that are not thinly traded and securities of companies located outside of the United States. We expect that these public companies generally will have debt securities that are non-investment grade.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 bear interest at a fixed or floating rate. Interest on debt securities is generally payable quarterly or semiannually. In some cases, some of our investments provide for deferred interest payments or payment-in-kind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interest income. Dividend income, if any, is recorded on the ex-dividend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6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right="8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36" w:name="page37"/>
    <w:bookmarkEnd w:id="36"/>
    <w:p>
      <w:pPr>
        <w:jc w:val="both"/>
        <w:ind w:left="92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5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Although the base management fee is 2.00% of average adjusted gross total assets, the Investment Adviser has agreed to waive a portion of the base management fee such that the base management fee equaled 1.50% from the consummation of the initial public offering through September 30, 2007 and 1.75% from October 1, 2007 through March 31, 2008. The base management fee will equal 2.00% after March 31, 2008. For the period from the commencement of operations to the consummation of the initial public offering there were no Management Fees.</w:t>
      </w:r>
    </w:p>
    <w:p>
      <w:pPr>
        <w:spacing w:after="0" w:line="113"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We expect our general and administrative operating expenses related to our ongoing operations to remain relatively stable or decline slightly as a percentage of our assets in future periods. Incentive fees, interest expense and costs relating to future offerings of securities would be additive.</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SEC requires that “Total Annual Expenses” be calculated as a percentage of net assets in the chart on page 7 rather than as a percentage of total assets. Total assets includes assets that have been funded with borrowed monies (leverage). For reference, the chart below illustrates our “Total Annual Expenses” as a percentage of total assets: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87"/>
              </w:rPr>
              <w:t>Estimated Annual Expenses (as a Percentage of Total Assets)</w:t>
            </w: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4400" w:type="dxa"/>
            <w:vAlign w:val="bottom"/>
            <w:gridSpan w:val="3"/>
            <w:shd w:val="clear" w:color="auto" w:fill="CCEEFF"/>
          </w:tcPr>
          <w:p>
            <w:pPr>
              <w:ind w:left="3800"/>
              <w:spacing w:after="0" w:line="209" w:lineRule="exact"/>
              <w:rPr>
                <w:sz w:val="20"/>
                <w:szCs w:val="20"/>
                <w:color w:val="auto"/>
              </w:rPr>
            </w:pPr>
            <w:r>
              <w:rPr>
                <w:rFonts w:ascii="Arial" w:cs="Arial" w:eastAsia="Arial" w:hAnsi="Arial"/>
                <w:sz w:val="18"/>
                <w:szCs w:val="18"/>
                <w:color w:val="auto"/>
                <w:w w:val="84"/>
              </w:rPr>
              <w:t>2.00%</w:t>
            </w:r>
            <w:r>
              <w:rPr>
                <w:rFonts w:ascii="Arial" w:cs="Arial" w:eastAsia="Arial" w:hAnsi="Arial"/>
                <w:sz w:val="22"/>
                <w:szCs w:val="22"/>
                <w:color w:val="auto"/>
                <w:w w:val="84"/>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4400" w:type="dxa"/>
            <w:vAlign w:val="bottom"/>
            <w:gridSpan w:val="3"/>
          </w:tcPr>
          <w:p>
            <w:pPr>
              <w:ind w:left="3800"/>
              <w:spacing w:after="0" w:line="217" w:lineRule="exact"/>
              <w:rPr>
                <w:sz w:val="20"/>
                <w:szCs w:val="20"/>
                <w:color w:val="auto"/>
              </w:rPr>
            </w:pPr>
            <w:r>
              <w:rPr>
                <w:rFonts w:ascii="Arial" w:cs="Arial" w:eastAsia="Arial" w:hAnsi="Arial"/>
                <w:sz w:val="18"/>
                <w:szCs w:val="18"/>
                <w:color w:val="auto"/>
                <w:w w:val="84"/>
              </w:rPr>
              <w:t>0.51%</w:t>
            </w:r>
            <w:r>
              <w:rPr>
                <w:rFonts w:ascii="Arial" w:cs="Arial" w:eastAsia="Arial" w:hAnsi="Arial"/>
                <w:sz w:val="22"/>
                <w:szCs w:val="22"/>
                <w:color w:val="auto"/>
                <w:w w:val="84"/>
                <w:vertAlign w:val="superscript"/>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Credit Facility related expenses on borrowed funds</w:t>
            </w:r>
          </w:p>
        </w:tc>
        <w:tc>
          <w:tcPr>
            <w:tcW w:w="4400" w:type="dxa"/>
            <w:vAlign w:val="bottom"/>
            <w:gridSpan w:val="3"/>
            <w:shd w:val="clear" w:color="auto" w:fill="CCEEFF"/>
          </w:tcPr>
          <w:p>
            <w:pPr>
              <w:ind w:left="3800"/>
              <w:spacing w:after="0" w:line="217" w:lineRule="exact"/>
              <w:rPr>
                <w:sz w:val="20"/>
                <w:szCs w:val="20"/>
                <w:color w:val="auto"/>
              </w:rPr>
            </w:pPr>
            <w:r>
              <w:rPr>
                <w:rFonts w:ascii="Arial" w:cs="Arial" w:eastAsia="Arial" w:hAnsi="Arial"/>
                <w:sz w:val="18"/>
                <w:szCs w:val="18"/>
                <w:color w:val="auto"/>
                <w:w w:val="84"/>
              </w:rPr>
              <w:t>1.25%</w:t>
            </w:r>
            <w:r>
              <w:rPr>
                <w:rFonts w:ascii="Arial" w:cs="Arial" w:eastAsia="Arial" w:hAnsi="Arial"/>
                <w:sz w:val="22"/>
                <w:szCs w:val="22"/>
                <w:color w:val="auto"/>
                <w:w w:val="84"/>
                <w:vertAlign w:val="superscript"/>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3800" w:type="dxa"/>
            <w:vAlign w:val="bottom"/>
          </w:tcPr>
          <w:p>
            <w:pPr>
              <w:spacing w:after="0"/>
              <w:rPr>
                <w:sz w:val="18"/>
                <w:szCs w:val="18"/>
                <w:color w:val="auto"/>
              </w:rPr>
            </w:pPr>
          </w:p>
        </w:tc>
        <w:tc>
          <w:tcPr>
            <w:tcW w:w="600" w:type="dxa"/>
            <w:vAlign w:val="bottom"/>
            <w:gridSpan w:val="2"/>
          </w:tcPr>
          <w:p>
            <w:pPr>
              <w:spacing w:after="0" w:line="217" w:lineRule="exact"/>
              <w:rPr>
                <w:sz w:val="20"/>
                <w:szCs w:val="20"/>
                <w:color w:val="auto"/>
              </w:rPr>
            </w:pPr>
            <w:r>
              <w:rPr>
                <w:rFonts w:ascii="Arial" w:cs="Arial" w:eastAsia="Arial" w:hAnsi="Arial"/>
                <w:sz w:val="18"/>
                <w:szCs w:val="18"/>
                <w:color w:val="auto"/>
                <w:w w:val="84"/>
              </w:rPr>
              <w:t>1.48%</w:t>
            </w:r>
            <w:r>
              <w:rPr>
                <w:rFonts w:ascii="Arial" w:cs="Arial" w:eastAsia="Arial" w:hAnsi="Arial"/>
                <w:sz w:val="22"/>
                <w:szCs w:val="22"/>
                <w:color w:val="auto"/>
                <w:w w:val="84"/>
                <w:vertAlign w:val="superscript"/>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Annual Expenses</w:t>
            </w:r>
          </w:p>
        </w:tc>
        <w:tc>
          <w:tcPr>
            <w:tcW w:w="3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8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37" w:lineRule="exact"/>
        <w:rPr>
          <w:rFonts w:ascii="Arial" w:cs="Arial" w:eastAsia="Arial" w:hAnsi="Arial"/>
          <w:sz w:val="18"/>
          <w:szCs w:val="18"/>
          <w:color w:val="auto"/>
        </w:rPr>
      </w:pPr>
    </w:p>
    <w:p>
      <w:pPr>
        <w:ind w:left="460" w:hanging="452"/>
        <w:spacing w:after="0" w:line="318"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Incentive fees are based on actual amounts incurred during the three months ended December 31, 2007 annualized for a full year. However, the incentive fees, which are based on our performance, will vary from year to year and will not be paid unless our performance exceeds certain thresholds. As we cannot predict whether we will meet these thresholds, the incentive fee paid in future years, if any, may be substantially different than the fee earned during the three months ended December 31, 2007. For more detailed information about the incentive fee, please see the section of this prospectus captioned “Certain Relationships and Transactions—Investment Management Agreement” and note 3 to our financial statements included elsewhere in this prospectus.</w:t>
      </w:r>
    </w:p>
    <w:p>
      <w:pPr>
        <w:spacing w:after="0" w:line="5" w:lineRule="exact"/>
        <w:rPr>
          <w:rFonts w:ascii="Arial" w:cs="Arial" w:eastAsia="Arial" w:hAnsi="Arial"/>
          <w:sz w:val="15"/>
          <w:szCs w:val="15"/>
          <w:color w:val="auto"/>
        </w:rPr>
      </w:pPr>
    </w:p>
    <w:p>
      <w:pPr>
        <w:ind w:left="460" w:right="40" w:hanging="452"/>
        <w:spacing w:after="0" w:line="298"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“Interest and Other Credit Facility Related Expenses on Borrowed Funds” represents interest and credit facility fees incurred and amortization of debt issuance costs during the three months ended December 31, 2007 annualized for a full year. As of December 31, 2007, we had $208.5 million available and $91.5 million in borrowings outstanding under our $300.0 million credit facility. For more information, see “Risk Factors—We currently use borrowed funds to make investments and are exposed to the typical risks associated with leverage” in this prospectus.</w:t>
      </w:r>
    </w:p>
    <w:p>
      <w:pPr>
        <w:spacing w:after="0" w:line="18" w:lineRule="exact"/>
        <w:rPr>
          <w:rFonts w:ascii="Arial" w:cs="Arial" w:eastAsia="Arial" w:hAnsi="Arial"/>
          <w:sz w:val="16"/>
          <w:szCs w:val="16"/>
          <w:color w:val="auto"/>
        </w:rPr>
      </w:pPr>
    </w:p>
    <w:p>
      <w:pPr>
        <w:ind w:left="460" w:hanging="452"/>
        <w:spacing w:after="0" w:line="256"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Expenses” includes, among other expenses, our general and administrative expenses, professional fees, directors’ fees, insurance costs, and the expenses of the Investment Adviser reimbursable under our Investment Management Agreement and of the Administrator reimbursable under our Administration Agreement. Such expenses are based on actual other expenses for the three months ended December 31, 2007 annualized for a full year. See our “Consolidated Statement of Operations” in our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Critical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discussion of our financial condition and results of operation is based upon our financial statements, which have been prepared in accordance with U.S. generally accepted accounting principles, or “GAAP.” The preparation of these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will be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investments in such portfolio company. Because there are not always readily available markets for many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900" w:right="4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board of directors also engages one or more independent valuation firms to conduct independent appraisals of our investments for which market quotations are not readily available or are readily available but believed not to reflect the fair value of an investment. The independent valuation firm reviews management’s preliminary valuations and its own independent assessment;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8" w:name="page39"/>
    <w:bookmarkEnd w:id="38"/>
    <w:p>
      <w:pPr>
        <w:ind w:left="900" w:right="260" w:hanging="325"/>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generally will not accrue PIK interest if the portfolio company valuation indicates that such PIK interest is not collectible. We do not accrue as a receivable interest on loans and debt securities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the ex-dividend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The PIK interest is added to the principal balance of the investment and is recorded as income. For the Company to maintain its status as a RIC, substantially all of this income must be paid out to stockholders in the form of dividends, even though the Company has not collected any cash.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operate so as to qualify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2007, our portfolio consisted of $73.3 million of subordinated debt, $113.5 million of second lien secured debt, $6.6 million of equity investments and $148.8 million of senior secured loans. Our core assets totaled $193.4 million and consisted of investments in twelve different companies with an average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39" w:name="page40"/>
    <w:bookmarkEnd w:id="39"/>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 size of $16.1 million per company and a weighted average yield of 12.8% on the debt investments. On December 31, 2007, our senior secured loan portfolio totaled $148.8 million and consisted of twenty-eight different companies (including two companies also in our core portfolio) with an average investment size of $5.3 million, and a weighted average yield of 7.2%. The overall portfolio had a weighted average yield on debt investments of 10.4%. For the three months ended December 31, 2007, we invested $71.0 million across three new and two existing portfolio companies with an average yield of 12.9% on the debt investments. Sales and repayments of long term investments for the three months ended December 31, 2007 totaled $4.4 million. On December 31, 2007, our portfolio consisted of thirty-eight companies and was invested 21% in subordinated debt, 33% in second lien secured debt, 2% in equity investments and 44% in senior secured loans.</w:t>
      </w:r>
    </w:p>
    <w:p>
      <w:pPr>
        <w:spacing w:after="0" w:line="14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of September 30, 2007, our portfolio consisted of $57.3 million of subordinated debt, $67.8 million of second lien secured debt, $7.0 million of equity investments and $158.9 million of senior secured loans. Our core assets totaled $132.1 million and consisted of investments in eight different companies with an average investment size of $16.5 million per company and a weighted average yield of 13.0% on the debt investments. On September 30, 2007, our senior secured loan portfolio totaled $158.9 million and consisted of thirty-one different companies (including one company also in our core portfolio) with an average investment size of $5.3 million, and a weighted average yield of 7.5%. The overall portfolio had a weighted average yield on debt investments of 10.1%. On September 30, 2007, our portfolio consisted of thirty-eight companies and was invested 20% in subordinated debt, 23% in second lien secured debt, 2% in equity investments and 55% in senior secured loans.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Set forth below are our results of operations for the three months ended December 31, 2007 and the period from January 11, 2007 (inception) through September 30,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Investment income totaled $9.0 million and $13.1 million for the three months ended December 31, 2007 and the period from January 11, 2007 (inception) through September 30, 2007, respectively.</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Investment income of $9.0 million for the three months ended December 31, 2007 was primarily attributable to $4.2 million of interest income from senior secured loans investments, which had stated interest rates between 6.6% and 8.3% and a weighted average yield of 7.2%. We recorded interest income of $2.8 million from our second lien secured debt investments, which had stated interest rates between 10.7% and 12.6% and a weighted average yield of 12.4%. We recorded interest income of $1.7 million from our subordinated debt investments, which had stated interest rates between 11.7% and 14.3% and a weighted average yield of 13.4%. The remaining investment income was primarily attributable to interest income from short-term investments and to accretion of discount and amortization of premium.</w:t>
      </w:r>
    </w:p>
    <w:p>
      <w:pPr>
        <w:spacing w:after="0" w:line="144"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Investment income totaled $13.1 million for the period January 11, 2007 (inception) through September 30, 2007. The investment income was generated primarily from senior secured loan investments which had stated interest rates between 6.9% and 8.7%, and a weighted average yield of 7.5%. Our second lien secured debt investments had stated interest rates between 11.1% and 13.3% and weighted average yield of 12.9%. Our subordinated debt investments had stated interest rates between 11.7% and 14.3% and weighted average yield of 13.1%. Our total portfolio had a weighted average yield on debt investments of 10.1%.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Net expenses totaled $4.3 million and $5.8 million for the three months ended December 31, 2007 and the period January 11, 2007 (inception) through September 30, 2007, respectively. Of these totals, $1.1 million and $1.8 million was attributable to credit facility related expenses for the three months ended December 31,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40" w:name="page41"/>
    <w:bookmarkEnd w:id="40"/>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 period January 11, 2007 (inception) through September 30, 2007, respectively, and $1.3 million and $2.0 million to general and administrative expenses for the three months ended December 31, 2007 and the period January 11, 2007 (inception) through September 30, 2007, respectively. Net base management fee totaled $1.4 million and $ 1.9 million for the three months ended December 31, 2007 and the period January 11, 2007 (inception) through September 30, 2007, respectively. The performance-based incentive fee totaled approximately $447,000 for the three months ended December 31, 2007. We paid no performance-based incentive fees for the period January 11, 2007 (inception) through September 30, 2007.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net investment income totaled $4.7 million and $7.3 million or $0.23 and $0.35 per share, for the three months ended December 31, 2007 and the period January 11, 2007 (inception) through September 30, 2007,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Loss</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Sales and paydowns of long-term investments totaled $4.4 million and $99.6 million, and net realized losses totaled approximately $211,000 and $82,000 for the three months ended December 31, 2007 and the period January 11, 2007 (inception) through September 30, 2007,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Depreciation on Investments and Cash Equivalents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 the three months ended December 31, 2007, the Company’s investments and cash equivalents had a net increase in depreciation of $16.1 million. On December 31, 2007, net unrealized depreciation on investments and cash equivalents totaled $40.0 million, primarily due to the continued downturn in the leveraged finance credit market during the second half of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Decrease in Net Assets From Operations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Net decrease in net assets resulting from operations totaled $11.5 million and $16.7 million, or $0.54 and $0.80 per share, for the three months ended December 31, 2007 and the period January 11, 2007 (inception) through September 30, 2007,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June 25, 2007, we entered into a Senior Secured Revolving Credit Agreement (the “Credit Agreement”) among us, various lenders and SunTrust Bank, as administrative agent for the lenders. SunTrust Robinson Humphrey Capital Markets acted as the joint lead arranger and book-runner, and Bear Stearns Corporate Lending Inc. acted as joint lead arranger and syndication agent. As of December 31, 2007, we had outstanding borrowings of $91.5 million under the Credit Agreement, with an annual interest rate of 5.90%.</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the Credit Agreement, the lenders agreed to extend us credit in an initial aggregate principal or face amount not exceeding $300.0 million at any one time outstanding. The Credit Agreement is a five-year revolving facility (with a stated maturity date of June 25, 2012) and is secured by substantially all of our investment portfolio assets. Pricing of borrowings under our credit facility is set at 100 basis points over LIBOR.</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December 31, 2007, we had $81.8 million in cash equivalents. During the three months ended December 31, 2007, we generated operating cash flows primarily from interest earned on debt investments. Our primary use of funds for operations during the same period consisted of investments in portfolio companies, payments of fees and other operating expenses incurred by the Company. Our operating activities resulted in a net use of cash of $253.0 million for the three months ended December 31, 2007, and our financing activities resulted in a net inflow of cash of $76.9 million for the same period, primarily from borrowings under our credit facility.</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80"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Contractual Obligations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for the repayment of outstanding borrowing under the multi-currency $300 million, five-year, revolving credit facility maturing in June 2012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52"/>
              <w:spacing w:after="0"/>
              <w:rPr>
                <w:sz w:val="20"/>
                <w:szCs w:val="20"/>
                <w:color w:val="auto"/>
              </w:rPr>
            </w:pPr>
            <w:r>
              <w:rPr>
                <w:rFonts w:ascii="Arial" w:cs="Arial" w:eastAsia="Arial" w:hAnsi="Arial"/>
                <w:sz w:val="14"/>
                <w:szCs w:val="14"/>
                <w:b w:val="1"/>
                <w:bCs w:val="1"/>
                <w:color w:val="auto"/>
              </w:rPr>
              <w:t>Payments due by period (millions)</w:t>
            </w:r>
          </w:p>
        </w:tc>
        <w:tc>
          <w:tcPr>
            <w:tcW w:w="5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29"/>
        </w:trPr>
        <w:tc>
          <w:tcPr>
            <w:tcW w:w="6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Less than 1</w:t>
            </w:r>
          </w:p>
        </w:tc>
        <w:tc>
          <w:tcPr>
            <w:tcW w:w="940" w:type="dxa"/>
            <w:vAlign w:val="bottom"/>
            <w:gridSpan w:val="2"/>
          </w:tcPr>
          <w:p>
            <w:pPr>
              <w:ind w:left="660"/>
              <w:spacing w:after="0" w:line="129" w:lineRule="exact"/>
              <w:rPr>
                <w:sz w:val="20"/>
                <w:szCs w:val="20"/>
                <w:color w:val="auto"/>
              </w:rPr>
            </w:pPr>
            <w:r>
              <w:rPr>
                <w:rFonts w:ascii="Arial" w:cs="Arial" w:eastAsia="Arial" w:hAnsi="Arial"/>
                <w:sz w:val="14"/>
                <w:szCs w:val="14"/>
                <w:b w:val="1"/>
                <w:bCs w:val="1"/>
                <w:color w:val="auto"/>
              </w:rPr>
              <w:t>1-</w:t>
            </w:r>
          </w:p>
        </w:tc>
        <w:tc>
          <w:tcPr>
            <w:tcW w:w="940" w:type="dxa"/>
            <w:vAlign w:val="bottom"/>
            <w:gridSpan w:val="2"/>
          </w:tcPr>
          <w:p>
            <w:pPr>
              <w:jc w:val="right"/>
              <w:ind w:right="92"/>
              <w:spacing w:after="0" w:line="129" w:lineRule="exact"/>
              <w:rPr>
                <w:sz w:val="20"/>
                <w:szCs w:val="20"/>
                <w:color w:val="auto"/>
              </w:rPr>
            </w:pPr>
            <w:r>
              <w:rPr>
                <w:rFonts w:ascii="Arial" w:cs="Arial" w:eastAsia="Arial" w:hAnsi="Arial"/>
                <w:sz w:val="14"/>
                <w:szCs w:val="14"/>
                <w:b w:val="1"/>
                <w:bCs w:val="1"/>
                <w:color w:val="auto"/>
              </w:rPr>
              <w:t>3-</w:t>
            </w:r>
          </w:p>
        </w:tc>
        <w:tc>
          <w:tcPr>
            <w:tcW w:w="52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More than 5</w:t>
            </w:r>
          </w:p>
        </w:tc>
      </w:tr>
      <w:tr>
        <w:trPr>
          <w:trHeight w:val="161"/>
        </w:trPr>
        <w:tc>
          <w:tcPr>
            <w:tcW w:w="672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5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year</w:t>
            </w:r>
          </w:p>
        </w:tc>
        <w:tc>
          <w:tcPr>
            <w:tcW w:w="52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3 years</w:t>
            </w:r>
          </w:p>
        </w:tc>
        <w:tc>
          <w:tcPr>
            <w:tcW w:w="5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5 years</w:t>
            </w:r>
          </w:p>
        </w:tc>
        <w:tc>
          <w:tcPr>
            <w:tcW w:w="5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r>
      <w:tr>
        <w:trPr>
          <w:trHeight w:val="210"/>
        </w:trPr>
        <w:tc>
          <w:tcPr>
            <w:tcW w:w="672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22"/>
                <w:szCs w:val="22"/>
                <w:color w:val="auto"/>
                <w:vertAlign w:val="superscript"/>
              </w:rPr>
              <w:t>(1)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$91.5</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December 31, 2007 $208.5 million remained unused under our senior secured revolving credit facility.</w:t>
      </w:r>
    </w:p>
    <w:p>
      <w:pPr>
        <w:spacing w:after="0" w:line="171"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have entered into certain contracts under which we have material future commitments. On April 17, 2007 we entered into an Investment Management Agreement with PennantPark Investment Advisers in accordance with the 1940 Act, effective as of the completion of our initial public offering. PennantPark Investment Advisers now serves as our investment adviser in accordance with the terms of our Investment Management Agreement. Payments under our Investment Management Agreement in each reporting period is equal to (1) a management fee equal to a percentage of the value of our gross assets and (2) an incentive fee based on our performance. See “Certain Relationships and Transactions—Investment Management Agreement” and Note 3 to our financial statements for more information).</w:t>
      </w:r>
    </w:p>
    <w:p>
      <w:pPr>
        <w:spacing w:after="0" w:line="14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Under our Administration Agreement, dated April 17, 2007, PennantPark Investment Administration furnishes us with office facilities and administrative services necessary to conduct our day-to-day operations. If requested to provide managerial assistance to our portfolio companies,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 See “Certain Relationships and Transactions—Administration Agreement” and note 3 to our financial statements for more information.</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engage in no off-balance sheet arrangements, including any risk management of commodity pricing or other hedging practices.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In September 2006, the Financial Accounting Standards Board (“FASB”) issued Statement of Financial Accounting Standards (“SFAS”) 157,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w:t>
      </w:r>
      <w:r>
        <w:rPr>
          <w:rFonts w:ascii="Arial" w:cs="Arial" w:eastAsia="Arial" w:hAnsi="Arial"/>
          <w:sz w:val="16"/>
          <w:szCs w:val="16"/>
          <w:color w:val="auto"/>
        </w:rPr>
        <w:t>, which clarifies the definition of fair value and requires companies to expand their disclosure about the use of fair value to measure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At this time, PennantPark is in the process of reviewing SFAS 157 against its valuation policies to determine future applicability.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42" w:name="page43"/>
    <w:bookmarkEnd w:id="42"/>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February 2007, the FASB issued SFAS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—Including an Amendment of FASB 115. 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At this time, PennantPark is in the process of reviewing SFAS 159 against its valuation policies to determine future applicability.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order to qualify as a regulated investment company and to avoid corporate level tax on income, we are required, under Subchapter M of the Code, to distribute at least 90% of our ordinary income and net short-term capital gains in excess of realized net long-term capital losses, if any, to our stockholders on an annual basis. Additionally, we must distribute at least 98% of our income (both ordinary income and net capital gains) to avoid an excise tax.</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the three months ended December 31, 2007 we paid to stockholders distributions of $0.22 per share, for a total dividend of $4.6 million.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 after the end of the calendar year.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the amount distributed on December 31, 2007, approximately $506,000 was reinvested under our dividend reinvestment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dividends declared since our inception have been as follows: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8"/>
              </w:rPr>
              <w:t>Dividend</w:t>
            </w:r>
          </w:p>
        </w:tc>
      </w:tr>
      <w:tr>
        <w:trPr>
          <w:trHeight w:val="161"/>
        </w:trPr>
        <w:tc>
          <w:tcPr>
            <w:tcW w:w="898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Declared</w:t>
            </w: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2008</w:t>
            </w: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0.22</w:t>
            </w:r>
          </w:p>
        </w:tc>
        <w:tc>
          <w:tcPr>
            <w:tcW w:w="60" w:type="dxa"/>
            <w:vAlign w:val="bottom"/>
          </w:tcPr>
          <w:p>
            <w:pPr>
              <w:spacing w:after="0"/>
              <w:rPr>
                <w:sz w:val="18"/>
                <w:szCs w:val="18"/>
                <w:color w:val="auto"/>
              </w:rPr>
            </w:pPr>
          </w:p>
        </w:tc>
      </w:tr>
      <w:tr>
        <w:trPr>
          <w:trHeight w:val="216"/>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0.22</w:t>
            </w:r>
          </w:p>
        </w:tc>
        <w:tc>
          <w:tcPr>
            <w:tcW w:w="60" w:type="dxa"/>
            <w:vAlign w:val="bottom"/>
            <w:shd w:val="clear" w:color="auto" w:fill="CCEEFF"/>
          </w:tcPr>
          <w:p>
            <w:pPr>
              <w:spacing w:after="0"/>
              <w:rPr>
                <w:sz w:val="18"/>
                <w:szCs w:val="18"/>
                <w:color w:val="auto"/>
              </w:rPr>
            </w:pPr>
          </w:p>
        </w:tc>
      </w:tr>
      <w:tr>
        <w:trPr>
          <w:trHeight w:val="323"/>
        </w:trPr>
        <w:tc>
          <w:tcPr>
            <w:tcW w:w="89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0.22</w:t>
            </w:r>
          </w:p>
        </w:tc>
        <w:tc>
          <w:tcPr>
            <w:tcW w:w="60" w:type="dxa"/>
            <w:vAlign w:val="bottom"/>
            <w:shd w:val="clear" w:color="auto" w:fill="CCEEFF"/>
          </w:tcPr>
          <w:p>
            <w:pPr>
              <w:spacing w:after="0"/>
              <w:rPr>
                <w:sz w:val="18"/>
                <w:szCs w:val="18"/>
                <w:color w:val="auto"/>
              </w:rPr>
            </w:pPr>
          </w:p>
        </w:tc>
      </w:tr>
      <w:tr>
        <w:trPr>
          <w:trHeight w:val="223"/>
        </w:trPr>
        <w:tc>
          <w:tcPr>
            <w:tcW w:w="89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5"/>
              </w:rPr>
              <w:t>0.14</w:t>
            </w:r>
          </w:p>
        </w:tc>
        <w:tc>
          <w:tcPr>
            <w:tcW w:w="6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fiscal year ended September 30, 2007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1"/>
              </w:rPr>
              <w:t>0.36</w:t>
            </w:r>
            <w:r>
              <w:rPr>
                <w:rFonts w:ascii="Arial" w:cs="Arial" w:eastAsia="Arial" w:hAnsi="Arial"/>
                <w:sz w:val="11"/>
                <w:szCs w:val="11"/>
                <w:color w:val="auto"/>
                <w:w w:val="9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$0.00107 per share is a tax return of capital</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43" w:name="page44"/>
    <w:bookmarkEnd w:id="43"/>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did not experience any compromised liquidity during the recent turmoil in the global credit markets because of our ability to liquidate our portfolio of senior secured loans, which totaled $148.8 million as of December 31, 2007, and availability under our credit facility.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rate and typically have durations of three months after which they reset to current market interest rates.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Assuming that the balance sheet as of the period covered by this report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PRICE RANGE OF COMMON STOCK</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March 24, 2008, the last reported closing price of our common stock was $ 8.70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Premium/</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Premium/</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Discount</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Discount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6"/>
          </w:tcPr>
          <w:p>
            <w:pPr>
              <w:ind w:left="100"/>
              <w:spacing w:after="0"/>
              <w:rPr>
                <w:sz w:val="20"/>
                <w:szCs w:val="20"/>
                <w:color w:val="auto"/>
              </w:rPr>
            </w:pPr>
            <w:r>
              <w:rPr>
                <w:rFonts w:ascii="Arial" w:cs="Arial" w:eastAsia="Arial" w:hAnsi="Arial"/>
                <w:sz w:val="14"/>
                <w:szCs w:val="14"/>
                <w:b w:val="1"/>
                <w:bCs w:val="1"/>
                <w:color w:val="auto"/>
              </w:rPr>
              <w:t>Closing Sales Price</w:t>
            </w: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of High</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of Low</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2"/>
          </w:tcPr>
          <w:p>
            <w:pPr>
              <w:jc w:val="center"/>
              <w:ind w:right="460"/>
              <w:spacing w:after="0" w:line="116" w:lineRule="exact"/>
              <w:rPr>
                <w:sz w:val="20"/>
                <w:szCs w:val="20"/>
                <w:color w:val="auto"/>
              </w:rPr>
            </w:pPr>
            <w:r>
              <w:rPr>
                <w:rFonts w:ascii="Arial" w:cs="Arial" w:eastAsia="Arial" w:hAnsi="Arial"/>
                <w:sz w:val="12"/>
                <w:szCs w:val="12"/>
                <w:b w:val="1"/>
                <w:bCs w:val="1"/>
                <w:color w:val="auto"/>
                <w:w w:val="95"/>
              </w:rPr>
              <w:t>Sales</w:t>
            </w:r>
          </w:p>
        </w:tc>
        <w:tc>
          <w:tcPr>
            <w:tcW w:w="880" w:type="dxa"/>
            <w:vAlign w:val="bottom"/>
            <w:gridSpan w:val="2"/>
          </w:tcPr>
          <w:p>
            <w:pPr>
              <w:jc w:val="center"/>
              <w:ind w:right="300"/>
              <w:spacing w:after="0" w:line="116" w:lineRule="exact"/>
              <w:rPr>
                <w:sz w:val="20"/>
                <w:szCs w:val="20"/>
                <w:color w:val="auto"/>
              </w:rPr>
            </w:pPr>
            <w:r>
              <w:rPr>
                <w:rFonts w:ascii="Arial" w:cs="Arial" w:eastAsia="Arial" w:hAnsi="Arial"/>
                <w:sz w:val="12"/>
                <w:szCs w:val="12"/>
                <w:b w:val="1"/>
                <w:bCs w:val="1"/>
                <w:color w:val="auto"/>
                <w:w w:val="95"/>
              </w:rPr>
              <w:t>Sales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4"/>
              </w:rPr>
              <w:t>NAV</w:t>
            </w:r>
            <w:r>
              <w:rPr>
                <w:rFonts w:ascii="Arial" w:cs="Arial" w:eastAsia="Arial" w:hAnsi="Arial"/>
                <w:sz w:val="22"/>
                <w:szCs w:val="22"/>
                <w:b w:val="1"/>
                <w:bCs w:val="1"/>
                <w:color w:val="auto"/>
                <w:w w:val="84"/>
                <w:vertAlign w:val="superscript"/>
              </w:rPr>
              <w:t>(1)</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Price to</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Price to</w:t>
            </w:r>
          </w:p>
        </w:tc>
        <w:tc>
          <w:tcPr>
            <w:tcW w:w="1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176"/>
        </w:trPr>
        <w:tc>
          <w:tcPr>
            <w:tcW w:w="62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840" w:type="dxa"/>
            <w:vAlign w:val="bottom"/>
            <w:gridSpan w:val="2"/>
            <w:vMerge w:val="continue"/>
          </w:tcPr>
          <w:p>
            <w:pPr>
              <w:spacing w:after="0"/>
              <w:rPr>
                <w:sz w:val="15"/>
                <w:szCs w:val="15"/>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High</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c>
          <w:tcPr>
            <w:tcW w:w="1040" w:type="dxa"/>
            <w:vAlign w:val="bottom"/>
            <w:gridSpan w:val="2"/>
          </w:tcPr>
          <w:p>
            <w:pPr>
              <w:jc w:val="center"/>
              <w:ind w:right="460"/>
              <w:spacing w:after="0" w:line="176" w:lineRule="exact"/>
              <w:rPr>
                <w:sz w:val="20"/>
                <w:szCs w:val="20"/>
                <w:color w:val="auto"/>
              </w:rPr>
            </w:pPr>
            <w:r>
              <w:rPr>
                <w:rFonts w:ascii="Arial" w:cs="Arial" w:eastAsia="Arial" w:hAnsi="Arial"/>
                <w:sz w:val="13"/>
                <w:szCs w:val="13"/>
                <w:b w:val="1"/>
                <w:bCs w:val="1"/>
                <w:color w:val="auto"/>
                <w:w w:val="95"/>
              </w:rPr>
              <w:t>NAV</w:t>
            </w:r>
            <w:r>
              <w:rPr>
                <w:rFonts w:ascii="Arial" w:cs="Arial" w:eastAsia="Arial" w:hAnsi="Arial"/>
                <w:sz w:val="20"/>
                <w:szCs w:val="20"/>
                <w:b w:val="1"/>
                <w:bCs w:val="1"/>
                <w:color w:val="auto"/>
                <w:w w:val="95"/>
                <w:vertAlign w:val="superscript"/>
              </w:rPr>
              <w:t>(2)</w:t>
            </w:r>
          </w:p>
        </w:tc>
        <w:tc>
          <w:tcPr>
            <w:tcW w:w="880" w:type="dxa"/>
            <w:vAlign w:val="bottom"/>
            <w:gridSpan w:val="2"/>
          </w:tcPr>
          <w:p>
            <w:pPr>
              <w:jc w:val="center"/>
              <w:ind w:right="300"/>
              <w:spacing w:after="0" w:line="176" w:lineRule="exact"/>
              <w:rPr>
                <w:sz w:val="20"/>
                <w:szCs w:val="20"/>
                <w:color w:val="auto"/>
              </w:rPr>
            </w:pPr>
            <w:r>
              <w:rPr>
                <w:rFonts w:ascii="Arial" w:cs="Arial" w:eastAsia="Arial" w:hAnsi="Arial"/>
                <w:sz w:val="13"/>
                <w:szCs w:val="13"/>
                <w:b w:val="1"/>
                <w:bCs w:val="1"/>
                <w:color w:val="auto"/>
                <w:w w:val="95"/>
              </w:rPr>
              <w:t>NAV</w:t>
            </w:r>
            <w:r>
              <w:rPr>
                <w:rFonts w:ascii="Arial" w:cs="Arial" w:eastAsia="Arial" w:hAnsi="Arial"/>
                <w:sz w:val="20"/>
                <w:szCs w:val="20"/>
                <w:b w:val="1"/>
                <w:bCs w:val="1"/>
                <w:color w:val="auto"/>
                <w:w w:val="95"/>
                <w:vertAlign w:val="superscript"/>
              </w:rPr>
              <w:t>(2)</w:t>
            </w:r>
          </w:p>
        </w:tc>
        <w:tc>
          <w:tcPr>
            <w:tcW w:w="1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2008</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Second quarter (through 3/24/08)</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83"/>
              </w:rPr>
              <w:t>$ 11.31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8.38</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$12.07</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$14.49</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9.08</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322"/>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$12.83</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$14.76</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12.61</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$13.74</w:t>
            </w:r>
          </w:p>
        </w:tc>
        <w:tc>
          <w:tcPr>
            <w:tcW w:w="34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$15.03</w:t>
            </w:r>
          </w:p>
        </w:tc>
        <w:tc>
          <w:tcPr>
            <w:tcW w:w="16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14.04</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77" w:lineRule="exact"/>
        <w:rPr>
          <w:sz w:val="20"/>
          <w:szCs w:val="20"/>
          <w:color w:val="auto"/>
        </w:rPr>
      </w:pPr>
    </w:p>
    <w:p>
      <w:pPr>
        <w:ind w:left="460" w:hanging="408"/>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business development company (“BDC”) under the Investment Company Act of 1940 (the “1940 Act”). In addition, for tax purposes we have elected to be treated as a regulated investment company, or RIC, under the Internal Revenue Code of 1986, as amended (the “Code”).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mezzanine debt, senior secured loans and equity investments. From time to time, we may also invest in public companies whose securities are not thinly traded. We consider our core assets, by value and investment focus, to consist of subordinated debt, second lien secured debt and, to a lesser extent, equity investments.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 In this prospectus, we use the term “middle-market” to refer to companies with annual revenues between $50 million and $1 billion.</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While our primary focus is to generate current income and capital appreciation through debt and equity investments in thinly traded or private U.S. companies, we may invest up to 30% of the portfolio in opportunistic investments. These investments may include investments in high-yield bonds, distressed debt, private equity or securities of public companies that are not thinly traded and securities of companies located outside of the United States. We expect that these public companies generally will have debt securities that are non-investment grade.</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level of our investment activity in our core assets depends on many factors, including the amount of debt and equity capital available to middle-market companies, the level of merger and acquisition activity for such companies, the general economic environment and the competitive environment for the types of investments we make. Although we have used, and will continue to use, the proceeds of our initial public offering and of our credit facility, we anticipate that it will take us up to two years from the date of our initial public offering to invest all of our assets in accordance with our investment objectives. Any distributions we make during such period may be substantially lower than the distributions that we expect to pay when our portfolio is fully invested.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Structure</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and our Investment Adviser. Under our Investment Management Agreement, we have agreed to pay our Investment Adviser an annual base management fee based on our average adjusted gross total assets as well as an incentive fee based on our investment performance. See “Certain Relationships and Transactions— Investment Management Agreement.”</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any of our contractual obligations discussed above is terminated, our costs under new agreements that we enter into may increase. In addition, we will likely incur significant time and expense in locating alternative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46" w:name="page47"/>
    <w:bookmarkEnd w:id="46"/>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parties to provide the services we expect to receive under our Investment Management Agreement and our Administration Agreement. Any new Investment Management Agreement would also be subject to approval by our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utilize the investing experience and contacts of Arthur H. Penn, the founder of PennantPark Investment Corporation and PennantPark Investment Advisers, as well as the other investment professionals of the Investment adviser.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which is the investment adviser of Apollo Investment Corporation, a publicly traded business development company. Mr. Penn served as the Chief Operating Officer and a member of the investment committee of Apollo Investment from its inception in April 2004 through February 2006 and was its President and Chief Operating Officer from February 2006 through November 30, 2006.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period in which Mr. Penn was the Chief Operating Officer, Apollo Investment Corporation raised approximately $930 million of gross proceeds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an initial public offering in April 2004 and raised an additional $308 million in a follow-on offering of public equity in March 2006. Mr. Penn supervised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negotiation and execution of a senior secured credit facility with a syndicate of banks which, as amended, provides for borrowings up to $2.0 billion.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Penn’s tenure with Apollo Investment Corporation, it invested approximately $2.8 billion in 73 companies in partnership with 54 different financial sponsors.</w:t>
      </w:r>
    </w:p>
    <w:p>
      <w:pPr>
        <w:spacing w:after="0" w:line="18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During Mr. Penn’s career in the financial services industry, he also served as Managing Partner of Apollo Value Fund L.P. (formerly Apollo Distressed Investment Fund, L.P.) from 2003 through November 2006. Mr. Penn previously served as Global Head of Leveraged Finance at UBS Warburg LLC (now UBS Securities LLC)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1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During his more than 20-year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Investment Adviser has three experienced investment professionals, in addition to Mr. Penn, who are also partners. These professionals, Geoffrey Chang, Salvatore Giannetti III and Whit Williams, have a combined 44 years of experience in the mezzanine, private equity and leveraged finance businesses. Mr. Chang was previously a founding member and Principal of Audax Mezzanine from 2000 through 2007 and, prior to that was a Director in the Leveraged Finance Group at CIBC World Markets Corp. Mr. Giannetti previously served as Partner in the private equity firm of Wilton Ivy Partners from 2004 through 2007. Prior to joining Wilton Ivy Partners, he was a Managing Director at UBS Warburg LLC in its Leveraged Finance and Financial Sponsors Groups from March 2000 to November 2001. Mr. Williams was an officer at UBS Investment Bank from 1996 to March 2007, most recently as a Managing Director in its Leveraged Finance and Financial Sponsors Group. They are supported by a team of employees, including three investment professionals who have experience in middle-market investing, leveraged finance and capital markets.</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Administrator has experienced professionals including, Aviv Efrat, who serves as our Chief Financial Officer and Treasurer. Mr. Efrat, who is also a Managing Director of the Administrator, has extensive experience in finance, operations, and administration of registered investment companies, having served for a decade as a Director at BlackRock, Inc., a leading investment firm. Matthew Hardin, who serves as our Chief Compliance Officer, has over 20 years of regulatory compliance and securities law experience in the financial services industry, having served as Corporate and General Counsel with various organizations and as an enforcement attorney with the SEC.</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80" w:right="279" w:bottom="1440" w:gutter="0" w:footer="0" w:header="0"/>
        </w:sectPr>
      </w:pPr>
    </w:p>
    <w:bookmarkStart w:id="47" w:name="page48"/>
    <w:bookmarkEnd w:id="47"/>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 See “Risk Factors—Risks Related to our Business and Structure.”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w:t>
      </w:r>
    </w:p>
    <w:p>
      <w:pPr>
        <w:spacing w:after="0" w:line="45" w:lineRule="exact"/>
        <w:rPr>
          <w:sz w:val="20"/>
          <w:szCs w:val="20"/>
          <w:color w:val="auto"/>
        </w:rPr>
      </w:pPr>
    </w:p>
    <w:p>
      <w:pPr>
        <w:ind w:left="900" w:right="20" w:hanging="325"/>
        <w:spacing w:after="0" w:line="25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460" w:hanging="325"/>
        <w:spacing w:after="0" w:line="275"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80" w:hanging="325"/>
        <w:spacing w:after="0" w:line="301"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mezzanine capital to support private investments.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expect that private equity firms will continue to be active investors in middle-market companies and that these private equity funds will seek to leverage their investments by combining capital with mezzanine loans and/or senior secured loans from other sources. We expect such activity to be funded by the record amounts of private equity capital that have been raised in recent years.</w:t>
      </w:r>
    </w:p>
    <w:p>
      <w:pPr>
        <w:spacing w:after="0" w:line="22" w:lineRule="exact"/>
        <w:rPr>
          <w:rFonts w:ascii="Arial" w:cs="Arial" w:eastAsia="Arial" w:hAnsi="Arial"/>
          <w:sz w:val="16"/>
          <w:szCs w:val="16"/>
          <w:color w:val="auto"/>
        </w:rPr>
      </w:pPr>
    </w:p>
    <w:p>
      <w:pPr>
        <w:ind w:left="900" w:right="20" w:hanging="325"/>
        <w:spacing w:after="0" w:line="301"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do not intend to pursue short-term origination targets. We believe our approach will enable us to build an attractive investment portfolio that meets our return and value criteria over the long-term.</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“Business-Investment Process-Investment Selection Criteria” and “Business-Investment Process-Due Diligence.”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80"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Ability to Source and Evaluate Transactions through our Investment Adviser’s Research Capability and Established Network</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We expect that the in-depth coverage and experience of Mr. Penn, as well as that of the other investment professionals of our Investment Adviser, will enable us to invest throughout various stages of the economic cycle and will provide us with ongoing market insights in addition to a significant investment sourcing engine.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right="20" w:firstLine="456"/>
        <w:spacing w:after="0" w:line="314" w:lineRule="auto"/>
        <w:rPr>
          <w:sz w:val="20"/>
          <w:szCs w:val="20"/>
          <w:color w:val="auto"/>
        </w:rPr>
      </w:pPr>
      <w:r>
        <w:rPr>
          <w:rFonts w:ascii="Arial" w:cs="Arial" w:eastAsia="Arial" w:hAnsi="Arial"/>
          <w:sz w:val="15"/>
          <w:szCs w:val="15"/>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because competition for investment opportunities generally has increased among alternative investment vehicles, such as hedge funds, those entities have begun to invest in areas they have not traditionally invested in, including investments in middle-market companies. As a result of these new entrants, competition for investment opportunities at middle-market companies has intensified. However, we believe that there has been a reduction in the amount of debt capital available for lending in leveraged buyout transactions since the downturn in the credit markets, which began in mid-2007. This has resulted in a less competitive environment.</w:t>
      </w:r>
    </w:p>
    <w:p>
      <w:pPr>
        <w:spacing w:after="0" w:line="105"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use the industry information available to our Investment Adviser to assess investment risks and determine appropriate pricing for our investments in portfolio companies. We benefit from the relationships of Messrs. Penn, Chang, Giannetti and Williams, and other of our senior investment professionals retained by our Investment Adviser, who enable us to learn about, and compete effectively for, financing opportunities with attractive middle-market companies in the industries in which we invest. For additional information concerning the competitive risks we face, see “Risk Factors—Risks relating to our business and structure-We operate in a highly competitive market for investment opportunities.”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Leverage</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June 25, 2007, we entered into a credit agreement among us, various lenders and SunTrust Bank, as administrative agent for the lenders. SunTrust Robinson Humphrey Capital Markets acted as the joint lead arranger and book-runner, and Bear Stearns Corporate Lending Inc. acted as joint lead arranger and syndication agent. As of September 30, 2007 and December 31, 2007, we had outstanding borrowings of $10.0 million and $91.5 million, respectively, under our credit agreement, with an annual interest rate of 6.15% and 5.90%, respectively.</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the Credit Agreement, the lenders agreed to extend us credit in an initial aggregate principal or face amount not exceeding $300.0 million at any one time outstanding. The Credit Agreement is a five-year revolving facility (with a stated maturity date of June 25, 2012) and is secured by substantially all of our investment portfolio assets. Pricing of borrowings under the credit agreement is set at 100 basis points over LIBOR.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74" w:right="27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SENIOR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Information about our senior securities is shown in the following table for the three months ended December 31, 2007 and the period January 11, 2007 (inception) through September 30, 2007. The information for the period January 11, 2007 (inception) through September 30, 2007 has been derived from our financial statements which have been audited by KPMG LLP. The “—” indicates information which the SEC expressly does not require to be disclosed for certain types of senior securities.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0"/>
              </w:rPr>
              <w:t>Involuntary</w:t>
            </w:r>
          </w:p>
        </w:tc>
        <w:tc>
          <w:tcPr>
            <w:tcW w:w="6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w w:val="83"/>
              </w:rPr>
              <w:t>Asset</w:t>
            </w:r>
          </w:p>
        </w:tc>
        <w:tc>
          <w:tcPr>
            <w:tcW w:w="60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Liquidating</w:t>
            </w:r>
          </w:p>
        </w:tc>
        <w:tc>
          <w:tcPr>
            <w:tcW w:w="6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60" w:type="dxa"/>
            <w:vAlign w:val="bottom"/>
            <w:gridSpan w:val="3"/>
          </w:tcPr>
          <w:p>
            <w:pPr>
              <w:jc w:val="right"/>
              <w:ind w:right="620"/>
              <w:spacing w:after="0" w:line="144" w:lineRule="exact"/>
              <w:rPr>
                <w:sz w:val="20"/>
                <w:szCs w:val="20"/>
                <w:color w:val="auto"/>
              </w:rPr>
            </w:pPr>
            <w:r>
              <w:rPr>
                <w:rFonts w:ascii="Arial" w:cs="Arial" w:eastAsia="Arial" w:hAnsi="Arial"/>
                <w:sz w:val="14"/>
                <w:szCs w:val="14"/>
                <w:b w:val="1"/>
                <w:bCs w:val="1"/>
                <w:color w:val="auto"/>
                <w:w w:val="90"/>
              </w:rPr>
              <w:t>Total Amount</w:t>
            </w:r>
          </w:p>
        </w:tc>
        <w:tc>
          <w:tcPr>
            <w:tcW w:w="620" w:type="dxa"/>
            <w:vAlign w:val="bottom"/>
            <w:gridSpan w:val="2"/>
          </w:tcPr>
          <w:p>
            <w:pPr>
              <w:ind w:left="40"/>
              <w:spacing w:after="0" w:line="144" w:lineRule="exact"/>
              <w:rPr>
                <w:sz w:val="20"/>
                <w:szCs w:val="20"/>
                <w:color w:val="auto"/>
              </w:rPr>
            </w:pPr>
            <w:r>
              <w:rPr>
                <w:rFonts w:ascii="Arial" w:cs="Arial" w:eastAsia="Arial" w:hAnsi="Arial"/>
                <w:sz w:val="14"/>
                <w:szCs w:val="14"/>
                <w:b w:val="1"/>
                <w:bCs w:val="1"/>
                <w:color w:val="auto"/>
                <w:w w:val="87"/>
              </w:rPr>
              <w:t>Coverage</w:t>
            </w:r>
          </w:p>
        </w:tc>
        <w:tc>
          <w:tcPr>
            <w:tcW w:w="600" w:type="dxa"/>
            <w:vAlign w:val="bottom"/>
          </w:tcPr>
          <w:p>
            <w:pPr>
              <w:spacing w:after="0"/>
              <w:rPr>
                <w:sz w:val="12"/>
                <w:szCs w:val="12"/>
                <w:color w:val="auto"/>
              </w:rPr>
            </w:pPr>
          </w:p>
        </w:tc>
        <w:tc>
          <w:tcPr>
            <w:tcW w:w="700" w:type="dxa"/>
            <w:vAlign w:val="bottom"/>
            <w:gridSpan w:val="2"/>
          </w:tcPr>
          <w:p>
            <w:pPr>
              <w:ind w:left="40"/>
              <w:spacing w:after="0" w:line="144" w:lineRule="exact"/>
              <w:rPr>
                <w:sz w:val="20"/>
                <w:szCs w:val="20"/>
                <w:color w:val="auto"/>
              </w:rPr>
            </w:pPr>
            <w:r>
              <w:rPr>
                <w:rFonts w:ascii="Arial" w:cs="Arial" w:eastAsia="Arial" w:hAnsi="Arial"/>
                <w:sz w:val="14"/>
                <w:szCs w:val="14"/>
                <w:b w:val="1"/>
                <w:bCs w:val="1"/>
                <w:color w:val="auto"/>
                <w:w w:val="88"/>
              </w:rPr>
              <w:t>Preference</w:t>
            </w:r>
          </w:p>
        </w:tc>
        <w:tc>
          <w:tcPr>
            <w:tcW w:w="600" w:type="dxa"/>
            <w:vAlign w:val="bottom"/>
          </w:tcPr>
          <w:p>
            <w:pPr>
              <w:spacing w:after="0"/>
              <w:rPr>
                <w:sz w:val="12"/>
                <w:szCs w:val="12"/>
                <w:color w:val="auto"/>
              </w:rPr>
            </w:pPr>
          </w:p>
        </w:tc>
        <w:tc>
          <w:tcPr>
            <w:tcW w:w="5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Value Per</w:t>
            </w:r>
          </w:p>
        </w:tc>
        <w:tc>
          <w:tcPr>
            <w:tcW w:w="0" w:type="dxa"/>
            <w:vAlign w:val="bottom"/>
          </w:tcPr>
          <w:p>
            <w:pPr>
              <w:spacing w:after="0"/>
              <w:rPr>
                <w:sz w:val="1"/>
                <w:szCs w:val="1"/>
                <w:color w:val="auto"/>
              </w:rPr>
            </w:pPr>
          </w:p>
        </w:tc>
      </w:tr>
      <w:tr>
        <w:trPr>
          <w:trHeight w:val="193"/>
        </w:trPr>
        <w:tc>
          <w:tcPr>
            <w:tcW w:w="5200" w:type="dxa"/>
            <w:vAlign w:val="bottom"/>
            <w:gridSpan w:val="4"/>
          </w:tcPr>
          <w:p>
            <w:pPr>
              <w:spacing w:after="0"/>
              <w:rPr>
                <w:sz w:val="20"/>
                <w:szCs w:val="20"/>
                <w:color w:val="auto"/>
              </w:rPr>
            </w:pPr>
            <w:r>
              <w:rPr>
                <w:rFonts w:ascii="Arial" w:cs="Arial" w:eastAsia="Arial" w:hAnsi="Arial"/>
                <w:sz w:val="14"/>
                <w:szCs w:val="14"/>
                <w:b w:val="1"/>
                <w:bCs w:val="1"/>
                <w:color w:val="auto"/>
              </w:rPr>
              <w:t>Class and Year</w:t>
            </w:r>
          </w:p>
        </w:tc>
        <w:tc>
          <w:tcPr>
            <w:tcW w:w="1680" w:type="dxa"/>
            <w:vAlign w:val="bottom"/>
          </w:tcPr>
          <w:p>
            <w:pPr>
              <w:spacing w:after="0"/>
              <w:rPr>
                <w:sz w:val="16"/>
                <w:szCs w:val="16"/>
                <w:color w:val="auto"/>
              </w:rPr>
            </w:pPr>
          </w:p>
        </w:tc>
        <w:tc>
          <w:tcPr>
            <w:tcW w:w="1460" w:type="dxa"/>
            <w:vAlign w:val="bottom"/>
            <w:gridSpan w:val="3"/>
          </w:tcPr>
          <w:p>
            <w:pPr>
              <w:spacing w:after="0" w:line="193"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22"/>
                <w:szCs w:val="22"/>
                <w:b w:val="1"/>
                <w:bCs w:val="1"/>
                <w:color w:val="auto"/>
                <w:vertAlign w:val="superscript"/>
              </w:rPr>
              <w:t>(1)</w:t>
            </w:r>
          </w:p>
        </w:tc>
        <w:tc>
          <w:tcPr>
            <w:tcW w:w="620" w:type="dxa"/>
            <w:vAlign w:val="bottom"/>
            <w:gridSpan w:val="2"/>
          </w:tcPr>
          <w:p>
            <w:pPr>
              <w:spacing w:after="0" w:line="193" w:lineRule="exact"/>
              <w:rPr>
                <w:sz w:val="20"/>
                <w:szCs w:val="20"/>
                <w:color w:val="auto"/>
              </w:rPr>
            </w:pPr>
            <w:r>
              <w:rPr>
                <w:rFonts w:ascii="Arial" w:cs="Arial" w:eastAsia="Arial" w:hAnsi="Arial"/>
                <w:sz w:val="14"/>
                <w:szCs w:val="14"/>
                <w:b w:val="1"/>
                <w:bCs w:val="1"/>
                <w:color w:val="auto"/>
                <w:w w:val="84"/>
              </w:rPr>
              <w:t>per Unit</w:t>
            </w:r>
            <w:r>
              <w:rPr>
                <w:rFonts w:ascii="Arial" w:cs="Arial" w:eastAsia="Arial" w:hAnsi="Arial"/>
                <w:sz w:val="22"/>
                <w:szCs w:val="22"/>
                <w:b w:val="1"/>
                <w:bCs w:val="1"/>
                <w:color w:val="auto"/>
                <w:w w:val="84"/>
                <w:vertAlign w:val="superscript"/>
              </w:rPr>
              <w:t>(2)</w:t>
            </w:r>
          </w:p>
        </w:tc>
        <w:tc>
          <w:tcPr>
            <w:tcW w:w="600" w:type="dxa"/>
            <w:vAlign w:val="bottom"/>
          </w:tcPr>
          <w:p>
            <w:pPr>
              <w:spacing w:after="0"/>
              <w:rPr>
                <w:sz w:val="16"/>
                <w:szCs w:val="16"/>
                <w:color w:val="auto"/>
              </w:rPr>
            </w:pPr>
          </w:p>
        </w:tc>
        <w:tc>
          <w:tcPr>
            <w:tcW w:w="700" w:type="dxa"/>
            <w:vAlign w:val="bottom"/>
            <w:gridSpan w:val="2"/>
          </w:tcPr>
          <w:p>
            <w:pPr>
              <w:ind w:left="40"/>
              <w:spacing w:after="0" w:line="193" w:lineRule="exact"/>
              <w:rPr>
                <w:sz w:val="20"/>
                <w:szCs w:val="20"/>
                <w:color w:val="auto"/>
              </w:rPr>
            </w:pPr>
            <w:r>
              <w:rPr>
                <w:rFonts w:ascii="Arial" w:cs="Arial" w:eastAsia="Arial" w:hAnsi="Arial"/>
                <w:sz w:val="14"/>
                <w:szCs w:val="14"/>
                <w:b w:val="1"/>
                <w:bCs w:val="1"/>
                <w:color w:val="auto"/>
                <w:w w:val="89"/>
              </w:rPr>
              <w:t>Per Unit</w:t>
            </w:r>
            <w:r>
              <w:rPr>
                <w:rFonts w:ascii="Arial" w:cs="Arial" w:eastAsia="Arial" w:hAnsi="Arial"/>
                <w:sz w:val="22"/>
                <w:szCs w:val="22"/>
                <w:b w:val="1"/>
                <w:bCs w:val="1"/>
                <w:color w:val="auto"/>
                <w:w w:val="89"/>
                <w:vertAlign w:val="superscript"/>
              </w:rPr>
              <w:t>(3)</w:t>
            </w:r>
          </w:p>
        </w:tc>
        <w:tc>
          <w:tcPr>
            <w:tcW w:w="600" w:type="dxa"/>
            <w:vAlign w:val="bottom"/>
          </w:tcPr>
          <w:p>
            <w:pPr>
              <w:spacing w:after="0"/>
              <w:rPr>
                <w:sz w:val="16"/>
                <w:szCs w:val="16"/>
                <w:color w:val="auto"/>
              </w:rPr>
            </w:pPr>
          </w:p>
        </w:tc>
        <w:tc>
          <w:tcPr>
            <w:tcW w:w="56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84"/>
              </w:rPr>
              <w:t>Unit</w:t>
            </w:r>
            <w:r>
              <w:rPr>
                <w:rFonts w:ascii="Arial" w:cs="Arial" w:eastAsia="Arial" w:hAnsi="Arial"/>
                <w:sz w:val="22"/>
                <w:szCs w:val="22"/>
                <w:b w:val="1"/>
                <w:bCs w:val="1"/>
                <w:color w:val="auto"/>
                <w:w w:val="84"/>
                <w:vertAlign w:val="superscript"/>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Credit Facility</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Fiscal 2008</w:t>
            </w: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(as of December 31, 2007, unaudited)</w:t>
            </w:r>
          </w:p>
        </w:tc>
        <w:tc>
          <w:tcPr>
            <w:tcW w:w="192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91,500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3,778</w:t>
            </w:r>
          </w:p>
        </w:tc>
        <w:tc>
          <w:tcPr>
            <w:tcW w:w="8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6"/>
              </w:rPr>
              <w:t>Fiscal 2007</w:t>
            </w:r>
          </w:p>
        </w:tc>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September 30, 2007)</w:t>
            </w:r>
          </w:p>
        </w:tc>
        <w:tc>
          <w:tcPr>
            <w:tcW w:w="19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28,039</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the end of the period presented (in 000’s).</w:t>
      </w:r>
    </w:p>
    <w:p>
      <w:pPr>
        <w:spacing w:after="0" w:line="76" w:lineRule="exact"/>
        <w:rPr>
          <w:rFonts w:ascii="Arial" w:cs="Arial" w:eastAsia="Arial" w:hAnsi="Arial"/>
          <w:sz w:val="18"/>
          <w:szCs w:val="18"/>
          <w:color w:val="auto"/>
        </w:rPr>
      </w:pPr>
    </w:p>
    <w:p>
      <w:pPr>
        <w:ind w:left="460" w:right="16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PennantPark seeks to create a diversified portfolio that includes mezzanine debt, senior secured loans and equity by targeting investment size of $10 to $50 million in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Over time, we expect that our portfolio will continue to consist of mezzanine debt, senior secured loans and, to a lesser extent, equity investments. In addition to mezzanine debt and equity investments in private or thinly traded public middle-market U.S. companies, we may invest up to 30% of our portfolio in opportunistic investments. These investments may include investments in public companies whose securities are not thinly traded, securities of middle-market companies located outside of the United States and certain investment companies. We expect that these companies will generally issue debt securities that are not investment grade. Moreover, we may acquire investments in the secondary market. In analyzing such investments, we will employ the same analytical process as we use for our primary investments.</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Additionally, we may in the future seek to securitize our loans to generate cash for funding new investments. To securitize loans, we may create a wholly owned subsidiary and contribute a pool of loans to the subsidiary. This could include sales of interests in the subsidiary on a non-recourse basis to purchasers who we would expect to be willing to accept a lower interest rate to invest in investment grade loan pools, and we would retain a portion of the equity in the securitized pool of loans. See “Investment Objectives and Policies—Investment selection criteria.”</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Structurally, mezzanine debt (which includes second lien secured debt and subordinated debt) usually ranks subordinate in priority of payment to senior secured loans.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identified several criteria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52" w:name="page53"/>
    <w:bookmarkEnd w:id="52"/>
    <w:p>
      <w:pPr>
        <w:ind w:right="4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Generally, we seek to use our experience and access to market information to identify investment candidates and to structure investments quickly and effectively.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orientation and positive cash flow</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investment philosophy places a premium on fundamental analysis from an investor’s perspective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management and established financial sponsor relationship</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significant equity interests. In addition, we focus our investments in companies backed by strong financial sponsors that have a history of creating value and with whom members of our Investment Adviser have an established relationship.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Strong and defensible competitive market position in industry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Viable exit strategy</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another capital market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We, through our Investment Adviser, conduct a rigorous due diligence process that is applied to prospective portfolio companies that draws from our Investment Adviser’s experience, industry expertise and network of contacts. In conducting due diligence, our Investment Adviser uses publicly available information as well as information from its relationships with former and current management teams, consultants, competitors and investment bankers.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53" w:name="page54"/>
    <w:bookmarkEnd w:id="53"/>
    <w:p>
      <w:pPr>
        <w:ind w:right="8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the completion of due diligence and a decision to proceed with an investment in a company, the principals leading the investment present the investment opportunity to our Investment Adviser’s investment committee. This committee determines whether to pursue the potential investment. All new investments are required to be reviewed by the investment committee of our Investment Adviser, which currently consists of Messrs. Penn, Chang, Giannetti and Williams, subject to final approval by Mr. Penn. As our Investment Adviser adds senior investment professionals, our Investment Adviser may add them to its investment committee. The members of our investment committee receive no compensation from us. These members are employees of our Investment Adviser and receive compensation from our Investment Adviser.</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expected to perform relative to the other capital in the portfolio company’s capital structure.</w:t>
      </w:r>
    </w:p>
    <w:p>
      <w:pPr>
        <w:spacing w:after="0" w:line="14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Mezzanine debt typically has interest-only payments in the early years, with amortization of principal deferred to the later years of the mezzanine debt.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case of our mezzanine debt and senior secured loan investments,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325"/>
        <w:spacing w:after="0" w:line="306"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expect to hold most of our investments to maturity or repayment, but may sell certain investments earlier if a liquidity event takes place, such as the sale or recapitalization of a portfolio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80"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Comparisons to other PennantPark portfolio companies in the industry,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Process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is a description of the steps we take each quarter to determine the value of our portfolio.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 by using the valuation procedure that it uses with respect to assets for which market quotations are not readily available. With respect to investments for which market quotations are not readily available or are readily available but believed to not reflect the value of an investment, our board of directors undertakes a multi-step valuation process each quarter, as described below:</w:t>
      </w:r>
    </w:p>
    <w:p>
      <w:pPr>
        <w:spacing w:after="0" w:line="37" w:lineRule="exact"/>
        <w:rPr>
          <w:sz w:val="20"/>
          <w:szCs w:val="20"/>
          <w:color w:val="auto"/>
        </w:rPr>
      </w:pPr>
    </w:p>
    <w:p>
      <w:pPr>
        <w:ind w:left="900" w:right="44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325"/>
        <w:spacing w:after="0" w:line="306"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board of directors also engages one or more independent valuation firms to conduct independent appraisals of our investments for which market quotations are not readily available or are readily available but believed to not reflect the value of an investment. The independent valuation firm reviews management’s preliminary valuations in light of its own independent assessment;</w:t>
      </w:r>
    </w:p>
    <w:p>
      <w:pPr>
        <w:spacing w:after="0" w:line="25" w:lineRule="exact"/>
        <w:rPr>
          <w:rFonts w:ascii="Arial" w:cs="Arial" w:eastAsia="Arial" w:hAnsi="Arial"/>
          <w:sz w:val="16"/>
          <w:szCs w:val="16"/>
          <w:color w:val="auto"/>
        </w:rPr>
      </w:pPr>
    </w:p>
    <w:p>
      <w:pPr>
        <w:ind w:left="900" w:right="260" w:hanging="325"/>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4" w:right="259" w:bottom="1440" w:gutter="0" w:footer="0" w:header="0"/>
        </w:sectPr>
      </w:pPr>
    </w:p>
    <w:bookmarkStart w:id="55" w:name="page56"/>
    <w:bookmarkEnd w:id="55"/>
    <w:p>
      <w:pPr>
        <w:ind w:right="40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When we make investments that involve deferrals of interest payable to us, any increase in the value of the investment due to the accrual or receipt of payment of interest is allocated to the increase in the cost basis of the investment, rather than to capital appreciation or gain.</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It is possible that future events unforeseen by us or our Investment Adviser, such as a disturbance in the global credit markets, a severe decline in the value of the U.S. dollar, a sharp economic downturn or other general market disturbance, will negatively impact the market for leveraged finance instruments. If the market for our investments is substantially eroded, we may not find purchasers for our portfolio securities at all, or we may be able to sell them only for a fraction of their previously recorded value. During such times, our board of directors, in conjunction with our Investment Adviser and one or more independent valuation firms will continue to determine the fair value of our investments in accordance with our valuation process enumerated above. They will take into account the applicable market conditions, the nature and realizable value of any collateral, the portfolio company’s ability to make payments, its earnings and cash flows, the markets in which the portfolio company does business, comparison to publicly traded companies and other relevant factors. Determining fair value requires that judgment be applied to the specific facts and circumstances of each portfolio investment while employing a consistently applied valuation process for the types of investments we make.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a business development company, we offer, and must provide upon request, managerial assistance to certain of our portfolio companies. This assistance could involve monitoring the operations of our portfolio companies, participating in board and management meetings, consulting with and advising officers of portfolio companies and providing other organizational and financial guidance. Our Administrator provides such managerial assistance on our behalf to portfolio companies that request this assistance. We have not received any fees for such services since inception.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do not currently have any employees. Mr. Penn, our Chief Executive Officer, is the Managing Member of our Investment Adviser. Our Investment Adviser currently has four senior investment professionals, Messrs. Chang, Giannetti, Penn and Williams. In addition, Mr. Efrat, our Chief Financial Officer and Treasurer, is a Managing Director of our Administrator, and Mr. Hardin is our Chief Compliance Officer. Our Administrator and our Investment Adviser have hired and expect to continue to hire professionals with skills applicable to our business plan, including experience in middle-market investing, leveraged finance and capital markets.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280" w:right="2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Portfolio</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principal investment focus is to provide mezzanine debt and senior secured loans to U.S. middle-market companies in a variety of industries. We generally seek to target companies that generate positive cash flows from the broad variety of industries in which our Investment Adviser has direct expertise. The following is a representative list of the industries in which we have invested:</w:t>
      </w:r>
    </w:p>
    <w:p>
      <w:pPr>
        <w:spacing w:after="0" w:line="181"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100"/>
              <w:spacing w:after="0"/>
              <w:rPr>
                <w:sz w:val="20"/>
                <w:szCs w:val="20"/>
                <w:color w:val="auto"/>
              </w:rPr>
            </w:pPr>
            <w:r>
              <w:rPr>
                <w:rFonts w:ascii="Arial" w:cs="Arial" w:eastAsia="Arial" w:hAnsi="Arial"/>
                <w:sz w:val="18"/>
                <w:szCs w:val="18"/>
                <w:color w:val="auto"/>
              </w:rPr>
              <w:t>Aerospace Defense</w:t>
            </w:r>
          </w:p>
        </w:tc>
        <w:tc>
          <w:tcPr>
            <w:tcW w:w="6380" w:type="dxa"/>
            <w:vAlign w:val="bottom"/>
            <w:gridSpan w:val="2"/>
          </w:tcPr>
          <w:p>
            <w:pPr>
              <w:ind w:left="1760"/>
              <w:spacing w:after="0"/>
              <w:rPr>
                <w:sz w:val="20"/>
                <w:szCs w:val="20"/>
                <w:color w:val="auto"/>
              </w:rPr>
            </w:pPr>
            <w:r>
              <w:rPr>
                <w:rFonts w:ascii="Arial" w:cs="Arial" w:eastAsia="Arial" w:hAnsi="Arial"/>
                <w:sz w:val="18"/>
                <w:szCs w:val="18"/>
                <w:color w:val="auto"/>
                <w:w w:val="90"/>
              </w:rPr>
              <w:t>•   Home &amp; Office Furnishings, Housewares, Durable Consumer</w:t>
            </w:r>
          </w:p>
        </w:tc>
      </w:tr>
      <w:tr>
        <w:trPr>
          <w:trHeight w:val="222"/>
        </w:trPr>
        <w:tc>
          <w:tcPr>
            <w:tcW w:w="18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Products</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100"/>
              <w:spacing w:after="0"/>
              <w:rPr>
                <w:sz w:val="20"/>
                <w:szCs w:val="20"/>
                <w:color w:val="auto"/>
              </w:rPr>
            </w:pPr>
            <w:r>
              <w:rPr>
                <w:rFonts w:ascii="Arial" w:cs="Arial" w:eastAsia="Arial" w:hAnsi="Arial"/>
                <w:sz w:val="18"/>
                <w:szCs w:val="18"/>
                <w:color w:val="auto"/>
              </w:rPr>
              <w:t>Broadcasting &amp; Entertainment</w:t>
            </w:r>
          </w:p>
        </w:tc>
        <w:tc>
          <w:tcPr>
            <w:tcW w:w="6380" w:type="dxa"/>
            <w:vAlign w:val="bottom"/>
            <w:gridSpan w:val="2"/>
          </w:tcPr>
          <w:p>
            <w:pPr>
              <w:ind w:left="1760"/>
              <w:spacing w:after="0"/>
              <w:rPr>
                <w:sz w:val="20"/>
                <w:szCs w:val="20"/>
                <w:color w:val="auto"/>
              </w:rPr>
            </w:pPr>
            <w:r>
              <w:rPr>
                <w:rFonts w:ascii="Arial" w:cs="Arial" w:eastAsia="Arial" w:hAnsi="Arial"/>
                <w:sz w:val="18"/>
                <w:szCs w:val="18"/>
                <w:color w:val="auto"/>
              </w:rPr>
              <w:t>•   Leisure, Amusement, Motion Pictures, Entertainment</w:t>
            </w:r>
          </w:p>
        </w:tc>
      </w:tr>
      <w:tr>
        <w:trPr>
          <w:trHeight w:val="324"/>
        </w:trPr>
        <w:tc>
          <w:tcPr>
            <w:tcW w:w="4300" w:type="dxa"/>
            <w:vAlign w:val="bottom"/>
            <w:gridSpan w:val="2"/>
          </w:tcPr>
          <w:p>
            <w:pPr>
              <w:spacing w:after="0"/>
              <w:rPr>
                <w:sz w:val="20"/>
                <w:szCs w:val="20"/>
                <w:color w:val="auto"/>
              </w:rPr>
            </w:pPr>
            <w:r>
              <w:rPr>
                <w:rFonts w:ascii="Arial" w:cs="Arial" w:eastAsia="Arial" w:hAnsi="Arial"/>
                <w:sz w:val="18"/>
                <w:szCs w:val="18"/>
                <w:color w:val="auto"/>
              </w:rPr>
              <w:t>•   Buildings &amp; Real Estate</w:t>
            </w:r>
          </w:p>
        </w:tc>
        <w:tc>
          <w:tcPr>
            <w:tcW w:w="1920" w:type="dxa"/>
            <w:vAlign w:val="bottom"/>
          </w:tcPr>
          <w:p>
            <w:pPr>
              <w:ind w:left="1760"/>
              <w:spacing w:after="0"/>
              <w:rPr>
                <w:sz w:val="20"/>
                <w:szCs w:val="20"/>
                <w:color w:val="auto"/>
              </w:rPr>
            </w:pPr>
            <w:r>
              <w:rPr>
                <w:rFonts w:ascii="Arial" w:cs="Arial" w:eastAsia="Arial" w:hAnsi="Arial"/>
                <w:sz w:val="18"/>
                <w:szCs w:val="18"/>
                <w:color w:val="auto"/>
              </w:rPr>
              <w:t>•</w:t>
            </w:r>
          </w:p>
        </w:tc>
        <w:tc>
          <w:tcPr>
            <w:tcW w:w="4460" w:type="dxa"/>
            <w:vAlign w:val="bottom"/>
          </w:tcPr>
          <w:p>
            <w:pPr>
              <w:ind w:left="120"/>
              <w:spacing w:after="0"/>
              <w:rPr>
                <w:sz w:val="20"/>
                <w:szCs w:val="20"/>
                <w:color w:val="auto"/>
              </w:rPr>
            </w:pPr>
            <w:r>
              <w:rPr>
                <w:rFonts w:ascii="Arial" w:cs="Arial" w:eastAsia="Arial" w:hAnsi="Arial"/>
                <w:sz w:val="18"/>
                <w:szCs w:val="18"/>
                <w:color w:val="auto"/>
              </w:rPr>
              <w:t>Manufacturing/Basic Industry</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100"/>
              <w:spacing w:after="0"/>
              <w:rPr>
                <w:sz w:val="20"/>
                <w:szCs w:val="20"/>
                <w:color w:val="auto"/>
              </w:rPr>
            </w:pPr>
            <w:r>
              <w:rPr>
                <w:rFonts w:ascii="Arial" w:cs="Arial" w:eastAsia="Arial" w:hAnsi="Arial"/>
                <w:sz w:val="18"/>
                <w:szCs w:val="18"/>
                <w:color w:val="auto"/>
              </w:rPr>
              <w:t>Business Services</w:t>
            </w:r>
          </w:p>
        </w:tc>
        <w:tc>
          <w:tcPr>
            <w:tcW w:w="1920" w:type="dxa"/>
            <w:vAlign w:val="bottom"/>
          </w:tcPr>
          <w:p>
            <w:pPr>
              <w:ind w:left="1760"/>
              <w:spacing w:after="0"/>
              <w:rPr>
                <w:sz w:val="20"/>
                <w:szCs w:val="20"/>
                <w:color w:val="auto"/>
              </w:rPr>
            </w:pPr>
            <w:r>
              <w:rPr>
                <w:rFonts w:ascii="Arial" w:cs="Arial" w:eastAsia="Arial" w:hAnsi="Arial"/>
                <w:sz w:val="18"/>
                <w:szCs w:val="18"/>
                <w:color w:val="auto"/>
              </w:rPr>
              <w:t>•</w:t>
            </w:r>
          </w:p>
        </w:tc>
        <w:tc>
          <w:tcPr>
            <w:tcW w:w="4460" w:type="dxa"/>
            <w:vAlign w:val="bottom"/>
          </w:tcPr>
          <w:p>
            <w:pPr>
              <w:ind w:left="120"/>
              <w:spacing w:after="0"/>
              <w:rPr>
                <w:sz w:val="20"/>
                <w:szCs w:val="20"/>
                <w:color w:val="auto"/>
              </w:rPr>
            </w:pPr>
            <w:r>
              <w:rPr>
                <w:rFonts w:ascii="Arial" w:cs="Arial" w:eastAsia="Arial" w:hAnsi="Arial"/>
                <w:sz w:val="18"/>
                <w:szCs w:val="18"/>
                <w:color w:val="auto"/>
              </w:rPr>
              <w:t>Media</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100"/>
              <w:spacing w:after="0"/>
              <w:rPr>
                <w:sz w:val="20"/>
                <w:szCs w:val="20"/>
                <w:color w:val="auto"/>
              </w:rPr>
            </w:pPr>
            <w:r>
              <w:rPr>
                <w:rFonts w:ascii="Arial" w:cs="Arial" w:eastAsia="Arial" w:hAnsi="Arial"/>
                <w:sz w:val="18"/>
                <w:szCs w:val="18"/>
                <w:color w:val="auto"/>
              </w:rPr>
              <w:t>Cable TV</w:t>
            </w:r>
          </w:p>
        </w:tc>
        <w:tc>
          <w:tcPr>
            <w:tcW w:w="1920" w:type="dxa"/>
            <w:vAlign w:val="bottom"/>
          </w:tcPr>
          <w:p>
            <w:pPr>
              <w:ind w:left="1760"/>
              <w:spacing w:after="0"/>
              <w:rPr>
                <w:sz w:val="20"/>
                <w:szCs w:val="20"/>
                <w:color w:val="auto"/>
              </w:rPr>
            </w:pPr>
            <w:r>
              <w:rPr>
                <w:rFonts w:ascii="Arial" w:cs="Arial" w:eastAsia="Arial" w:hAnsi="Arial"/>
                <w:sz w:val="18"/>
                <w:szCs w:val="18"/>
                <w:color w:val="auto"/>
              </w:rPr>
              <w:t>•</w:t>
            </w:r>
          </w:p>
        </w:tc>
        <w:tc>
          <w:tcPr>
            <w:tcW w:w="4460" w:type="dxa"/>
            <w:vAlign w:val="bottom"/>
          </w:tcPr>
          <w:p>
            <w:pPr>
              <w:ind w:left="120"/>
              <w:spacing w:after="0"/>
              <w:rPr>
                <w:sz w:val="20"/>
                <w:szCs w:val="20"/>
                <w:color w:val="auto"/>
              </w:rPr>
            </w:pPr>
            <w:r>
              <w:rPr>
                <w:rFonts w:ascii="Arial" w:cs="Arial" w:eastAsia="Arial" w:hAnsi="Arial"/>
                <w:sz w:val="18"/>
                <w:szCs w:val="18"/>
                <w:color w:val="auto"/>
              </w:rPr>
              <w:t>Oil &amp; Gas</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100"/>
              <w:spacing w:after="0"/>
              <w:rPr>
                <w:sz w:val="20"/>
                <w:szCs w:val="20"/>
                <w:color w:val="auto"/>
              </w:rPr>
            </w:pPr>
            <w:r>
              <w:rPr>
                <w:rFonts w:ascii="Arial" w:cs="Arial" w:eastAsia="Arial" w:hAnsi="Arial"/>
                <w:sz w:val="18"/>
                <w:szCs w:val="18"/>
                <w:color w:val="auto"/>
              </w:rPr>
              <w:t>Cargo Transport</w:t>
            </w:r>
          </w:p>
        </w:tc>
        <w:tc>
          <w:tcPr>
            <w:tcW w:w="1920" w:type="dxa"/>
            <w:vAlign w:val="bottom"/>
          </w:tcPr>
          <w:p>
            <w:pPr>
              <w:ind w:left="1760"/>
              <w:spacing w:after="0"/>
              <w:rPr>
                <w:sz w:val="20"/>
                <w:szCs w:val="20"/>
                <w:color w:val="auto"/>
              </w:rPr>
            </w:pPr>
            <w:r>
              <w:rPr>
                <w:rFonts w:ascii="Arial" w:cs="Arial" w:eastAsia="Arial" w:hAnsi="Arial"/>
                <w:sz w:val="18"/>
                <w:szCs w:val="18"/>
                <w:color w:val="auto"/>
              </w:rPr>
              <w:t>•</w:t>
            </w:r>
          </w:p>
        </w:tc>
        <w:tc>
          <w:tcPr>
            <w:tcW w:w="4460" w:type="dxa"/>
            <w:vAlign w:val="bottom"/>
          </w:tcPr>
          <w:p>
            <w:pPr>
              <w:ind w:left="120"/>
              <w:spacing w:after="0"/>
              <w:rPr>
                <w:sz w:val="20"/>
                <w:szCs w:val="20"/>
                <w:color w:val="auto"/>
              </w:rPr>
            </w:pPr>
            <w:r>
              <w:rPr>
                <w:rFonts w:ascii="Arial" w:cs="Arial" w:eastAsia="Arial" w:hAnsi="Arial"/>
                <w:sz w:val="18"/>
                <w:szCs w:val="18"/>
                <w:color w:val="auto"/>
              </w:rPr>
              <w:t>Other Media</w:t>
            </w:r>
          </w:p>
        </w:tc>
      </w:tr>
      <w:tr>
        <w:trPr>
          <w:trHeight w:val="324"/>
        </w:trPr>
        <w:tc>
          <w:tcPr>
            <w:tcW w:w="4300" w:type="dxa"/>
            <w:vAlign w:val="bottom"/>
            <w:gridSpan w:val="2"/>
          </w:tcPr>
          <w:p>
            <w:pPr>
              <w:spacing w:after="0"/>
              <w:rPr>
                <w:sz w:val="20"/>
                <w:szCs w:val="20"/>
                <w:color w:val="auto"/>
              </w:rPr>
            </w:pPr>
            <w:r>
              <w:rPr>
                <w:rFonts w:ascii="Arial" w:cs="Arial" w:eastAsia="Arial" w:hAnsi="Arial"/>
                <w:sz w:val="18"/>
                <w:szCs w:val="18"/>
                <w:color w:val="auto"/>
              </w:rPr>
              <w:t>•   Chemical, Plastics, &amp; Rubber</w:t>
            </w:r>
          </w:p>
        </w:tc>
        <w:tc>
          <w:tcPr>
            <w:tcW w:w="1920" w:type="dxa"/>
            <w:vAlign w:val="bottom"/>
          </w:tcPr>
          <w:p>
            <w:pPr>
              <w:ind w:left="1760"/>
              <w:spacing w:after="0"/>
              <w:rPr>
                <w:sz w:val="20"/>
                <w:szCs w:val="20"/>
                <w:color w:val="auto"/>
              </w:rPr>
            </w:pPr>
            <w:r>
              <w:rPr>
                <w:rFonts w:ascii="Arial" w:cs="Arial" w:eastAsia="Arial" w:hAnsi="Arial"/>
                <w:sz w:val="18"/>
                <w:szCs w:val="18"/>
                <w:color w:val="auto"/>
              </w:rPr>
              <w:t>•</w:t>
            </w:r>
          </w:p>
        </w:tc>
        <w:tc>
          <w:tcPr>
            <w:tcW w:w="4460" w:type="dxa"/>
            <w:vAlign w:val="bottom"/>
          </w:tcPr>
          <w:p>
            <w:pPr>
              <w:ind w:left="120"/>
              <w:spacing w:after="0"/>
              <w:rPr>
                <w:sz w:val="20"/>
                <w:szCs w:val="20"/>
                <w:color w:val="auto"/>
              </w:rPr>
            </w:pPr>
            <w:r>
              <w:rPr>
                <w:rFonts w:ascii="Arial" w:cs="Arial" w:eastAsia="Arial" w:hAnsi="Arial"/>
                <w:sz w:val="18"/>
                <w:szCs w:val="18"/>
                <w:color w:val="auto"/>
              </w:rPr>
              <w:t>Printing &amp; Publishing</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100"/>
              <w:spacing w:after="0"/>
              <w:rPr>
                <w:sz w:val="20"/>
                <w:szCs w:val="20"/>
                <w:color w:val="auto"/>
              </w:rPr>
            </w:pPr>
            <w:r>
              <w:rPr>
                <w:rFonts w:ascii="Arial" w:cs="Arial" w:eastAsia="Arial" w:hAnsi="Arial"/>
                <w:sz w:val="18"/>
                <w:szCs w:val="18"/>
                <w:color w:val="auto"/>
              </w:rPr>
              <w:t>Consumer Products</w:t>
            </w:r>
          </w:p>
        </w:tc>
        <w:tc>
          <w:tcPr>
            <w:tcW w:w="1920" w:type="dxa"/>
            <w:vAlign w:val="bottom"/>
          </w:tcPr>
          <w:p>
            <w:pPr>
              <w:ind w:left="1760"/>
              <w:spacing w:after="0"/>
              <w:rPr>
                <w:sz w:val="20"/>
                <w:szCs w:val="20"/>
                <w:color w:val="auto"/>
              </w:rPr>
            </w:pPr>
            <w:r>
              <w:rPr>
                <w:rFonts w:ascii="Arial" w:cs="Arial" w:eastAsia="Arial" w:hAnsi="Arial"/>
                <w:sz w:val="18"/>
                <w:szCs w:val="18"/>
                <w:color w:val="auto"/>
              </w:rPr>
              <w:t>•</w:t>
            </w:r>
          </w:p>
        </w:tc>
        <w:tc>
          <w:tcPr>
            <w:tcW w:w="4460" w:type="dxa"/>
            <w:vAlign w:val="bottom"/>
          </w:tcPr>
          <w:p>
            <w:pPr>
              <w:ind w:left="120"/>
              <w:spacing w:after="0"/>
              <w:rPr>
                <w:sz w:val="20"/>
                <w:szCs w:val="20"/>
                <w:color w:val="auto"/>
              </w:rPr>
            </w:pPr>
            <w:r>
              <w:rPr>
                <w:rFonts w:ascii="Arial" w:cs="Arial" w:eastAsia="Arial" w:hAnsi="Arial"/>
                <w:sz w:val="18"/>
                <w:szCs w:val="18"/>
                <w:color w:val="auto"/>
              </w:rPr>
              <w:t>Telecommunications</w:t>
            </w:r>
          </w:p>
        </w:tc>
      </w:tr>
      <w:tr>
        <w:trPr>
          <w:trHeight w:val="324"/>
        </w:trPr>
        <w:tc>
          <w:tcPr>
            <w:tcW w:w="4300" w:type="dxa"/>
            <w:vAlign w:val="bottom"/>
            <w:gridSpan w:val="2"/>
          </w:tcPr>
          <w:p>
            <w:pPr>
              <w:spacing w:after="0"/>
              <w:rPr>
                <w:sz w:val="20"/>
                <w:szCs w:val="20"/>
                <w:color w:val="auto"/>
              </w:rPr>
            </w:pPr>
            <w:r>
              <w:rPr>
                <w:rFonts w:ascii="Arial" w:cs="Arial" w:eastAsia="Arial" w:hAnsi="Arial"/>
                <w:sz w:val="18"/>
                <w:szCs w:val="18"/>
                <w:color w:val="auto"/>
              </w:rPr>
              <w:t>•   Containers, Packaging, &amp; Glass</w:t>
            </w:r>
          </w:p>
        </w:tc>
        <w:tc>
          <w:tcPr>
            <w:tcW w:w="1920" w:type="dxa"/>
            <w:vAlign w:val="bottom"/>
          </w:tcPr>
          <w:p>
            <w:pPr>
              <w:ind w:left="1760"/>
              <w:spacing w:after="0"/>
              <w:rPr>
                <w:sz w:val="20"/>
                <w:szCs w:val="20"/>
                <w:color w:val="auto"/>
              </w:rPr>
            </w:pPr>
            <w:r>
              <w:rPr>
                <w:rFonts w:ascii="Arial" w:cs="Arial" w:eastAsia="Arial" w:hAnsi="Arial"/>
                <w:sz w:val="18"/>
                <w:szCs w:val="18"/>
                <w:color w:val="auto"/>
              </w:rPr>
              <w:t>•</w:t>
            </w:r>
          </w:p>
        </w:tc>
        <w:tc>
          <w:tcPr>
            <w:tcW w:w="4460" w:type="dxa"/>
            <w:vAlign w:val="bottom"/>
          </w:tcPr>
          <w:p>
            <w:pPr>
              <w:ind w:left="120"/>
              <w:spacing w:after="0"/>
              <w:rPr>
                <w:sz w:val="20"/>
                <w:szCs w:val="20"/>
                <w:color w:val="auto"/>
              </w:rPr>
            </w:pPr>
            <w:r>
              <w:rPr>
                <w:rFonts w:ascii="Arial" w:cs="Arial" w:eastAsia="Arial" w:hAnsi="Arial"/>
                <w:sz w:val="18"/>
                <w:szCs w:val="18"/>
                <w:color w:val="auto"/>
              </w:rPr>
              <w:t>Retail Store</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100"/>
              <w:spacing w:after="0"/>
              <w:rPr>
                <w:sz w:val="20"/>
                <w:szCs w:val="20"/>
                <w:color w:val="auto"/>
              </w:rPr>
            </w:pPr>
            <w:r>
              <w:rPr>
                <w:rFonts w:ascii="Arial" w:cs="Arial" w:eastAsia="Arial" w:hAnsi="Arial"/>
                <w:sz w:val="18"/>
                <w:szCs w:val="18"/>
                <w:color w:val="auto"/>
              </w:rPr>
              <w:t>Education</w:t>
            </w:r>
          </w:p>
        </w:tc>
        <w:tc>
          <w:tcPr>
            <w:tcW w:w="1920" w:type="dxa"/>
            <w:vAlign w:val="bottom"/>
          </w:tcPr>
          <w:p>
            <w:pPr>
              <w:ind w:left="1760"/>
              <w:spacing w:after="0"/>
              <w:rPr>
                <w:sz w:val="20"/>
                <w:szCs w:val="20"/>
                <w:color w:val="auto"/>
              </w:rPr>
            </w:pPr>
            <w:r>
              <w:rPr>
                <w:rFonts w:ascii="Arial" w:cs="Arial" w:eastAsia="Arial" w:hAnsi="Arial"/>
                <w:sz w:val="18"/>
                <w:szCs w:val="18"/>
                <w:color w:val="auto"/>
              </w:rPr>
              <w:t>•</w:t>
            </w:r>
          </w:p>
        </w:tc>
        <w:tc>
          <w:tcPr>
            <w:tcW w:w="4460" w:type="dxa"/>
            <w:vAlign w:val="bottom"/>
          </w:tcPr>
          <w:p>
            <w:pPr>
              <w:ind w:left="120"/>
              <w:spacing w:after="0"/>
              <w:rPr>
                <w:sz w:val="20"/>
                <w:szCs w:val="20"/>
                <w:color w:val="auto"/>
              </w:rPr>
            </w:pPr>
            <w:r>
              <w:rPr>
                <w:rFonts w:ascii="Arial" w:cs="Arial" w:eastAsia="Arial" w:hAnsi="Arial"/>
                <w:sz w:val="18"/>
                <w:szCs w:val="18"/>
                <w:color w:val="auto"/>
              </w:rPr>
              <w:t>Transportation</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100"/>
              <w:spacing w:after="0"/>
              <w:rPr>
                <w:sz w:val="20"/>
                <w:szCs w:val="20"/>
                <w:color w:val="auto"/>
              </w:rPr>
            </w:pPr>
            <w:r>
              <w:rPr>
                <w:rFonts w:ascii="Arial" w:cs="Arial" w:eastAsia="Arial" w:hAnsi="Arial"/>
                <w:sz w:val="18"/>
                <w:szCs w:val="18"/>
                <w:color w:val="auto"/>
              </w:rPr>
              <w:t>Energy/Utilities</w:t>
            </w:r>
          </w:p>
        </w:tc>
        <w:tc>
          <w:tcPr>
            <w:tcW w:w="1920" w:type="dxa"/>
            <w:vAlign w:val="bottom"/>
          </w:tcPr>
          <w:p>
            <w:pPr>
              <w:ind w:left="1760"/>
              <w:spacing w:after="0"/>
              <w:rPr>
                <w:sz w:val="20"/>
                <w:szCs w:val="20"/>
                <w:color w:val="auto"/>
              </w:rPr>
            </w:pPr>
            <w:r>
              <w:rPr>
                <w:rFonts w:ascii="Arial" w:cs="Arial" w:eastAsia="Arial" w:hAnsi="Arial"/>
                <w:sz w:val="18"/>
                <w:szCs w:val="18"/>
                <w:color w:val="auto"/>
              </w:rPr>
              <w:t>•</w:t>
            </w:r>
          </w:p>
        </w:tc>
        <w:tc>
          <w:tcPr>
            <w:tcW w:w="4460" w:type="dxa"/>
            <w:vAlign w:val="bottom"/>
          </w:tcPr>
          <w:p>
            <w:pPr>
              <w:ind w:left="120"/>
              <w:spacing w:after="0"/>
              <w:rPr>
                <w:sz w:val="20"/>
                <w:szCs w:val="20"/>
                <w:color w:val="auto"/>
              </w:rPr>
            </w:pPr>
            <w:r>
              <w:rPr>
                <w:rFonts w:ascii="Arial" w:cs="Arial" w:eastAsia="Arial" w:hAnsi="Arial"/>
                <w:sz w:val="18"/>
                <w:szCs w:val="18"/>
                <w:color w:val="auto"/>
              </w:rPr>
              <w:t>Utilities</w:t>
            </w:r>
          </w:p>
        </w:tc>
      </w:tr>
    </w:tbl>
    <w:p>
      <w:pPr>
        <w:spacing w:after="0" w:line="102" w:lineRule="exact"/>
        <w:rPr>
          <w:sz w:val="20"/>
          <w:szCs w:val="20"/>
          <w:color w:val="auto"/>
        </w:rPr>
      </w:pPr>
    </w:p>
    <w:p>
      <w:pPr>
        <w:ind w:left="820" w:hanging="272"/>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Healthcare, Education &amp; Childcare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invest in other industries if we are presented with attractive opportunities.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Listed below are our top ten portfolio companies and industries represented as a percentage of portfolio assets (excluding cash equivalents) as of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December 31,</w:t>
            </w:r>
          </w:p>
        </w:tc>
        <w:tc>
          <w:tcPr>
            <w:tcW w:w="1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w:t>
            </w:r>
          </w:p>
        </w:tc>
        <w:tc>
          <w:tcPr>
            <w:tcW w:w="800" w:type="dxa"/>
            <w:vAlign w:val="bottom"/>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96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Portfolio Company</w:t>
            </w:r>
          </w:p>
        </w:tc>
        <w:tc>
          <w:tcPr>
            <w:tcW w:w="8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Specialized Technology Resources, Inc.</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43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Realogy Corp.</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Brand Energy</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4380" w:type="dxa"/>
            <w:vAlign w:val="bottom"/>
            <w:gridSpan w:val="3"/>
          </w:tcPr>
          <w:p>
            <w:pPr>
              <w:ind w:left="260"/>
              <w:spacing w:after="0"/>
              <w:rPr>
                <w:sz w:val="20"/>
                <w:szCs w:val="20"/>
                <w:color w:val="auto"/>
              </w:rPr>
            </w:pPr>
            <w:r>
              <w:rPr>
                <w:rFonts w:ascii="Arial" w:cs="Arial" w:eastAsia="Arial" w:hAnsi="Arial"/>
                <w:sz w:val="18"/>
                <w:szCs w:val="18"/>
                <w:color w:val="auto"/>
              </w:rPr>
              <w:t>Saint Acquisition Corp.</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Interdynamics Holdings, Inc.</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43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Advanstar, Inc.</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Realogy Crop.</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4380" w:type="dxa"/>
            <w:vAlign w:val="bottom"/>
            <w:gridSpan w:val="3"/>
          </w:tcPr>
          <w:p>
            <w:pPr>
              <w:ind w:left="260"/>
              <w:spacing w:after="0"/>
              <w:rPr>
                <w:sz w:val="20"/>
                <w:szCs w:val="20"/>
                <w:color w:val="auto"/>
              </w:rPr>
            </w:pPr>
            <w:r>
              <w:rPr>
                <w:rFonts w:ascii="Arial" w:cs="Arial" w:eastAsia="Arial" w:hAnsi="Arial"/>
                <w:sz w:val="18"/>
                <w:szCs w:val="18"/>
                <w:color w:val="auto"/>
              </w:rPr>
              <w:t>Affinion Group Holding, Inc.</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Group Holdings, Inc.</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43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Performance Holdings, Inc.</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Performance Holdings, Inc.</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4380" w:type="dxa"/>
            <w:vAlign w:val="bottom"/>
            <w:gridSpan w:val="3"/>
          </w:tcPr>
          <w:p>
            <w:pPr>
              <w:ind w:left="260"/>
              <w:spacing w:after="0"/>
              <w:rPr>
                <w:sz w:val="20"/>
                <w:szCs w:val="20"/>
                <w:color w:val="auto"/>
              </w:rPr>
            </w:pPr>
            <w:r>
              <w:rPr>
                <w:rFonts w:ascii="Arial" w:cs="Arial" w:eastAsia="Arial" w:hAnsi="Arial"/>
                <w:sz w:val="18"/>
                <w:szCs w:val="18"/>
                <w:color w:val="auto"/>
              </w:rPr>
              <w:t>Specialized Technology Resources, Inc.</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Saint Acquisition Corp.</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43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Charter Communications Operating, L.L.C.</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Advanstar, Inc.</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4380" w:type="dxa"/>
            <w:vAlign w:val="bottom"/>
            <w:gridSpan w:val="3"/>
          </w:tcPr>
          <w:p>
            <w:pPr>
              <w:ind w:left="260"/>
              <w:spacing w:after="0"/>
              <w:rPr>
                <w:sz w:val="20"/>
                <w:szCs w:val="20"/>
                <w:color w:val="auto"/>
              </w:rPr>
            </w:pPr>
            <w:r>
              <w:rPr>
                <w:rFonts w:ascii="Arial" w:cs="Arial" w:eastAsia="Arial" w:hAnsi="Arial"/>
                <w:sz w:val="18"/>
                <w:szCs w:val="18"/>
                <w:color w:val="auto"/>
              </w:rPr>
              <w:t>Questex Media Group, Inc.</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Questex Media Group, Inc.</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43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Univision Communications, Inc.</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Charter Communications Operating, L.L.C.</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4380" w:type="dxa"/>
            <w:vAlign w:val="bottom"/>
            <w:gridSpan w:val="3"/>
          </w:tcPr>
          <w:p>
            <w:pPr>
              <w:ind w:left="260"/>
              <w:spacing w:after="0"/>
              <w:rPr>
                <w:sz w:val="20"/>
                <w:szCs w:val="20"/>
                <w:color w:val="auto"/>
              </w:rPr>
            </w:pPr>
            <w:r>
              <w:rPr>
                <w:rFonts w:ascii="Arial" w:cs="Arial" w:eastAsia="Arial" w:hAnsi="Arial"/>
                <w:sz w:val="18"/>
                <w:szCs w:val="18"/>
                <w:color w:val="auto"/>
              </w:rPr>
              <w:t>TransFirst Holdings, Inc.</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7" w:name="page58"/>
    <w:bookmarkEnd w:id="5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December 31,</w:t>
            </w:r>
          </w:p>
        </w:tc>
        <w:tc>
          <w:tcPr>
            <w:tcW w:w="5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Industry</w:t>
            </w: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800" w:type="dxa"/>
            <w:vAlign w:val="bottom"/>
          </w:tcPr>
          <w:p>
            <w:pPr>
              <w:spacing w:after="0"/>
              <w:rPr>
                <w:sz w:val="14"/>
                <w:szCs w:val="14"/>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Industry</w:t>
            </w:r>
          </w:p>
        </w:tc>
        <w:tc>
          <w:tcPr>
            <w:tcW w:w="8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w:t>
            </w: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Healthcare, Education &amp; Childcare</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10%</w:t>
            </w:r>
          </w:p>
        </w:tc>
        <w:tc>
          <w:tcPr>
            <w:tcW w:w="41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 Plastics &amp; Rubber</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w:t>
            </w: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&amp; Real Estate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Energy/Utilities</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7%</w:t>
            </w:r>
          </w:p>
        </w:tc>
        <w:tc>
          <w:tcPr>
            <w:tcW w:w="410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w:t>
            </w: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&amp; Office Furnishings, House wares &amp;</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Durable Consumer Products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6%</w:t>
            </w:r>
          </w:p>
        </w:tc>
        <w:tc>
          <w:tcPr>
            <w:tcW w:w="41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w:t>
            </w: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 Plastics, &amp; Rubber</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5%</w:t>
            </w:r>
          </w:p>
        </w:tc>
        <w:tc>
          <w:tcPr>
            <w:tcW w:w="4100" w:type="dxa"/>
            <w:vAlign w:val="bottom"/>
            <w:gridSpan w:val="2"/>
          </w:tcPr>
          <w:p>
            <w:pPr>
              <w:spacing w:after="0"/>
              <w:rPr>
                <w:sz w:val="20"/>
                <w:szCs w:val="20"/>
                <w:color w:val="auto"/>
              </w:rPr>
            </w:pPr>
            <w:r>
              <w:rPr>
                <w:rFonts w:ascii="Arial" w:cs="Arial" w:eastAsia="Arial" w:hAnsi="Arial"/>
                <w:sz w:val="18"/>
                <w:szCs w:val="18"/>
                <w:color w:val="auto"/>
              </w:rPr>
              <w:t>Leisure, Amusement, Motion Pictures,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00" w:type="dxa"/>
            <w:vAlign w:val="bottom"/>
            <w:gridSpan w:val="2"/>
          </w:tcPr>
          <w:p>
            <w:pPr>
              <w:ind w:left="220"/>
              <w:spacing w:after="0"/>
              <w:rPr>
                <w:sz w:val="20"/>
                <w:szCs w:val="20"/>
                <w:color w:val="auto"/>
              </w:rPr>
            </w:pPr>
            <w:r>
              <w:rPr>
                <w:rFonts w:ascii="Arial" w:cs="Arial" w:eastAsia="Arial" w:hAnsi="Arial"/>
                <w:sz w:val="18"/>
                <w:szCs w:val="18"/>
                <w:color w:val="auto"/>
              </w:rPr>
              <w:t>Entertainment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 Housewares, &amp; Durable</w:t>
            </w: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Consumer Products</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w:t>
            </w: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Broadcasting &amp; Entertainment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Leisure, Amusement, Motion Pictures, Entertainment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5%</w:t>
            </w:r>
          </w:p>
        </w:tc>
        <w:tc>
          <w:tcPr>
            <w:tcW w:w="4100" w:type="dxa"/>
            <w:vAlign w:val="bottom"/>
            <w:gridSpan w:val="2"/>
          </w:tcPr>
          <w:p>
            <w:pPr>
              <w:spacing w:after="0"/>
              <w:rPr>
                <w:sz w:val="20"/>
                <w:szCs w:val="20"/>
                <w:color w:val="auto"/>
              </w:rPr>
            </w:pPr>
            <w:r>
              <w:rPr>
                <w:rFonts w:ascii="Arial" w:cs="Arial" w:eastAsia="Arial" w:hAnsi="Arial"/>
                <w:sz w:val="18"/>
                <w:szCs w:val="18"/>
                <w:color w:val="auto"/>
              </w:rPr>
              <w:t>Cable Television</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may invest from time to time, to the extent permitted by law, in the securities and instruments of other investment companies, including private funds. We may also co-invest in the future on a concurrent basis with affiliates of PennantPark, subject to compliance with applicable regulations and our allocation procedures. Some types of negotiated co-investments may be made only if we receive an order from the SEC permitting us to do so. There can be no assurance that any such order will be obtained.</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December 31, 2007, our portfolio consisted of thirty-eight companies and was invested 21% in subordinated debt, 33% in second lien secured debt, 2% in equity investments and 44% in senior secured loans.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63"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PORTFOLIO COMPANIES</w:t>
      </w:r>
    </w:p>
    <w:p>
      <w:pPr>
        <w:spacing w:after="0" w:line="1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December 31, 2007. Percentages shown for class of investment securities held by us represent percentage of the class owned and do not necessarily represent voting ownership or economic ownership. Percentages shown for equity securities, other than warrants or options held, if any, represent the actual percentage of the class of security held before dilution. Percentages shown for warrants or options held, if any, represent the percentage of class of security we may own on a fully diluted basis assuming we exercise our warrants or options.</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portfolio companies are presented in three categories: “companies more than 25% owned” which represent portfolio companies where we directly or indirectly own more than 25% of the outstanding voting securities of such portfolio company and, therefore, are presumed to be controlled by us under the 1940 Act; “companies owned 5% to 25%” which represent portfolio companies where we directly or indirectly own 5% to 25% of the outstanding voting securities of such portfolio company or where we hold one or more seats on the portfolio company’s board of directors and, therefore, are deemed to be an affiliated person under the 1940 Act; and “companies less than 5% owned” which represent portfolio companies where we directly or indirectly own less than 5% of the outstanding voting securities of such portfolio company and where we have no other affiliations with such portfolio company. We make available significant managerial assistance to our portfolio companies. As of December 31, 2007 we held no seats on any of our portfolio companies’ board of directors.</w:t>
      </w:r>
    </w:p>
    <w:p>
      <w:pPr>
        <w:sectPr>
          <w:pgSz w:w="11900" w:h="16838" w:orient="portrait"/>
          <w:cols w:equalWidth="0" w:num="1">
            <w:col w:w="11420"/>
          </w:cols>
          <w:pgMar w:left="240" w:top="274" w:right="239" w:bottom="1440" w:gutter="0" w:footer="0" w:header="0"/>
        </w:sect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w:t>
            </w:r>
          </w:p>
        </w:tc>
        <w:tc>
          <w:tcPr>
            <w:tcW w:w="3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0" w:type="dxa"/>
            <w:vAlign w:val="bottom"/>
          </w:tcPr>
          <w:p>
            <w:pPr>
              <w:spacing w:after="0"/>
              <w:rPr>
                <w:sz w:val="1"/>
                <w:szCs w:val="1"/>
                <w:color w:val="auto"/>
              </w:rPr>
            </w:pPr>
          </w:p>
        </w:tc>
      </w:tr>
      <w:tr>
        <w:trPr>
          <w:trHeight w:val="161"/>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1940" w:type="dxa"/>
            <w:vAlign w:val="bottom"/>
          </w:tcPr>
          <w:p>
            <w:pPr>
              <w:spacing w:after="0"/>
              <w:rPr>
                <w:sz w:val="14"/>
                <w:szCs w:val="14"/>
                <w:color w:val="auto"/>
              </w:rPr>
            </w:pPr>
          </w:p>
        </w:tc>
        <w:tc>
          <w:tcPr>
            <w:tcW w:w="3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8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Companies More Than 25% Owned</w:t>
            </w: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None</w:t>
            </w: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Companies 5% to 25% Owned</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8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xml:space="preserve"> , I</w:t>
            </w:r>
            <w:r>
              <w:rPr>
                <w:rFonts w:ascii="Arial" w:cs="Arial" w:eastAsia="Arial" w:hAnsi="Arial"/>
                <w:sz w:val="14"/>
                <w:szCs w:val="14"/>
                <w:color w:val="auto"/>
              </w:rPr>
              <w:t>NC</w:t>
            </w:r>
            <w:r>
              <w:rPr>
                <w:rFonts w:ascii="Arial" w:cs="Arial" w:eastAsia="Arial" w:hAnsi="Arial"/>
                <w:sz w:val="18"/>
                <w:szCs w:val="18"/>
                <w:color w:val="auto"/>
              </w:rPr>
              <w:t>. /</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40" w:type="dxa"/>
            <w:vAlign w:val="bottom"/>
            <w:gridSpan w:val="2"/>
          </w:tcPr>
          <w:p>
            <w:pPr>
              <w:ind w:left="2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EISURE</w:t>
            </w:r>
            <w:r>
              <w:rPr>
                <w:rFonts w:ascii="Arial" w:cs="Arial" w:eastAsia="Arial" w:hAnsi="Arial"/>
                <w:sz w:val="18"/>
                <w:szCs w:val="18"/>
                <w:color w:val="auto"/>
              </w:rPr>
              <w:t>, A</w:t>
            </w:r>
            <w:r>
              <w:rPr>
                <w:rFonts w:ascii="Arial" w:cs="Arial" w:eastAsia="Arial" w:hAnsi="Arial"/>
                <w:sz w:val="14"/>
                <w:szCs w:val="14"/>
                <w:color w:val="auto"/>
              </w:rPr>
              <w:t>MUSEMENT</w:t>
            </w:r>
            <w:r>
              <w:rPr>
                <w:rFonts w:ascii="Arial" w:cs="Arial" w:eastAsia="Arial" w:hAnsi="Arial"/>
                <w:sz w:val="18"/>
                <w:szCs w:val="18"/>
                <w:color w:val="auto"/>
              </w:rPr>
              <w:t>, M</w:t>
            </w:r>
            <w:r>
              <w:rPr>
                <w:rFonts w:ascii="Arial" w:cs="Arial" w:eastAsia="Arial" w:hAnsi="Arial"/>
                <w:sz w:val="14"/>
                <w:szCs w:val="14"/>
                <w:color w:val="auto"/>
              </w:rPr>
              <w:t>OTION</w:t>
            </w:r>
          </w:p>
        </w:tc>
        <w:tc>
          <w:tcPr>
            <w:tcW w:w="0" w:type="dxa"/>
            <w:vAlign w:val="bottom"/>
          </w:tcPr>
          <w:p>
            <w:pPr>
              <w:spacing w:after="0"/>
              <w:rPr>
                <w:sz w:val="1"/>
                <w:szCs w:val="1"/>
                <w:color w:val="auto"/>
              </w:rPr>
            </w:pPr>
          </w:p>
        </w:tc>
      </w:tr>
      <w:tr>
        <w:trPr>
          <w:trHeight w:val="222"/>
        </w:trPr>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P</w:t>
            </w:r>
            <w:r>
              <w:rPr>
                <w:rFonts w:ascii="Arial" w:cs="Arial" w:eastAsia="Arial" w:hAnsi="Arial"/>
                <w:sz w:val="14"/>
                <w:szCs w:val="14"/>
                <w:color w:val="auto"/>
              </w:rPr>
              <w:t>ERFORMANCE</w:t>
            </w:r>
            <w:r>
              <w:rPr>
                <w:rFonts w:ascii="Arial" w:cs="Arial" w:eastAsia="Arial" w:hAnsi="Arial"/>
                <w:sz w:val="18"/>
                <w:szCs w:val="18"/>
                <w:color w:val="auto"/>
              </w:rPr>
              <w:t xml:space="preserve"> W</w:t>
            </w:r>
            <w:r>
              <w:rPr>
                <w:rFonts w:ascii="Arial" w:cs="Arial" w:eastAsia="Arial" w:hAnsi="Arial"/>
                <w:sz w:val="14"/>
                <w:szCs w:val="14"/>
                <w:color w:val="auto"/>
              </w:rPr>
              <w:t>AY</w:t>
            </w:r>
          </w:p>
        </w:tc>
        <w:tc>
          <w:tcPr>
            <w:tcW w:w="3040" w:type="dxa"/>
            <w:vAlign w:val="bottom"/>
          </w:tcPr>
          <w:p>
            <w:pPr>
              <w:jc w:val="center"/>
              <w:spacing w:after="0"/>
              <w:rPr>
                <w:sz w:val="20"/>
                <w:szCs w:val="20"/>
                <w:color w:val="auto"/>
              </w:rPr>
            </w:pPr>
            <w:r>
              <w:rPr>
                <w:rFonts w:ascii="Arial" w:cs="Arial" w:eastAsia="Arial" w:hAnsi="Arial"/>
                <w:sz w:val="18"/>
                <w:szCs w:val="18"/>
                <w:color w:val="auto"/>
                <w:w w:val="98"/>
              </w:rPr>
              <w:t>P</w:t>
            </w:r>
            <w:r>
              <w:rPr>
                <w:rFonts w:ascii="Arial" w:cs="Arial" w:eastAsia="Arial" w:hAnsi="Arial"/>
                <w:sz w:val="14"/>
                <w:szCs w:val="14"/>
                <w:color w:val="auto"/>
                <w:w w:val="98"/>
              </w:rPr>
              <w:t>ICTURES</w:t>
            </w:r>
            <w:r>
              <w:rPr>
                <w:rFonts w:ascii="Arial" w:cs="Arial" w:eastAsia="Arial" w:hAnsi="Arial"/>
                <w:sz w:val="18"/>
                <w:szCs w:val="18"/>
                <w:color w:val="auto"/>
                <w:w w:val="98"/>
              </w:rPr>
              <w:t>, E</w:t>
            </w:r>
            <w:r>
              <w:rPr>
                <w:rFonts w:ascii="Arial" w:cs="Arial" w:eastAsia="Arial" w:hAnsi="Arial"/>
                <w:sz w:val="14"/>
                <w:szCs w:val="14"/>
                <w:color w:val="auto"/>
                <w:w w:val="98"/>
              </w:rPr>
              <w:t>NTERTAINMENT</w:t>
            </w:r>
          </w:p>
        </w:tc>
        <w:tc>
          <w:tcPr>
            <w:tcW w:w="0" w:type="dxa"/>
            <w:vAlign w:val="bottom"/>
          </w:tcPr>
          <w:p>
            <w:pPr>
              <w:spacing w:after="0"/>
              <w:rPr>
                <w:sz w:val="1"/>
                <w:szCs w:val="1"/>
                <w:color w:val="auto"/>
              </w:rPr>
            </w:pPr>
          </w:p>
        </w:tc>
      </w:tr>
      <w:tr>
        <w:trPr>
          <w:trHeight w:val="210"/>
        </w:trPr>
        <w:tc>
          <w:tcPr>
            <w:tcW w:w="3840" w:type="dxa"/>
            <w:vAlign w:val="bottom"/>
            <w:gridSpan w:val="2"/>
            <w:vMerge w:val="continue"/>
          </w:tcPr>
          <w:p>
            <w:pPr>
              <w:spacing w:after="0"/>
              <w:rPr>
                <w:sz w:val="18"/>
                <w:szCs w:val="18"/>
                <w:color w:val="auto"/>
              </w:rPr>
            </w:pP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HAPEL</w:t>
            </w:r>
            <w:r>
              <w:rPr>
                <w:rFonts w:ascii="Arial" w:cs="Arial" w:eastAsia="Arial" w:hAnsi="Arial"/>
                <w:sz w:val="18"/>
                <w:szCs w:val="18"/>
                <w:color w:val="auto"/>
              </w:rPr>
              <w:t xml:space="preserve"> H</w:t>
            </w:r>
            <w:r>
              <w:rPr>
                <w:rFonts w:ascii="Arial" w:cs="Arial" w:eastAsia="Arial" w:hAnsi="Arial"/>
                <w:sz w:val="14"/>
                <w:szCs w:val="14"/>
                <w:color w:val="auto"/>
              </w:rPr>
              <w:t>ILL</w:t>
            </w:r>
            <w:r>
              <w:rPr>
                <w:rFonts w:ascii="Arial" w:cs="Arial" w:eastAsia="Arial" w:hAnsi="Arial"/>
                <w:sz w:val="18"/>
                <w:szCs w:val="18"/>
                <w:color w:val="auto"/>
              </w:rPr>
              <w:t>, NC 27514</w:t>
            </w: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Companies Less Than 5% Owned</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84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 VSS-AHC H</w:t>
            </w:r>
            <w:r>
              <w:rPr>
                <w:rFonts w:ascii="Arial" w:cs="Arial" w:eastAsia="Arial" w:hAnsi="Arial"/>
                <w:sz w:val="14"/>
                <w:szCs w:val="14"/>
                <w:color w:val="auto"/>
              </w:rPr>
              <w:t>OLDINGS</w:t>
            </w: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840" w:type="dxa"/>
            <w:vAlign w:val="bottom"/>
            <w:gridSpan w:val="2"/>
          </w:tcPr>
          <w:p>
            <w:pPr>
              <w:ind w:left="220"/>
              <w:spacing w:after="0"/>
              <w:rPr>
                <w:sz w:val="20"/>
                <w:szCs w:val="20"/>
                <w:color w:val="auto"/>
              </w:rPr>
            </w:pPr>
            <w:r>
              <w:rPr>
                <w:rFonts w:ascii="Arial" w:cs="Arial" w:eastAsia="Arial" w:hAnsi="Arial"/>
                <w:sz w:val="18"/>
                <w:szCs w:val="18"/>
                <w:color w:val="auto"/>
              </w:rPr>
              <w:t>LLC</w:t>
            </w:r>
          </w:p>
        </w:tc>
        <w:tc>
          <w:tcPr>
            <w:tcW w:w="30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0" w:type="dxa"/>
            <w:vAlign w:val="bottom"/>
          </w:tcPr>
          <w:p>
            <w:pPr>
              <w:spacing w:after="0"/>
              <w:rPr>
                <w:sz w:val="1"/>
                <w:szCs w:val="1"/>
                <w:color w:val="auto"/>
              </w:rPr>
            </w:pPr>
          </w:p>
        </w:tc>
      </w:tr>
      <w:tr>
        <w:trPr>
          <w:trHeight w:val="426"/>
        </w:trPr>
        <w:tc>
          <w:tcPr>
            <w:tcW w:w="3840" w:type="dxa"/>
            <w:vAlign w:val="bottom"/>
            <w:gridSpan w:val="2"/>
          </w:tcPr>
          <w:p>
            <w:pPr>
              <w:spacing w:after="0"/>
              <w:rPr>
                <w:sz w:val="20"/>
                <w:szCs w:val="20"/>
                <w:color w:val="auto"/>
              </w:rPr>
            </w:pPr>
            <w:r>
              <w:rPr>
                <w:rFonts w:ascii="Arial" w:cs="Arial" w:eastAsia="Arial" w:hAnsi="Arial"/>
                <w:sz w:val="18"/>
                <w:szCs w:val="18"/>
                <w:color w:val="auto"/>
              </w:rPr>
              <w:t>641 L</w:t>
            </w:r>
            <w:r>
              <w:rPr>
                <w:rFonts w:ascii="Arial" w:cs="Arial" w:eastAsia="Arial" w:hAnsi="Arial"/>
                <w:sz w:val="14"/>
                <w:szCs w:val="14"/>
                <w:color w:val="auto"/>
              </w:rPr>
              <w:t>EXINGTON</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8</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w:t>
            </w:r>
            <w:r>
              <w:rPr>
                <w:rFonts w:ascii="Arial" w:cs="Arial" w:eastAsia="Arial" w:hAnsi="Arial"/>
                <w:sz w:val="14"/>
                <w:szCs w:val="14"/>
                <w:color w:val="auto"/>
              </w:rPr>
              <w:t>FLOOR</w:t>
            </w: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10022</w:t>
            </w: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84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100 C</w:t>
            </w:r>
            <w:r>
              <w:rPr>
                <w:rFonts w:ascii="Arial" w:cs="Arial" w:eastAsia="Arial" w:hAnsi="Arial"/>
                <w:sz w:val="14"/>
                <w:szCs w:val="14"/>
                <w:color w:val="auto"/>
              </w:rPr>
              <w:t>ONNECTICUT</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ORWALK</w:t>
            </w:r>
            <w:r>
              <w:rPr>
                <w:rFonts w:ascii="Arial" w:cs="Arial" w:eastAsia="Arial" w:hAnsi="Arial"/>
                <w:sz w:val="18"/>
                <w:szCs w:val="18"/>
                <w:color w:val="auto"/>
              </w:rPr>
              <w:t>, CA 06850</w:t>
            </w: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84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ERRY</w:t>
            </w:r>
            <w:r>
              <w:rPr>
                <w:rFonts w:ascii="Arial" w:cs="Arial" w:eastAsia="Arial" w:hAnsi="Arial"/>
                <w:sz w:val="18"/>
                <w:szCs w:val="18"/>
                <w:color w:val="auto"/>
              </w:rPr>
              <w:t xml:space="preserve"> P</w:t>
            </w:r>
            <w:r>
              <w:rPr>
                <w:rFonts w:ascii="Arial" w:cs="Arial" w:eastAsia="Arial" w:hAnsi="Arial"/>
                <w:sz w:val="14"/>
                <w:szCs w:val="14"/>
                <w:color w:val="auto"/>
              </w:rPr>
              <w:t>LASTICS</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ONTAINERS</w:t>
            </w:r>
            <w:r>
              <w:rPr>
                <w:rFonts w:ascii="Arial" w:cs="Arial" w:eastAsia="Arial" w:hAnsi="Arial"/>
                <w:sz w:val="18"/>
                <w:szCs w:val="18"/>
                <w:color w:val="auto"/>
                <w:w w:val="99"/>
              </w:rPr>
              <w:t>, P</w:t>
            </w:r>
            <w:r>
              <w:rPr>
                <w:rFonts w:ascii="Arial" w:cs="Arial" w:eastAsia="Arial" w:hAnsi="Arial"/>
                <w:sz w:val="14"/>
                <w:szCs w:val="14"/>
                <w:color w:val="auto"/>
                <w:w w:val="99"/>
              </w:rPr>
              <w:t>ACKAGING</w:t>
            </w:r>
            <w:r>
              <w:rPr>
                <w:rFonts w:ascii="Arial" w:cs="Arial" w:eastAsia="Arial" w:hAnsi="Arial"/>
                <w:sz w:val="18"/>
                <w:szCs w:val="18"/>
                <w:color w:val="auto"/>
                <w:w w:val="99"/>
              </w:rPr>
              <w:t xml:space="preserve"> &amp; G</w:t>
            </w:r>
            <w:r>
              <w:rPr>
                <w:rFonts w:ascii="Arial" w:cs="Arial" w:eastAsia="Arial" w:hAnsi="Arial"/>
                <w:sz w:val="14"/>
                <w:szCs w:val="14"/>
                <w:color w:val="auto"/>
                <w:w w:val="99"/>
              </w:rPr>
              <w:t>LASS</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101 O</w:t>
            </w:r>
            <w:r>
              <w:rPr>
                <w:rFonts w:ascii="Arial" w:cs="Arial" w:eastAsia="Arial" w:hAnsi="Arial"/>
                <w:sz w:val="14"/>
                <w:szCs w:val="14"/>
                <w:color w:val="auto"/>
              </w:rPr>
              <w:t>AKLEY</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VANSVILLE</w:t>
            </w:r>
            <w:r>
              <w:rPr>
                <w:rFonts w:ascii="Arial" w:cs="Arial" w:eastAsia="Arial" w:hAnsi="Arial"/>
                <w:sz w:val="18"/>
                <w:szCs w:val="18"/>
                <w:color w:val="auto"/>
              </w:rPr>
              <w:t>, IN 47710</w:t>
            </w: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40" w:type="dxa"/>
            <w:vAlign w:val="bottom"/>
          </w:tcPr>
          <w:p>
            <w:pPr>
              <w:jc w:val="right"/>
              <w:ind w:right="995"/>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r>
      <w:tr>
        <w:trPr>
          <w:trHeight w:val="144"/>
        </w:trPr>
        <w:tc>
          <w:tcPr>
            <w:tcW w:w="3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4"/>
              </w:rPr>
              <w:t>of Class</w:t>
            </w:r>
          </w:p>
        </w:tc>
      </w:tr>
      <w:tr>
        <w:trPr>
          <w:trHeight w:val="193"/>
        </w:trPr>
        <w:tc>
          <w:tcPr>
            <w:tcW w:w="304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Type of Investment</w:t>
            </w:r>
          </w:p>
        </w:tc>
        <w:tc>
          <w:tcPr>
            <w:tcW w:w="440" w:type="dxa"/>
            <w:vAlign w:val="bottom"/>
          </w:tcPr>
          <w:p>
            <w:pPr>
              <w:spacing w:after="0"/>
              <w:rPr>
                <w:sz w:val="16"/>
                <w:szCs w:val="16"/>
                <w:color w:val="auto"/>
              </w:rPr>
            </w:pPr>
          </w:p>
        </w:tc>
        <w:tc>
          <w:tcPr>
            <w:tcW w:w="64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4"/>
                <w:szCs w:val="14"/>
                <w:b w:val="1"/>
                <w:bCs w:val="1"/>
                <w:color w:val="auto"/>
                <w:w w:val="82"/>
              </w:rPr>
              <w:t>Held</w:t>
            </w:r>
            <w:r>
              <w:rPr>
                <w:rFonts w:ascii="Arial" w:cs="Arial" w:eastAsia="Arial" w:hAnsi="Arial"/>
                <w:sz w:val="22"/>
                <w:szCs w:val="22"/>
                <w:b w:val="1"/>
                <w:bCs w:val="1"/>
                <w:color w:val="auto"/>
                <w:w w:val="82"/>
                <w:vertAlign w:val="superscript"/>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3000" w:type="dxa"/>
            <w:vAlign w:val="bottom"/>
          </w:tcPr>
          <w:p>
            <w:pPr>
              <w:jc w:val="center"/>
              <w:ind w:right="312"/>
              <w:spacing w:after="0"/>
              <w:rPr>
                <w:sz w:val="20"/>
                <w:szCs w:val="20"/>
                <w:color w:val="auto"/>
              </w:rPr>
            </w:pPr>
            <w:r>
              <w:rPr>
                <w:rFonts w:ascii="Arial" w:cs="Arial" w:eastAsia="Arial" w:hAnsi="Arial"/>
                <w:sz w:val="18"/>
                <w:szCs w:val="18"/>
                <w:color w:val="auto"/>
                <w:w w:val="87"/>
              </w:rPr>
              <w:t>Subordinated Debt,</w:t>
            </w:r>
          </w:p>
        </w:tc>
        <w:tc>
          <w:tcPr>
            <w:tcW w:w="760" w:type="dxa"/>
            <w:vAlign w:val="bottom"/>
          </w:tcPr>
          <w:p>
            <w:pPr>
              <w:jc w:val="center"/>
              <w:ind w:left="312"/>
              <w:spacing w:after="0"/>
              <w:rPr>
                <w:sz w:val="20"/>
                <w:szCs w:val="20"/>
                <w:color w:val="auto"/>
              </w:rPr>
            </w:pPr>
            <w:r>
              <w:rPr>
                <w:rFonts w:ascii="Arial" w:cs="Arial" w:eastAsia="Arial" w:hAnsi="Arial"/>
                <w:sz w:val="18"/>
                <w:szCs w:val="18"/>
                <w:color w:val="auto"/>
                <w:w w:val="87"/>
              </w:rPr>
              <w:t>6.3%</w:t>
            </w:r>
          </w:p>
        </w:tc>
      </w:tr>
      <w:tr>
        <w:trPr>
          <w:trHeight w:val="216"/>
        </w:trPr>
        <w:tc>
          <w:tcPr>
            <w:tcW w:w="3000" w:type="dxa"/>
            <w:vAlign w:val="bottom"/>
          </w:tcPr>
          <w:p>
            <w:pPr>
              <w:jc w:val="center"/>
              <w:ind w:right="312"/>
              <w:spacing w:after="0"/>
              <w:rPr>
                <w:sz w:val="20"/>
                <w:szCs w:val="20"/>
                <w:color w:val="auto"/>
              </w:rPr>
            </w:pPr>
            <w:r>
              <w:rPr>
                <w:rFonts w:ascii="Arial" w:cs="Arial" w:eastAsia="Arial" w:hAnsi="Arial"/>
                <w:sz w:val="18"/>
                <w:szCs w:val="18"/>
                <w:color w:val="auto"/>
                <w:w w:val="87"/>
              </w:rPr>
              <w:t>Second Lien Secured Debt, Common</w:t>
            </w:r>
          </w:p>
        </w:tc>
        <w:tc>
          <w:tcPr>
            <w:tcW w:w="760" w:type="dxa"/>
            <w:vAlign w:val="bottom"/>
          </w:tcPr>
          <w:p>
            <w:pPr>
              <w:spacing w:after="0"/>
              <w:rPr>
                <w:sz w:val="18"/>
                <w:szCs w:val="18"/>
                <w:color w:val="auto"/>
              </w:rPr>
            </w:pPr>
          </w:p>
        </w:tc>
      </w:tr>
      <w:tr>
        <w:trPr>
          <w:trHeight w:val="222"/>
        </w:trPr>
        <w:tc>
          <w:tcPr>
            <w:tcW w:w="3000" w:type="dxa"/>
            <w:vAlign w:val="bottom"/>
          </w:tcPr>
          <w:p>
            <w:pPr>
              <w:jc w:val="center"/>
              <w:ind w:right="312"/>
              <w:spacing w:after="0"/>
              <w:rPr>
                <w:sz w:val="20"/>
                <w:szCs w:val="20"/>
                <w:color w:val="auto"/>
              </w:rPr>
            </w:pPr>
            <w:r>
              <w:rPr>
                <w:rFonts w:ascii="Arial" w:cs="Arial" w:eastAsia="Arial" w:hAnsi="Arial"/>
                <w:sz w:val="18"/>
                <w:szCs w:val="18"/>
                <w:color w:val="auto"/>
                <w:w w:val="95"/>
              </w:rPr>
              <w:t>Equity</w:t>
            </w:r>
          </w:p>
        </w:tc>
        <w:tc>
          <w:tcPr>
            <w:tcW w:w="760" w:type="dxa"/>
            <w:vAlign w:val="bottom"/>
          </w:tcPr>
          <w:p>
            <w:pPr>
              <w:spacing w:after="0"/>
              <w:rPr>
                <w:sz w:val="19"/>
                <w:szCs w:val="19"/>
                <w:color w:val="auto"/>
              </w:rPr>
            </w:pPr>
          </w:p>
        </w:tc>
      </w:tr>
      <w:tr>
        <w:trPr>
          <w:trHeight w:val="1290"/>
        </w:trPr>
        <w:tc>
          <w:tcPr>
            <w:tcW w:w="3000" w:type="dxa"/>
            <w:vAlign w:val="bottom"/>
          </w:tcPr>
          <w:p>
            <w:pPr>
              <w:jc w:val="center"/>
              <w:ind w:right="312"/>
              <w:spacing w:after="0"/>
              <w:rPr>
                <w:sz w:val="20"/>
                <w:szCs w:val="20"/>
                <w:color w:val="auto"/>
              </w:rPr>
            </w:pPr>
            <w:r>
              <w:rPr>
                <w:rFonts w:ascii="Arial" w:cs="Arial" w:eastAsia="Arial" w:hAnsi="Arial"/>
                <w:sz w:val="18"/>
                <w:szCs w:val="18"/>
                <w:color w:val="auto"/>
                <w:w w:val="87"/>
              </w:rPr>
              <w:t>Subordinated Debt</w:t>
            </w:r>
          </w:p>
        </w:tc>
        <w:tc>
          <w:tcPr>
            <w:tcW w:w="760" w:type="dxa"/>
            <w:vAlign w:val="bottom"/>
          </w:tcPr>
          <w:p>
            <w:pPr>
              <w:jc w:val="center"/>
              <w:ind w:left="312"/>
              <w:spacing w:after="0"/>
              <w:rPr>
                <w:sz w:val="20"/>
                <w:szCs w:val="20"/>
                <w:color w:val="auto"/>
              </w:rPr>
            </w:pPr>
            <w:r>
              <w:rPr>
                <w:rFonts w:ascii="Arial" w:cs="Arial" w:eastAsia="Arial" w:hAnsi="Arial"/>
                <w:sz w:val="18"/>
                <w:szCs w:val="18"/>
                <w:color w:val="auto"/>
                <w:w w:val="87"/>
              </w:rPr>
              <w:t>0.9%</w:t>
            </w:r>
          </w:p>
        </w:tc>
      </w:tr>
      <w:tr>
        <w:trPr>
          <w:trHeight w:val="222"/>
        </w:trPr>
        <w:tc>
          <w:tcPr>
            <w:tcW w:w="3000" w:type="dxa"/>
            <w:vAlign w:val="bottom"/>
          </w:tcPr>
          <w:p>
            <w:pPr>
              <w:jc w:val="center"/>
              <w:ind w:right="312"/>
              <w:spacing w:after="0"/>
              <w:rPr>
                <w:sz w:val="20"/>
                <w:szCs w:val="20"/>
                <w:color w:val="auto"/>
              </w:rPr>
            </w:pPr>
            <w:r>
              <w:rPr>
                <w:rFonts w:ascii="Arial" w:cs="Arial" w:eastAsia="Arial" w:hAnsi="Arial"/>
                <w:sz w:val="18"/>
                <w:szCs w:val="18"/>
                <w:color w:val="auto"/>
                <w:w w:val="90"/>
              </w:rPr>
              <w:t>Common Equity</w:t>
            </w:r>
          </w:p>
        </w:tc>
        <w:tc>
          <w:tcPr>
            <w:tcW w:w="760" w:type="dxa"/>
            <w:vAlign w:val="bottom"/>
          </w:tcPr>
          <w:p>
            <w:pPr>
              <w:spacing w:after="0"/>
              <w:rPr>
                <w:sz w:val="19"/>
                <w:szCs w:val="19"/>
                <w:color w:val="auto"/>
              </w:rPr>
            </w:pPr>
          </w:p>
        </w:tc>
      </w:tr>
      <w:tr>
        <w:trPr>
          <w:trHeight w:val="986"/>
        </w:trPr>
        <w:tc>
          <w:tcPr>
            <w:tcW w:w="3000" w:type="dxa"/>
            <w:vAlign w:val="bottom"/>
          </w:tcPr>
          <w:p>
            <w:pPr>
              <w:jc w:val="center"/>
              <w:ind w:right="312"/>
              <w:spacing w:after="0"/>
              <w:rPr>
                <w:sz w:val="20"/>
                <w:szCs w:val="20"/>
                <w:color w:val="auto"/>
              </w:rPr>
            </w:pPr>
            <w:r>
              <w:rPr>
                <w:rFonts w:ascii="Arial" w:cs="Arial" w:eastAsia="Arial" w:hAnsi="Arial"/>
                <w:sz w:val="18"/>
                <w:szCs w:val="18"/>
                <w:color w:val="auto"/>
                <w:w w:val="87"/>
              </w:rPr>
              <w:t>Subordinated Debt</w:t>
            </w:r>
          </w:p>
        </w:tc>
        <w:tc>
          <w:tcPr>
            <w:tcW w:w="760" w:type="dxa"/>
            <w:vAlign w:val="bottom"/>
          </w:tcPr>
          <w:p>
            <w:pPr>
              <w:jc w:val="center"/>
              <w:ind w:left="292"/>
              <w:spacing w:after="0"/>
              <w:rPr>
                <w:sz w:val="20"/>
                <w:szCs w:val="20"/>
                <w:color w:val="auto"/>
              </w:rPr>
            </w:pPr>
            <w:r>
              <w:rPr>
                <w:rFonts w:ascii="Arial" w:cs="Arial" w:eastAsia="Arial" w:hAnsi="Arial"/>
                <w:sz w:val="18"/>
                <w:szCs w:val="18"/>
                <w:color w:val="auto"/>
                <w:w w:val="99"/>
              </w:rPr>
              <w:t>—</w:t>
            </w:r>
          </w:p>
        </w:tc>
      </w:tr>
      <w:tr>
        <w:trPr>
          <w:trHeight w:val="756"/>
        </w:trPr>
        <w:tc>
          <w:tcPr>
            <w:tcW w:w="3000" w:type="dxa"/>
            <w:vAlign w:val="bottom"/>
          </w:tcPr>
          <w:p>
            <w:pPr>
              <w:jc w:val="center"/>
              <w:ind w:right="312"/>
              <w:spacing w:after="0"/>
              <w:rPr>
                <w:sz w:val="20"/>
                <w:szCs w:val="20"/>
                <w:color w:val="auto"/>
              </w:rPr>
            </w:pPr>
            <w:r>
              <w:rPr>
                <w:rFonts w:ascii="Arial" w:cs="Arial" w:eastAsia="Arial" w:hAnsi="Arial"/>
                <w:sz w:val="18"/>
                <w:szCs w:val="18"/>
                <w:color w:val="auto"/>
                <w:w w:val="88"/>
              </w:rPr>
              <w:t>First Lien Secured Debt</w:t>
            </w:r>
          </w:p>
        </w:tc>
        <w:tc>
          <w:tcPr>
            <w:tcW w:w="760" w:type="dxa"/>
            <w:vAlign w:val="bottom"/>
          </w:tcPr>
          <w:p>
            <w:pPr>
              <w:jc w:val="center"/>
              <w:ind w:left="292"/>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2">
            <w:col w:w="6880" w:space="420"/>
            <w:col w:w="4120"/>
          </w:cols>
          <w:pgMar w:left="240" w:top="274" w:right="239" w:bottom="1440" w:gutter="0" w:footer="0" w:header="0"/>
          <w:type w:val="continuous"/>
        </w:sectPr>
      </w:pPr>
    </w:p>
    <w:bookmarkStart w:id="59" w:name="page60"/>
    <w:bookmarkEnd w:id="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r>
      <w:tr>
        <w:trPr>
          <w:trHeight w:val="161"/>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w:t>
            </w:r>
          </w:p>
        </w:tc>
        <w:tc>
          <w:tcPr>
            <w:tcW w:w="3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of Class</w:t>
            </w:r>
          </w:p>
        </w:tc>
      </w:tr>
      <w:tr>
        <w:trPr>
          <w:trHeight w:val="176"/>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1860" w:type="dxa"/>
            <w:vAlign w:val="bottom"/>
          </w:tcPr>
          <w:p>
            <w:pPr>
              <w:spacing w:after="0"/>
              <w:rPr>
                <w:sz w:val="15"/>
                <w:szCs w:val="15"/>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40" w:type="dxa"/>
            <w:vAlign w:val="bottom"/>
          </w:tcPr>
          <w:p>
            <w:pPr>
              <w:spacing w:after="0"/>
              <w:rPr>
                <w:sz w:val="15"/>
                <w:szCs w:val="15"/>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4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9"/>
              </w:rPr>
              <w:t>Held</w:t>
            </w:r>
            <w:r>
              <w:rPr>
                <w:rFonts w:ascii="Arial" w:cs="Arial" w:eastAsia="Arial" w:hAnsi="Arial"/>
                <w:sz w:val="20"/>
                <w:szCs w:val="20"/>
                <w:b w:val="1"/>
                <w:bCs w:val="1"/>
                <w:color w:val="auto"/>
                <w:w w:val="89"/>
                <w:vertAlign w:val="superscript"/>
              </w:rPr>
              <w:t>(1)</w:t>
            </w:r>
          </w:p>
        </w:tc>
      </w:tr>
      <w:tr>
        <w:trPr>
          <w:trHeight w:val="201"/>
        </w:trPr>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p>
        </w:tc>
        <w:tc>
          <w:tcPr>
            <w:tcW w:w="3080" w:type="dxa"/>
            <w:vAlign w:val="bottom"/>
          </w:tcPr>
          <w:p>
            <w:pPr>
              <w:jc w:val="center"/>
              <w:spacing w:after="0" w:line="201" w:lineRule="exact"/>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 U</w:t>
            </w:r>
            <w:r>
              <w:rPr>
                <w:rFonts w:ascii="Arial" w:cs="Arial" w:eastAsia="Arial" w:hAnsi="Arial"/>
                <w:sz w:val="14"/>
                <w:szCs w:val="14"/>
                <w:color w:val="auto"/>
              </w:rPr>
              <w:t>TILITIES</w:t>
            </w:r>
          </w:p>
        </w:tc>
        <w:tc>
          <w:tcPr>
            <w:tcW w:w="440" w:type="dxa"/>
            <w:vAlign w:val="bottom"/>
          </w:tcPr>
          <w:p>
            <w:pPr>
              <w:spacing w:after="0"/>
              <w:rPr>
                <w:sz w:val="17"/>
                <w:szCs w:val="17"/>
                <w:color w:val="auto"/>
              </w:rPr>
            </w:pPr>
          </w:p>
        </w:tc>
        <w:tc>
          <w:tcPr>
            <w:tcW w:w="3060" w:type="dxa"/>
            <w:vAlign w:val="bottom"/>
          </w:tcPr>
          <w:p>
            <w:pPr>
              <w:jc w:val="center"/>
              <w:spacing w:after="0" w:line="201" w:lineRule="exact"/>
              <w:rPr>
                <w:sz w:val="20"/>
                <w:szCs w:val="20"/>
                <w:color w:val="auto"/>
              </w:rPr>
            </w:pPr>
            <w:r>
              <w:rPr>
                <w:rFonts w:ascii="Arial" w:cs="Arial" w:eastAsia="Arial" w:hAnsi="Arial"/>
                <w:sz w:val="18"/>
                <w:szCs w:val="18"/>
                <w:color w:val="auto"/>
                <w:w w:val="89"/>
              </w:rPr>
              <w:t>First Lien Secured Debt Second Lien</w:t>
            </w: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3760" w:type="dxa"/>
            <w:vAlign w:val="bottom"/>
            <w:gridSpan w:val="2"/>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5"/>
              </w:rPr>
              <w:t>Secured Debt</w:t>
            </w:r>
          </w:p>
        </w:tc>
        <w:tc>
          <w:tcPr>
            <w:tcW w:w="4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2505 S</w:t>
            </w:r>
            <w:r>
              <w:rPr>
                <w:rFonts w:ascii="Arial" w:cs="Arial" w:eastAsia="Arial" w:hAnsi="Arial"/>
                <w:sz w:val="14"/>
                <w:szCs w:val="14"/>
                <w:color w:val="auto"/>
              </w:rPr>
              <w:t>OUTH</w:t>
            </w:r>
            <w:r>
              <w:rPr>
                <w:rFonts w:ascii="Arial" w:cs="Arial" w:eastAsia="Arial" w:hAnsi="Arial"/>
                <w:sz w:val="18"/>
                <w:szCs w:val="18"/>
                <w:color w:val="auto"/>
              </w:rPr>
              <w:t xml:space="preserve"> M</w:t>
            </w:r>
            <w:r>
              <w:rPr>
                <w:rFonts w:ascii="Arial" w:cs="Arial" w:eastAsia="Arial" w:hAnsi="Arial"/>
                <w:sz w:val="14"/>
                <w:szCs w:val="14"/>
                <w:color w:val="auto"/>
              </w:rPr>
              <w:t>AIN</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ENNESAW</w:t>
            </w:r>
            <w:r>
              <w:rPr>
                <w:rFonts w:ascii="Arial" w:cs="Arial" w:eastAsia="Arial" w:hAnsi="Arial"/>
                <w:sz w:val="18"/>
                <w:szCs w:val="18"/>
                <w:color w:val="auto"/>
              </w:rPr>
              <w:t>, GA 30144</w:t>
            </w:r>
          </w:p>
        </w:tc>
        <w:tc>
          <w:tcPr>
            <w:tcW w:w="3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26"/>
        </w:trPr>
        <w:tc>
          <w:tcPr>
            <w:tcW w:w="376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xml:space="preserve"> C</w:t>
            </w:r>
            <w:r>
              <w:rPr>
                <w:rFonts w:ascii="Arial" w:cs="Arial" w:eastAsia="Arial" w:hAnsi="Arial"/>
                <w:sz w:val="14"/>
                <w:szCs w:val="14"/>
                <w:color w:val="auto"/>
              </w:rPr>
              <w:t>OAT</w:t>
            </w:r>
            <w:r>
              <w:rPr>
                <w:rFonts w:ascii="Arial" w:cs="Arial" w:eastAsia="Arial" w:hAnsi="Arial"/>
                <w:sz w:val="18"/>
                <w:szCs w:val="18"/>
                <w:color w:val="auto"/>
              </w:rPr>
              <w:t xml:space="preserve"> F</w:t>
            </w:r>
            <w:r>
              <w:rPr>
                <w:rFonts w:ascii="Arial" w:cs="Arial" w:eastAsia="Arial" w:hAnsi="Arial"/>
                <w:sz w:val="14"/>
                <w:szCs w:val="14"/>
                <w:color w:val="auto"/>
              </w:rPr>
              <w:t>ACTORY</w:t>
            </w:r>
            <w:r>
              <w:rPr>
                <w:rFonts w:ascii="Arial" w:cs="Arial" w:eastAsia="Arial" w:hAnsi="Arial"/>
                <w:sz w:val="18"/>
                <w:szCs w:val="18"/>
                <w:color w:val="auto"/>
              </w:rPr>
              <w:t xml:space="preserve"> W</w:t>
            </w:r>
            <w:r>
              <w:rPr>
                <w:rFonts w:ascii="Arial" w:cs="Arial" w:eastAsia="Arial" w:hAnsi="Arial"/>
                <w:sz w:val="14"/>
                <w:szCs w:val="14"/>
                <w:color w:val="auto"/>
              </w:rPr>
              <w:t>AREHOUSE</w:t>
            </w:r>
          </w:p>
        </w:tc>
        <w:tc>
          <w:tcPr>
            <w:tcW w:w="3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3760" w:type="dxa"/>
            <w:vAlign w:val="bottom"/>
            <w:gridSpan w:val="2"/>
          </w:tcPr>
          <w:p>
            <w:pPr>
              <w:ind w:left="2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ORP</w:t>
            </w:r>
            <w:r>
              <w:rPr>
                <w:rFonts w:ascii="Arial" w:cs="Arial" w:eastAsia="Arial" w:hAnsi="Arial"/>
                <w:sz w:val="18"/>
                <w:szCs w:val="18"/>
                <w:color w:val="auto"/>
              </w:rPr>
              <w:t>.</w:t>
            </w:r>
          </w:p>
        </w:tc>
        <w:tc>
          <w:tcPr>
            <w:tcW w:w="3080" w:type="dxa"/>
            <w:vAlign w:val="bottom"/>
          </w:tcPr>
          <w:p>
            <w:pPr>
              <w:jc w:val="center"/>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ETAIL</w:t>
            </w:r>
            <w:r>
              <w:rPr>
                <w:rFonts w:ascii="Arial" w:cs="Arial" w:eastAsia="Arial" w:hAnsi="Arial"/>
                <w:sz w:val="18"/>
                <w:szCs w:val="18"/>
                <w:color w:val="auto"/>
                <w:w w:val="96"/>
              </w:rPr>
              <w:t xml:space="preserve"> S</w:t>
            </w:r>
            <w:r>
              <w:rPr>
                <w:rFonts w:ascii="Arial" w:cs="Arial" w:eastAsia="Arial" w:hAnsi="Arial"/>
                <w:sz w:val="14"/>
                <w:szCs w:val="14"/>
                <w:color w:val="auto"/>
                <w:w w:val="96"/>
              </w:rPr>
              <w:t>TORE</w:t>
            </w:r>
          </w:p>
        </w:tc>
        <w:tc>
          <w:tcPr>
            <w:tcW w:w="44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1830 R</w:t>
            </w:r>
            <w:r>
              <w:rPr>
                <w:rFonts w:ascii="Arial" w:cs="Arial" w:eastAsia="Arial" w:hAnsi="Arial"/>
                <w:sz w:val="14"/>
                <w:szCs w:val="14"/>
                <w:color w:val="auto"/>
              </w:rPr>
              <w:t>T</w:t>
            </w:r>
            <w:r>
              <w:rPr>
                <w:rFonts w:ascii="Arial" w:cs="Arial" w:eastAsia="Arial" w:hAnsi="Arial"/>
                <w:sz w:val="18"/>
                <w:szCs w:val="18"/>
                <w:color w:val="auto"/>
              </w:rPr>
              <w:t>. 130</w:t>
            </w: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NJ 08016</w:t>
            </w:r>
          </w:p>
        </w:tc>
        <w:tc>
          <w:tcPr>
            <w:tcW w:w="3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HARTER</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w:t>
            </w:r>
          </w:p>
        </w:tc>
        <w:tc>
          <w:tcPr>
            <w:tcW w:w="3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3760" w:type="dxa"/>
            <w:vAlign w:val="bottom"/>
            <w:gridSpan w:val="2"/>
          </w:tcPr>
          <w:p>
            <w:pPr>
              <w:ind w:left="220"/>
              <w:spacing w:after="0"/>
              <w:rPr>
                <w:sz w:val="20"/>
                <w:szCs w:val="20"/>
                <w:color w:val="auto"/>
              </w:rPr>
            </w:pPr>
            <w:r>
              <w:rPr>
                <w:rFonts w:ascii="Arial" w:cs="Arial" w:eastAsia="Arial" w:hAnsi="Arial"/>
                <w:sz w:val="18"/>
                <w:szCs w:val="18"/>
                <w:color w:val="auto"/>
              </w:rPr>
              <w:t>L.L.C.</w:t>
            </w:r>
          </w:p>
        </w:tc>
        <w:tc>
          <w:tcPr>
            <w:tcW w:w="308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ABLE</w:t>
            </w:r>
            <w:r>
              <w:rPr>
                <w:rFonts w:ascii="Arial" w:cs="Arial" w:eastAsia="Arial" w:hAnsi="Arial"/>
                <w:sz w:val="18"/>
                <w:szCs w:val="18"/>
                <w:color w:val="auto"/>
              </w:rPr>
              <w:t xml:space="preserve"> T</w:t>
            </w:r>
            <w:r>
              <w:rPr>
                <w:rFonts w:ascii="Arial" w:cs="Arial" w:eastAsia="Arial" w:hAnsi="Arial"/>
                <w:sz w:val="14"/>
                <w:szCs w:val="14"/>
                <w:color w:val="auto"/>
              </w:rPr>
              <w:t>ELEVISION</w:t>
            </w:r>
          </w:p>
        </w:tc>
        <w:tc>
          <w:tcPr>
            <w:tcW w:w="44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12405 P</w:t>
            </w:r>
            <w:r>
              <w:rPr>
                <w:rFonts w:ascii="Arial" w:cs="Arial" w:eastAsia="Arial" w:hAnsi="Arial"/>
                <w:sz w:val="14"/>
                <w:szCs w:val="14"/>
                <w:color w:val="auto"/>
              </w:rPr>
              <w:t>OWERSCOURT</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w:t>
            </w:r>
            <w:r>
              <w:rPr>
                <w:rFonts w:ascii="Arial" w:cs="Arial" w:eastAsia="Arial" w:hAnsi="Arial"/>
                <w:sz w:val="18"/>
                <w:szCs w:val="18"/>
                <w:color w:val="auto"/>
              </w:rPr>
              <w:t>. L</w:t>
            </w:r>
            <w:r>
              <w:rPr>
                <w:rFonts w:ascii="Arial" w:cs="Arial" w:eastAsia="Arial" w:hAnsi="Arial"/>
                <w:sz w:val="14"/>
                <w:szCs w:val="14"/>
                <w:color w:val="auto"/>
              </w:rPr>
              <w:t>OUIS</w:t>
            </w:r>
            <w:r>
              <w:rPr>
                <w:rFonts w:ascii="Arial" w:cs="Arial" w:eastAsia="Arial" w:hAnsi="Arial"/>
                <w:sz w:val="18"/>
                <w:szCs w:val="18"/>
                <w:color w:val="auto"/>
              </w:rPr>
              <w:t>, M</w:t>
            </w:r>
            <w:r>
              <w:rPr>
                <w:rFonts w:ascii="Arial" w:cs="Arial" w:eastAsia="Arial" w:hAnsi="Arial"/>
                <w:sz w:val="14"/>
                <w:szCs w:val="14"/>
                <w:color w:val="auto"/>
              </w:rPr>
              <w:t>O</w:t>
            </w:r>
            <w:r>
              <w:rPr>
                <w:rFonts w:ascii="Arial" w:cs="Arial" w:eastAsia="Arial" w:hAnsi="Arial"/>
                <w:sz w:val="18"/>
                <w:szCs w:val="18"/>
                <w:color w:val="auto"/>
              </w:rPr>
              <w:t xml:space="preserve"> 63131</w:t>
            </w:r>
          </w:p>
        </w:tc>
        <w:tc>
          <w:tcPr>
            <w:tcW w:w="3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OHR</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8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 C</w:t>
            </w:r>
            <w:r>
              <w:rPr>
                <w:rFonts w:ascii="Arial" w:cs="Arial" w:eastAsia="Arial" w:hAnsi="Arial"/>
                <w:sz w:val="14"/>
                <w:szCs w:val="14"/>
                <w:color w:val="auto"/>
              </w:rPr>
              <w:t>HILDCARE</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21540 P</w:t>
            </w:r>
            <w:r>
              <w:rPr>
                <w:rFonts w:ascii="Arial" w:cs="Arial" w:eastAsia="Arial" w:hAnsi="Arial"/>
                <w:sz w:val="14"/>
                <w:szCs w:val="14"/>
                <w:color w:val="auto"/>
              </w:rPr>
              <w:t>LUMMER</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400</w:t>
            </w: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HATSWORTH</w:t>
            </w:r>
            <w:r>
              <w:rPr>
                <w:rFonts w:ascii="Arial" w:cs="Arial" w:eastAsia="Arial" w:hAnsi="Arial"/>
                <w:sz w:val="18"/>
                <w:szCs w:val="18"/>
                <w:color w:val="auto"/>
              </w:rPr>
              <w:t>, CA 91311</w:t>
            </w:r>
          </w:p>
        </w:tc>
        <w:tc>
          <w:tcPr>
            <w:tcW w:w="3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ATEHOUSE</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8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EDIA</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350 W</w:t>
            </w:r>
            <w:r>
              <w:rPr>
                <w:rFonts w:ascii="Arial" w:cs="Arial" w:eastAsia="Arial" w:hAnsi="Arial"/>
                <w:sz w:val="14"/>
                <w:szCs w:val="14"/>
                <w:color w:val="auto"/>
              </w:rPr>
              <w:t>ILLOWBROOK</w:t>
            </w:r>
            <w:r>
              <w:rPr>
                <w:rFonts w:ascii="Arial" w:cs="Arial" w:eastAsia="Arial" w:hAnsi="Arial"/>
                <w:sz w:val="18"/>
                <w:szCs w:val="18"/>
                <w:color w:val="auto"/>
              </w:rPr>
              <w:t xml:space="preserve"> O</w:t>
            </w:r>
            <w:r>
              <w:rPr>
                <w:rFonts w:ascii="Arial" w:cs="Arial" w:eastAsia="Arial" w:hAnsi="Arial"/>
                <w:sz w:val="14"/>
                <w:szCs w:val="14"/>
                <w:color w:val="auto"/>
              </w:rPr>
              <w:t>FFICE</w:t>
            </w:r>
            <w:r>
              <w:rPr>
                <w:rFonts w:ascii="Arial" w:cs="Arial" w:eastAsia="Arial" w:hAnsi="Arial"/>
                <w:sz w:val="18"/>
                <w:szCs w:val="18"/>
                <w:color w:val="auto"/>
              </w:rPr>
              <w:t xml:space="preserve"> P</w:t>
            </w:r>
            <w:r>
              <w:rPr>
                <w:rFonts w:ascii="Arial" w:cs="Arial" w:eastAsia="Arial" w:hAnsi="Arial"/>
                <w:sz w:val="14"/>
                <w:szCs w:val="14"/>
                <w:color w:val="auto"/>
              </w:rPr>
              <w:t>ARK</w:t>
            </w: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AIRPORT</w:t>
            </w:r>
            <w:r>
              <w:rPr>
                <w:rFonts w:ascii="Arial" w:cs="Arial" w:eastAsia="Arial" w:hAnsi="Arial"/>
                <w:sz w:val="18"/>
                <w:szCs w:val="18"/>
                <w:color w:val="auto"/>
              </w:rPr>
              <w:t>, NY 14450</w:t>
            </w:r>
          </w:p>
        </w:tc>
        <w:tc>
          <w:tcPr>
            <w:tcW w:w="3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r>
              <w:rPr>
                <w:rFonts w:ascii="Arial" w:cs="Arial" w:eastAsia="Arial" w:hAnsi="Arial"/>
                <w:sz w:val="18"/>
                <w:szCs w:val="18"/>
                <w:color w:val="auto"/>
              </w:rPr>
              <w:t xml:space="preserve"> N</w:t>
            </w:r>
            <w:r>
              <w:rPr>
                <w:rFonts w:ascii="Arial" w:cs="Arial" w:eastAsia="Arial" w:hAnsi="Arial"/>
                <w:sz w:val="14"/>
                <w:szCs w:val="14"/>
                <w:color w:val="auto"/>
              </w:rPr>
              <w:t>UTRITION</w:t>
            </w:r>
            <w:r>
              <w:rPr>
                <w:rFonts w:ascii="Arial" w:cs="Arial" w:eastAsia="Arial" w:hAnsi="Arial"/>
                <w:sz w:val="18"/>
                <w:szCs w:val="18"/>
                <w:color w:val="auto"/>
              </w:rPr>
              <w:t xml:space="preserve"> C</w:t>
            </w:r>
            <w:r>
              <w:rPr>
                <w:rFonts w:ascii="Arial" w:cs="Arial" w:eastAsia="Arial" w:hAnsi="Arial"/>
                <w:sz w:val="14"/>
                <w:szCs w:val="14"/>
                <w:color w:val="auto"/>
              </w:rPr>
              <w:t>ENTERS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80" w:type="dxa"/>
            <w:vAlign w:val="bottom"/>
          </w:tcPr>
          <w:p>
            <w:pPr>
              <w:jc w:val="center"/>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ETAIL</w:t>
            </w:r>
            <w:r>
              <w:rPr>
                <w:rFonts w:ascii="Arial" w:cs="Arial" w:eastAsia="Arial" w:hAnsi="Arial"/>
                <w:sz w:val="18"/>
                <w:szCs w:val="18"/>
                <w:color w:val="auto"/>
                <w:w w:val="96"/>
              </w:rPr>
              <w:t xml:space="preserve"> S</w:t>
            </w:r>
            <w:r>
              <w:rPr>
                <w:rFonts w:ascii="Arial" w:cs="Arial" w:eastAsia="Arial" w:hAnsi="Arial"/>
                <w:sz w:val="14"/>
                <w:szCs w:val="14"/>
                <w:color w:val="auto"/>
                <w:w w:val="96"/>
              </w:rPr>
              <w:t>TORE</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300 S</w:t>
            </w:r>
            <w:r>
              <w:rPr>
                <w:rFonts w:ascii="Arial" w:cs="Arial" w:eastAsia="Arial" w:hAnsi="Arial"/>
                <w:sz w:val="14"/>
                <w:szCs w:val="14"/>
                <w:color w:val="auto"/>
              </w:rPr>
              <w:t>IXTH</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ITSBURGH</w:t>
            </w:r>
            <w:r>
              <w:rPr>
                <w:rFonts w:ascii="Arial" w:cs="Arial" w:eastAsia="Arial" w:hAnsi="Arial"/>
                <w:sz w:val="18"/>
                <w:szCs w:val="18"/>
                <w:color w:val="auto"/>
              </w:rPr>
              <w:t>, PA 15222</w:t>
            </w:r>
          </w:p>
        </w:tc>
        <w:tc>
          <w:tcPr>
            <w:tcW w:w="3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ENERICS</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xml:space="preserve"> (U.S.), I</w:t>
            </w:r>
            <w:r>
              <w:rPr>
                <w:rFonts w:ascii="Arial" w:cs="Arial" w:eastAsia="Arial" w:hAnsi="Arial"/>
                <w:sz w:val="14"/>
                <w:szCs w:val="14"/>
                <w:color w:val="auto"/>
              </w:rPr>
              <w:t>NC</w:t>
            </w:r>
            <w:r>
              <w:rPr>
                <w:rFonts w:ascii="Arial" w:cs="Arial" w:eastAsia="Arial" w:hAnsi="Arial"/>
                <w:sz w:val="18"/>
                <w:szCs w:val="18"/>
                <w:color w:val="auto"/>
              </w:rPr>
              <w:t>.</w:t>
            </w:r>
          </w:p>
        </w:tc>
        <w:tc>
          <w:tcPr>
            <w:tcW w:w="308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 C</w:t>
            </w:r>
            <w:r>
              <w:rPr>
                <w:rFonts w:ascii="Arial" w:cs="Arial" w:eastAsia="Arial" w:hAnsi="Arial"/>
                <w:sz w:val="14"/>
                <w:szCs w:val="14"/>
                <w:color w:val="auto"/>
              </w:rPr>
              <w:t>HILDCARE</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130 V</w:t>
            </w:r>
            <w:r>
              <w:rPr>
                <w:rFonts w:ascii="Arial" w:cs="Arial" w:eastAsia="Arial" w:hAnsi="Arial"/>
                <w:sz w:val="14"/>
                <w:szCs w:val="14"/>
                <w:color w:val="auto"/>
              </w:rPr>
              <w:t>INTAGE</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UNTSVILLE</w:t>
            </w:r>
            <w:r>
              <w:rPr>
                <w:rFonts w:ascii="Arial" w:cs="Arial" w:eastAsia="Arial" w:hAnsi="Arial"/>
                <w:sz w:val="18"/>
                <w:szCs w:val="18"/>
                <w:color w:val="auto"/>
              </w:rPr>
              <w:t>, AL 35811</w:t>
            </w:r>
          </w:p>
        </w:tc>
        <w:tc>
          <w:tcPr>
            <w:tcW w:w="3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OGISTICS</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8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12404 P</w:t>
            </w:r>
            <w:r>
              <w:rPr>
                <w:rFonts w:ascii="Arial" w:cs="Arial" w:eastAsia="Arial" w:hAnsi="Arial"/>
                <w:sz w:val="14"/>
                <w:szCs w:val="14"/>
                <w:color w:val="auto"/>
              </w:rPr>
              <w:t>ARK</w:t>
            </w:r>
            <w:r>
              <w:rPr>
                <w:rFonts w:ascii="Arial" w:cs="Arial" w:eastAsia="Arial" w:hAnsi="Arial"/>
                <w:sz w:val="18"/>
                <w:szCs w:val="18"/>
                <w:color w:val="auto"/>
              </w:rPr>
              <w:t xml:space="preserve"> C</w:t>
            </w:r>
            <w:r>
              <w:rPr>
                <w:rFonts w:ascii="Arial" w:cs="Arial" w:eastAsia="Arial" w:hAnsi="Arial"/>
                <w:sz w:val="14"/>
                <w:szCs w:val="14"/>
                <w:color w:val="auto"/>
              </w:rPr>
              <w:t>ENTRAL</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w:t>
            </w: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3000</w:t>
            </w: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OUTH</w:t>
            </w:r>
            <w:r>
              <w:rPr>
                <w:rFonts w:ascii="Arial" w:cs="Arial" w:eastAsia="Arial" w:hAnsi="Arial"/>
                <w:sz w:val="18"/>
                <w:szCs w:val="18"/>
                <w:color w:val="auto"/>
              </w:rPr>
              <w:t xml:space="preserve"> D</w:t>
            </w:r>
            <w:r>
              <w:rPr>
                <w:rFonts w:ascii="Arial" w:cs="Arial" w:eastAsia="Arial" w:hAnsi="Arial"/>
                <w:sz w:val="14"/>
                <w:szCs w:val="14"/>
                <w:color w:val="auto"/>
              </w:rPr>
              <w:t>ALLAS</w:t>
            </w:r>
            <w:r>
              <w:rPr>
                <w:rFonts w:ascii="Arial" w:cs="Arial" w:eastAsia="Arial" w:hAnsi="Arial"/>
                <w:sz w:val="18"/>
                <w:szCs w:val="18"/>
                <w:color w:val="auto"/>
              </w:rPr>
              <w:t>, TX 75251</w:t>
            </w:r>
          </w:p>
        </w:tc>
        <w:tc>
          <w:tcPr>
            <w:tcW w:w="3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w:t>
            </w:r>
            <w:r>
              <w:rPr>
                <w:rFonts w:ascii="Arial" w:cs="Arial" w:eastAsia="Arial" w:hAnsi="Arial"/>
                <w:sz w:val="14"/>
                <w:szCs w:val="14"/>
                <w:color w:val="auto"/>
              </w:rPr>
              <w:t>OOD</w:t>
            </w:r>
            <w:r>
              <w:rPr>
                <w:rFonts w:ascii="Arial" w:cs="Arial" w:eastAsia="Arial" w:hAnsi="Arial"/>
                <w:sz w:val="18"/>
                <w:szCs w:val="18"/>
                <w:color w:val="auto"/>
              </w:rPr>
              <w:t>, L.L.C.</w:t>
            </w:r>
          </w:p>
        </w:tc>
        <w:tc>
          <w:tcPr>
            <w:tcW w:w="308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T</w:t>
            </w:r>
            <w:r>
              <w:rPr>
                <w:rFonts w:ascii="Arial" w:cs="Arial" w:eastAsia="Arial" w:hAnsi="Arial"/>
                <w:sz w:val="14"/>
                <w:szCs w:val="14"/>
                <w:color w:val="auto"/>
              </w:rPr>
              <w:t>HOMAS</w:t>
            </w:r>
            <w:r>
              <w:rPr>
                <w:rFonts w:ascii="Arial" w:cs="Arial" w:eastAsia="Arial" w:hAnsi="Arial"/>
                <w:sz w:val="18"/>
                <w:szCs w:val="18"/>
                <w:color w:val="auto"/>
              </w:rPr>
              <w:t xml:space="preserve"> C</w:t>
            </w:r>
            <w:r>
              <w:rPr>
                <w:rFonts w:ascii="Arial" w:cs="Arial" w:eastAsia="Arial" w:hAnsi="Arial"/>
                <w:sz w:val="14"/>
                <w:szCs w:val="14"/>
                <w:color w:val="auto"/>
              </w:rPr>
              <w:t>IRCLE</w:t>
            </w:r>
            <w:r>
              <w:rPr>
                <w:rFonts w:ascii="Arial" w:cs="Arial" w:eastAsia="Arial" w:hAnsi="Arial"/>
                <w:sz w:val="18"/>
                <w:szCs w:val="18"/>
                <w:color w:val="auto"/>
              </w:rPr>
              <w:t>, NW</w:t>
            </w: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600</w:t>
            </w: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ASHINGTON</w:t>
            </w:r>
            <w:r>
              <w:rPr>
                <w:rFonts w:ascii="Arial" w:cs="Arial" w:eastAsia="Arial" w:hAnsi="Arial"/>
                <w:sz w:val="18"/>
                <w:szCs w:val="18"/>
                <w:color w:val="auto"/>
              </w:rPr>
              <w:t>, DC 20005</w:t>
            </w:r>
          </w:p>
        </w:tc>
        <w:tc>
          <w:tcPr>
            <w:tcW w:w="3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AWKER</w:t>
            </w:r>
            <w:r>
              <w:rPr>
                <w:rFonts w:ascii="Arial" w:cs="Arial" w:eastAsia="Arial" w:hAnsi="Arial"/>
                <w:sz w:val="18"/>
                <w:szCs w:val="18"/>
                <w:color w:val="auto"/>
              </w:rPr>
              <w:t xml:space="preserve"> B</w:t>
            </w:r>
            <w:r>
              <w:rPr>
                <w:rFonts w:ascii="Arial" w:cs="Arial" w:eastAsia="Arial" w:hAnsi="Arial"/>
                <w:sz w:val="14"/>
                <w:szCs w:val="14"/>
                <w:color w:val="auto"/>
              </w:rPr>
              <w:t>EECHCRAFT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80" w:type="dxa"/>
            <w:vAlign w:val="bottom"/>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 D</w:t>
            </w:r>
            <w:r>
              <w:rPr>
                <w:rFonts w:ascii="Arial" w:cs="Arial" w:eastAsia="Arial" w:hAnsi="Arial"/>
                <w:sz w:val="14"/>
                <w:szCs w:val="14"/>
                <w:color w:val="auto"/>
                <w:w w:val="97"/>
              </w:rPr>
              <w:t>EFENSE</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P.O. B</w:t>
            </w:r>
            <w:r>
              <w:rPr>
                <w:rFonts w:ascii="Arial" w:cs="Arial" w:eastAsia="Arial" w:hAnsi="Arial"/>
                <w:sz w:val="14"/>
                <w:szCs w:val="14"/>
                <w:color w:val="auto"/>
              </w:rPr>
              <w:t>OX</w:t>
            </w:r>
            <w:r>
              <w:rPr>
                <w:rFonts w:ascii="Arial" w:cs="Arial" w:eastAsia="Arial" w:hAnsi="Arial"/>
                <w:sz w:val="18"/>
                <w:szCs w:val="18"/>
                <w:color w:val="auto"/>
              </w:rPr>
              <w:t xml:space="preserve"> 85</w:t>
            </w: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ICHITA</w:t>
            </w:r>
            <w:r>
              <w:rPr>
                <w:rFonts w:ascii="Arial" w:cs="Arial" w:eastAsia="Arial" w:hAnsi="Arial"/>
                <w:sz w:val="18"/>
                <w:szCs w:val="18"/>
                <w:color w:val="auto"/>
              </w:rPr>
              <w:t>, KS 67201</w:t>
            </w:r>
          </w:p>
        </w:tc>
        <w:tc>
          <w:tcPr>
            <w:tcW w:w="3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65"/>
        </w:trPr>
        <w:tc>
          <w:tcPr>
            <w:tcW w:w="1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80" w:type="dxa"/>
            <w:vAlign w:val="bottom"/>
          </w:tcPr>
          <w:p>
            <w:pPr>
              <w:jc w:val="right"/>
              <w:ind w:right="954"/>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60" w:name="page61"/>
    <w:bookmarkEnd w:id="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61"/>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w:t>
            </w:r>
          </w:p>
        </w:tc>
        <w:tc>
          <w:tcPr>
            <w:tcW w:w="3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of Class</w:t>
            </w:r>
          </w:p>
        </w:tc>
        <w:tc>
          <w:tcPr>
            <w:tcW w:w="0" w:type="dxa"/>
            <w:vAlign w:val="bottom"/>
          </w:tcPr>
          <w:p>
            <w:pPr>
              <w:spacing w:after="0"/>
              <w:rPr>
                <w:sz w:val="1"/>
                <w:szCs w:val="1"/>
                <w:color w:val="auto"/>
              </w:rPr>
            </w:pPr>
          </w:p>
        </w:tc>
      </w:tr>
      <w:tr>
        <w:trPr>
          <w:trHeight w:val="176"/>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40" w:type="dxa"/>
            <w:vAlign w:val="bottom"/>
          </w:tcPr>
          <w:p>
            <w:pPr>
              <w:spacing w:after="0"/>
              <w:rPr>
                <w:sz w:val="15"/>
                <w:szCs w:val="15"/>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4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Held</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216"/>
        </w:trPr>
        <w:tc>
          <w:tcPr>
            <w:tcW w:w="1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w:t>
            </w:r>
            <w:r>
              <w:rPr>
                <w:rFonts w:ascii="Arial" w:cs="Arial" w:eastAsia="Arial" w:hAnsi="Arial"/>
                <w:sz w:val="18"/>
                <w:szCs w:val="18"/>
                <w:color w:val="auto"/>
              </w:rPr>
              <w:t xml:space="preserve"> M</w:t>
            </w:r>
            <w:r>
              <w:rPr>
                <w:rFonts w:ascii="Arial" w:cs="Arial" w:eastAsia="Arial" w:hAnsi="Arial"/>
                <w:sz w:val="14"/>
                <w:szCs w:val="14"/>
                <w:color w:val="auto"/>
              </w:rPr>
              <w:t>ANAGEMENT</w:t>
            </w:r>
            <w:r>
              <w:rPr>
                <w:rFonts w:ascii="Arial" w:cs="Arial" w:eastAsia="Arial" w:hAnsi="Arial"/>
                <w:sz w:val="18"/>
                <w:szCs w:val="18"/>
                <w:color w:val="auto"/>
              </w:rPr>
              <w:t xml:space="preserve"> A</w:t>
            </w:r>
          </w:p>
        </w:tc>
        <w:tc>
          <w:tcPr>
            <w:tcW w:w="1840" w:type="dxa"/>
            <w:vAlign w:val="bottom"/>
          </w:tcPr>
          <w:p>
            <w:pPr>
              <w:spacing w:after="0"/>
              <w:rPr>
                <w:sz w:val="20"/>
                <w:szCs w:val="20"/>
                <w:color w:val="auto"/>
              </w:rPr>
            </w:pPr>
            <w:r>
              <w:rPr>
                <w:rFonts w:ascii="Arial" w:cs="Arial" w:eastAsia="Arial" w:hAnsi="Arial"/>
                <w:sz w:val="15"/>
                <w:szCs w:val="15"/>
                <w:color w:val="auto"/>
              </w:rPr>
              <w:t>SSOCIATES</w:t>
            </w:r>
            <w:r>
              <w:rPr>
                <w:rFonts w:ascii="Arial" w:cs="Arial" w:eastAsia="Arial" w:hAnsi="Arial"/>
                <w:sz w:val="17"/>
                <w:szCs w:val="17"/>
                <w:color w:val="auto"/>
              </w:rPr>
              <w:t>, I</w:t>
            </w:r>
            <w:r>
              <w:rPr>
                <w:rFonts w:ascii="Arial" w:cs="Arial" w:eastAsia="Arial" w:hAnsi="Arial"/>
                <w:sz w:val="15"/>
                <w:szCs w:val="15"/>
                <w:color w:val="auto"/>
              </w:rPr>
              <w:t>NC</w:t>
            </w:r>
            <w:r>
              <w:rPr>
                <w:rFonts w:ascii="Arial" w:cs="Arial" w:eastAsia="Arial" w:hAnsi="Arial"/>
                <w:sz w:val="17"/>
                <w:szCs w:val="17"/>
                <w:color w:val="auto"/>
              </w:rPr>
              <w:t>.</w:t>
            </w:r>
          </w:p>
        </w:tc>
        <w:tc>
          <w:tcPr>
            <w:tcW w:w="31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 C</w:t>
            </w:r>
            <w:r>
              <w:rPr>
                <w:rFonts w:ascii="Arial" w:cs="Arial" w:eastAsia="Arial" w:hAnsi="Arial"/>
                <w:sz w:val="14"/>
                <w:szCs w:val="14"/>
                <w:color w:val="auto"/>
              </w:rPr>
              <w:t>HILDCARE</w:t>
            </w:r>
          </w:p>
        </w:tc>
        <w:tc>
          <w:tcPr>
            <w:tcW w:w="440" w:type="dxa"/>
            <w:vAlign w:val="bottom"/>
          </w:tcPr>
          <w:p>
            <w:pPr>
              <w:spacing w:after="0"/>
              <w:rPr>
                <w:sz w:val="18"/>
                <w:szCs w:val="18"/>
                <w:color w:val="auto"/>
              </w:rPr>
            </w:pPr>
          </w:p>
        </w:tc>
        <w:tc>
          <w:tcPr>
            <w:tcW w:w="30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18"/>
                <w:szCs w:val="18"/>
                <w:color w:val="auto"/>
              </w:rPr>
            </w:pPr>
          </w:p>
        </w:tc>
        <w:tc>
          <w:tcPr>
            <w:tcW w:w="6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0"/>
        </w:trPr>
        <w:tc>
          <w:tcPr>
            <w:tcW w:w="19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1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5811 P</w:t>
            </w:r>
            <w:r>
              <w:rPr>
                <w:rFonts w:ascii="Arial" w:cs="Arial" w:eastAsia="Arial" w:hAnsi="Arial"/>
                <w:sz w:val="14"/>
                <w:szCs w:val="14"/>
                <w:color w:val="auto"/>
              </w:rPr>
              <w:t>ELICAN</w:t>
            </w:r>
            <w:r>
              <w:rPr>
                <w:rFonts w:ascii="Arial" w:cs="Arial" w:eastAsia="Arial" w:hAnsi="Arial"/>
                <w:sz w:val="18"/>
                <w:szCs w:val="18"/>
                <w:color w:val="auto"/>
              </w:rPr>
              <w:t xml:space="preserve"> B</w:t>
            </w:r>
            <w:r>
              <w:rPr>
                <w:rFonts w:ascii="Arial" w:cs="Arial" w:eastAsia="Arial" w:hAnsi="Arial"/>
                <w:sz w:val="14"/>
                <w:szCs w:val="14"/>
                <w:color w:val="auto"/>
              </w:rPr>
              <w:t>AY</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31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3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740" w:type="dxa"/>
            <w:vAlign w:val="bottom"/>
            <w:gridSpan w:val="2"/>
            <w:vMerge w:val="continue"/>
          </w:tcPr>
          <w:p>
            <w:pPr>
              <w:spacing w:after="0"/>
              <w:rPr>
                <w:sz w:val="18"/>
                <w:szCs w:val="18"/>
                <w:color w:val="auto"/>
              </w:rPr>
            </w:pP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500</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APLES</w:t>
            </w:r>
            <w:r>
              <w:rPr>
                <w:rFonts w:ascii="Arial" w:cs="Arial" w:eastAsia="Arial" w:hAnsi="Arial"/>
                <w:sz w:val="18"/>
                <w:szCs w:val="18"/>
                <w:color w:val="auto"/>
              </w:rPr>
              <w:t>, FL 34108</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tc>
        <w:tc>
          <w:tcPr>
            <w:tcW w:w="3100" w:type="dxa"/>
            <w:vAlign w:val="bottom"/>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11717 E</w:t>
            </w:r>
            <w:r>
              <w:rPr>
                <w:rFonts w:ascii="Arial" w:cs="Arial" w:eastAsia="Arial" w:hAnsi="Arial"/>
                <w:sz w:val="14"/>
                <w:szCs w:val="14"/>
                <w:color w:val="auto"/>
              </w:rPr>
              <w:t>XPLORATION</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ERMANTOWN</w:t>
            </w:r>
            <w:r>
              <w:rPr>
                <w:rFonts w:ascii="Arial" w:cs="Arial" w:eastAsia="Arial" w:hAnsi="Arial"/>
                <w:sz w:val="18"/>
                <w:szCs w:val="18"/>
                <w:color w:val="auto"/>
              </w:rPr>
              <w:t>, MD 20876</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NTERDYNAMICS</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UTO</w:t>
            </w:r>
            <w:r>
              <w:rPr>
                <w:rFonts w:ascii="Arial" w:cs="Arial" w:eastAsia="Arial" w:hAnsi="Arial"/>
                <w:sz w:val="18"/>
                <w:szCs w:val="18"/>
                <w:color w:val="auto"/>
                <w:w w:val="96"/>
              </w:rPr>
              <w:t xml:space="preserve"> S</w:t>
            </w:r>
            <w:r>
              <w:rPr>
                <w:rFonts w:ascii="Arial" w:cs="Arial" w:eastAsia="Arial" w:hAnsi="Arial"/>
                <w:sz w:val="14"/>
                <w:szCs w:val="14"/>
                <w:color w:val="auto"/>
                <w:w w:val="96"/>
              </w:rPr>
              <w:t>ECTOR</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560 W</w:t>
            </w:r>
            <w:r>
              <w:rPr>
                <w:rFonts w:ascii="Arial" w:cs="Arial" w:eastAsia="Arial" w:hAnsi="Arial"/>
                <w:sz w:val="14"/>
                <w:szCs w:val="14"/>
                <w:color w:val="auto"/>
              </w:rPr>
              <w:t>HITE</w:t>
            </w:r>
            <w:r>
              <w:rPr>
                <w:rFonts w:ascii="Arial" w:cs="Arial" w:eastAsia="Arial" w:hAnsi="Arial"/>
                <w:sz w:val="18"/>
                <w:szCs w:val="18"/>
                <w:color w:val="auto"/>
              </w:rPr>
              <w:t xml:space="preserve"> P</w:t>
            </w:r>
            <w:r>
              <w:rPr>
                <w:rFonts w:ascii="Arial" w:cs="Arial" w:eastAsia="Arial" w:hAnsi="Arial"/>
                <w:sz w:val="14"/>
                <w:szCs w:val="14"/>
                <w:color w:val="auto"/>
              </w:rPr>
              <w:t>LAINS</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ARRYTOWN</w:t>
            </w:r>
            <w:r>
              <w:rPr>
                <w:rFonts w:ascii="Arial" w:cs="Arial" w:eastAsia="Arial" w:hAnsi="Arial"/>
                <w:sz w:val="18"/>
                <w:szCs w:val="18"/>
                <w:color w:val="auto"/>
              </w:rPr>
              <w:t>, NY 10591</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r>
              <w:rPr>
                <w:rFonts w:ascii="Arial" w:cs="Arial" w:eastAsia="Arial" w:hAnsi="Arial"/>
                <w:sz w:val="18"/>
                <w:szCs w:val="18"/>
                <w:color w:val="auto"/>
                <w:w w:val="98"/>
              </w:rPr>
              <w:t xml:space="preserve"> 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r>
              <w:rPr>
                <w:rFonts w:ascii="Arial" w:cs="Arial" w:eastAsia="Arial" w:hAnsi="Arial"/>
                <w:sz w:val="18"/>
                <w:szCs w:val="18"/>
                <w:color w:val="auto"/>
                <w:w w:val="98"/>
              </w:rPr>
              <w:t xml:space="preserve"> C</w:t>
            </w:r>
            <w:r>
              <w:rPr>
                <w:rFonts w:ascii="Arial" w:cs="Arial" w:eastAsia="Arial" w:hAnsi="Arial"/>
                <w:sz w:val="14"/>
                <w:szCs w:val="14"/>
                <w:color w:val="auto"/>
                <w:w w:val="98"/>
              </w:rPr>
              <w:t>ONSUMER</w:t>
            </w: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777 S. F</w:t>
            </w:r>
            <w:r>
              <w:rPr>
                <w:rFonts w:ascii="Arial" w:cs="Arial" w:eastAsia="Arial" w:hAnsi="Arial"/>
                <w:sz w:val="14"/>
                <w:szCs w:val="14"/>
                <w:color w:val="auto"/>
              </w:rPr>
              <w:t>LAGLER</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10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740" w:type="dxa"/>
            <w:vAlign w:val="bottom"/>
            <w:gridSpan w:val="2"/>
            <w:vMerge w:val="continue"/>
          </w:tcPr>
          <w:p>
            <w:pPr>
              <w:spacing w:after="0"/>
              <w:rPr>
                <w:sz w:val="18"/>
                <w:szCs w:val="18"/>
                <w:color w:val="auto"/>
              </w:rPr>
            </w:pP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1100-W</w:t>
            </w:r>
            <w:r>
              <w:rPr>
                <w:rFonts w:ascii="Arial" w:cs="Arial" w:eastAsia="Arial" w:hAnsi="Arial"/>
                <w:sz w:val="14"/>
                <w:szCs w:val="14"/>
                <w:color w:val="auto"/>
              </w:rPr>
              <w:t>EST</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w:t>
            </w:r>
            <w:r>
              <w:rPr>
                <w:rFonts w:ascii="Arial" w:cs="Arial" w:eastAsia="Arial" w:hAnsi="Arial"/>
                <w:sz w:val="18"/>
                <w:szCs w:val="18"/>
                <w:color w:val="auto"/>
              </w:rPr>
              <w:t xml:space="preserve"> P</w:t>
            </w:r>
            <w:r>
              <w:rPr>
                <w:rFonts w:ascii="Arial" w:cs="Arial" w:eastAsia="Arial" w:hAnsi="Arial"/>
                <w:sz w:val="14"/>
                <w:szCs w:val="14"/>
                <w:color w:val="auto"/>
              </w:rPr>
              <w:t>ALM</w:t>
            </w:r>
            <w:r>
              <w:rPr>
                <w:rFonts w:ascii="Arial" w:cs="Arial" w:eastAsia="Arial" w:hAnsi="Arial"/>
                <w:sz w:val="18"/>
                <w:szCs w:val="18"/>
                <w:color w:val="auto"/>
              </w:rPr>
              <w:t xml:space="preserve"> B</w:t>
            </w:r>
            <w:r>
              <w:rPr>
                <w:rFonts w:ascii="Arial" w:cs="Arial" w:eastAsia="Arial" w:hAnsi="Arial"/>
                <w:sz w:val="14"/>
                <w:szCs w:val="14"/>
                <w:color w:val="auto"/>
              </w:rPr>
              <w:t>EACH</w:t>
            </w:r>
            <w:r>
              <w:rPr>
                <w:rFonts w:ascii="Arial" w:cs="Arial" w:eastAsia="Arial" w:hAnsi="Arial"/>
                <w:sz w:val="18"/>
                <w:szCs w:val="18"/>
                <w:color w:val="auto"/>
              </w:rPr>
              <w:t>, FL. 33401</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EVLAD</w:t>
            </w:r>
            <w:r>
              <w:rPr>
                <w:rFonts w:ascii="Arial" w:cs="Arial" w:eastAsia="Arial" w:hAnsi="Arial"/>
                <w:sz w:val="18"/>
                <w:szCs w:val="18"/>
                <w:color w:val="auto"/>
              </w:rPr>
              <w:t>, L.L.C.</w:t>
            </w:r>
          </w:p>
        </w:tc>
        <w:tc>
          <w:tcPr>
            <w:tcW w:w="310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5"/>
                <w:szCs w:val="15"/>
                <w:color w:val="auto"/>
              </w:rPr>
              <w:t>C</w:t>
            </w:r>
            <w:r>
              <w:rPr>
                <w:rFonts w:ascii="Arial" w:cs="Arial" w:eastAsia="Arial" w:hAnsi="Arial"/>
                <w:sz w:val="17"/>
                <w:szCs w:val="17"/>
                <w:color w:val="auto"/>
              </w:rPr>
              <w:t>/</w:t>
            </w:r>
            <w:r>
              <w:rPr>
                <w:rFonts w:ascii="Arial" w:cs="Arial" w:eastAsia="Arial" w:hAnsi="Arial"/>
                <w:sz w:val="15"/>
                <w:szCs w:val="15"/>
                <w:color w:val="auto"/>
              </w:rPr>
              <w:t xml:space="preserve">O </w:t>
            </w:r>
            <w:r>
              <w:rPr>
                <w:rFonts w:ascii="Arial" w:cs="Arial" w:eastAsia="Arial" w:hAnsi="Arial"/>
                <w:sz w:val="17"/>
                <w:szCs w:val="17"/>
                <w:color w:val="auto"/>
              </w:rPr>
              <w:t>H</w:t>
            </w:r>
            <w:r>
              <w:rPr>
                <w:rFonts w:ascii="Arial" w:cs="Arial" w:eastAsia="Arial" w:hAnsi="Arial"/>
                <w:sz w:val="15"/>
                <w:szCs w:val="15"/>
                <w:color w:val="auto"/>
              </w:rPr>
              <w:t xml:space="preserve">ARVEST </w:t>
            </w:r>
            <w:r>
              <w:rPr>
                <w:rFonts w:ascii="Arial" w:cs="Arial" w:eastAsia="Arial" w:hAnsi="Arial"/>
                <w:sz w:val="17"/>
                <w:szCs w:val="17"/>
                <w:color w:val="auto"/>
              </w:rPr>
              <w:t>P</w:t>
            </w:r>
            <w:r>
              <w:rPr>
                <w:rFonts w:ascii="Arial" w:cs="Arial" w:eastAsia="Arial" w:hAnsi="Arial"/>
                <w:sz w:val="15"/>
                <w:szCs w:val="15"/>
                <w:color w:val="auto"/>
              </w:rPr>
              <w:t>ARTNERS</w:t>
            </w:r>
            <w:r>
              <w:rPr>
                <w:rFonts w:ascii="Arial" w:cs="Arial" w:eastAsia="Arial" w:hAnsi="Arial"/>
                <w:sz w:val="17"/>
                <w:szCs w:val="17"/>
                <w:color w:val="auto"/>
              </w:rPr>
              <w:t>, I</w:t>
            </w:r>
            <w:r>
              <w:rPr>
                <w:rFonts w:ascii="Arial" w:cs="Arial" w:eastAsia="Arial" w:hAnsi="Arial"/>
                <w:sz w:val="15"/>
                <w:szCs w:val="15"/>
                <w:color w:val="auto"/>
              </w:rPr>
              <w:t>NC</w:t>
            </w:r>
            <w:r>
              <w:rPr>
                <w:rFonts w:ascii="Arial" w:cs="Arial" w:eastAsia="Arial" w:hAnsi="Arial"/>
                <w:sz w:val="17"/>
                <w:szCs w:val="17"/>
                <w:color w:val="auto"/>
              </w:rPr>
              <w:t>.</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280 P</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10017</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ONGVIEW</w:t>
            </w:r>
            <w:r>
              <w:rPr>
                <w:rFonts w:ascii="Arial" w:cs="Arial" w:eastAsia="Arial" w:hAnsi="Arial"/>
                <w:sz w:val="18"/>
                <w:szCs w:val="18"/>
                <w:color w:val="auto"/>
              </w:rPr>
              <w:t xml:space="preserve"> P</w:t>
            </w:r>
            <w:r>
              <w:rPr>
                <w:rFonts w:ascii="Arial" w:cs="Arial" w:eastAsia="Arial" w:hAnsi="Arial"/>
                <w:sz w:val="14"/>
                <w:szCs w:val="14"/>
                <w:color w:val="auto"/>
              </w:rPr>
              <w:t>OWER</w:t>
            </w:r>
            <w:r>
              <w:rPr>
                <w:rFonts w:ascii="Arial" w:cs="Arial" w:eastAsia="Arial" w:hAnsi="Arial"/>
                <w:sz w:val="18"/>
                <w:szCs w:val="18"/>
                <w:color w:val="auto"/>
              </w:rPr>
              <w:t>, L.L.C.</w:t>
            </w:r>
          </w:p>
        </w:tc>
        <w:tc>
          <w:tcPr>
            <w:tcW w:w="310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1040 G</w:t>
            </w:r>
            <w:r>
              <w:rPr>
                <w:rFonts w:ascii="Arial" w:cs="Arial" w:eastAsia="Arial" w:hAnsi="Arial"/>
                <w:sz w:val="14"/>
                <w:szCs w:val="14"/>
                <w:color w:val="auto"/>
              </w:rPr>
              <w:t>REAT</w:t>
            </w:r>
            <w:r>
              <w:rPr>
                <w:rFonts w:ascii="Arial" w:cs="Arial" w:eastAsia="Arial" w:hAnsi="Arial"/>
                <w:sz w:val="18"/>
                <w:szCs w:val="18"/>
                <w:color w:val="auto"/>
              </w:rPr>
              <w:t xml:space="preserve"> P</w:t>
            </w:r>
            <w:r>
              <w:rPr>
                <w:rFonts w:ascii="Arial" w:cs="Arial" w:eastAsia="Arial" w:hAnsi="Arial"/>
                <w:sz w:val="14"/>
                <w:szCs w:val="14"/>
                <w:color w:val="auto"/>
              </w:rPr>
              <w:t>LAIN</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EEDHAM</w:t>
            </w:r>
            <w:r>
              <w:rPr>
                <w:rFonts w:ascii="Arial" w:cs="Arial" w:eastAsia="Arial" w:hAnsi="Arial"/>
                <w:sz w:val="18"/>
                <w:szCs w:val="18"/>
                <w:color w:val="auto"/>
              </w:rPr>
              <w:t>, MA 02492</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ACH</w:t>
            </w:r>
            <w:r>
              <w:rPr>
                <w:rFonts w:ascii="Arial" w:cs="Arial" w:eastAsia="Arial" w:hAnsi="Arial"/>
                <w:sz w:val="18"/>
                <w:szCs w:val="18"/>
                <w:color w:val="auto"/>
              </w:rPr>
              <w:t xml:space="preserve"> G</w:t>
            </w:r>
            <w:r>
              <w:rPr>
                <w:rFonts w:ascii="Arial" w:cs="Arial" w:eastAsia="Arial" w:hAnsi="Arial"/>
                <w:sz w:val="14"/>
                <w:szCs w:val="14"/>
                <w:color w:val="auto"/>
              </w:rPr>
              <w:t>EN</w:t>
            </w:r>
            <w:r>
              <w:rPr>
                <w:rFonts w:ascii="Arial" w:cs="Arial" w:eastAsia="Arial" w:hAnsi="Arial"/>
                <w:sz w:val="18"/>
                <w:szCs w:val="18"/>
                <w:color w:val="auto"/>
              </w:rPr>
              <w:t>, L.L.C.</w:t>
            </w:r>
          </w:p>
        </w:tc>
        <w:tc>
          <w:tcPr>
            <w:tcW w:w="310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9300 US H</w:t>
            </w:r>
            <w:r>
              <w:rPr>
                <w:rFonts w:ascii="Arial" w:cs="Arial" w:eastAsia="Arial" w:hAnsi="Arial"/>
                <w:sz w:val="14"/>
                <w:szCs w:val="14"/>
                <w:color w:val="auto"/>
              </w:rPr>
              <w:t>IGHWAY</w:t>
            </w:r>
            <w:r>
              <w:rPr>
                <w:rFonts w:ascii="Arial" w:cs="Arial" w:eastAsia="Arial" w:hAnsi="Arial"/>
                <w:sz w:val="18"/>
                <w:szCs w:val="18"/>
                <w:color w:val="auto"/>
              </w:rPr>
              <w:t xml:space="preserve"> 9W</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THENS</w:t>
            </w:r>
            <w:r>
              <w:rPr>
                <w:rFonts w:ascii="Arial" w:cs="Arial" w:eastAsia="Arial" w:hAnsi="Arial"/>
                <w:sz w:val="18"/>
                <w:szCs w:val="18"/>
                <w:color w:val="auto"/>
              </w:rPr>
              <w:t>, NY 12015</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r>
              <w:rPr>
                <w:rFonts w:ascii="Arial" w:cs="Arial" w:eastAsia="Arial" w:hAnsi="Arial"/>
                <w:sz w:val="18"/>
                <w:szCs w:val="18"/>
                <w:color w:val="auto"/>
                <w:w w:val="98"/>
              </w:rPr>
              <w:t xml:space="preserve"> 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r>
              <w:rPr>
                <w:rFonts w:ascii="Arial" w:cs="Arial" w:eastAsia="Arial" w:hAnsi="Arial"/>
                <w:sz w:val="18"/>
                <w:szCs w:val="18"/>
                <w:color w:val="auto"/>
                <w:w w:val="98"/>
              </w:rPr>
              <w:t xml:space="preserve"> C</w:t>
            </w:r>
            <w:r>
              <w:rPr>
                <w:rFonts w:ascii="Arial" w:cs="Arial" w:eastAsia="Arial" w:hAnsi="Arial"/>
                <w:sz w:val="14"/>
                <w:szCs w:val="14"/>
                <w:color w:val="auto"/>
                <w:w w:val="98"/>
              </w:rPr>
              <w:t>ONSUMER</w:t>
            </w: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5815 G</w:t>
            </w:r>
            <w:r>
              <w:rPr>
                <w:rFonts w:ascii="Arial" w:cs="Arial" w:eastAsia="Arial" w:hAnsi="Arial"/>
                <w:sz w:val="14"/>
                <w:szCs w:val="14"/>
                <w:color w:val="auto"/>
              </w:rPr>
              <w:t>ULF</w:t>
            </w:r>
            <w:r>
              <w:rPr>
                <w:rFonts w:ascii="Arial" w:cs="Arial" w:eastAsia="Arial" w:hAnsi="Arial"/>
                <w:sz w:val="18"/>
                <w:szCs w:val="18"/>
                <w:color w:val="auto"/>
              </w:rPr>
              <w:t xml:space="preserve"> F</w:t>
            </w:r>
            <w:r>
              <w:rPr>
                <w:rFonts w:ascii="Arial" w:cs="Arial" w:eastAsia="Arial" w:hAnsi="Arial"/>
                <w:sz w:val="14"/>
                <w:szCs w:val="14"/>
                <w:color w:val="auto"/>
              </w:rPr>
              <w:t>REEAY</w:t>
            </w:r>
          </w:p>
        </w:tc>
        <w:tc>
          <w:tcPr>
            <w:tcW w:w="310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740" w:type="dxa"/>
            <w:vAlign w:val="bottom"/>
            <w:gridSpan w:val="2"/>
            <w:vMerge w:val="continue"/>
          </w:tcPr>
          <w:p>
            <w:pPr>
              <w:spacing w:after="0"/>
              <w:rPr>
                <w:sz w:val="18"/>
                <w:szCs w:val="18"/>
                <w:color w:val="auto"/>
              </w:rPr>
            </w:pP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OUSTON</w:t>
            </w:r>
            <w:r>
              <w:rPr>
                <w:rFonts w:ascii="Arial" w:cs="Arial" w:eastAsia="Arial" w:hAnsi="Arial"/>
                <w:sz w:val="18"/>
                <w:szCs w:val="18"/>
                <w:color w:val="auto"/>
              </w:rPr>
              <w:t>, TX 77023</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ITCHELL</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9889 W</w:t>
            </w:r>
            <w:r>
              <w:rPr>
                <w:rFonts w:ascii="Arial" w:cs="Arial" w:eastAsia="Arial" w:hAnsi="Arial"/>
                <w:sz w:val="14"/>
                <w:szCs w:val="14"/>
                <w:color w:val="auto"/>
              </w:rPr>
              <w:t>ILLOW</w:t>
            </w:r>
            <w:r>
              <w:rPr>
                <w:rFonts w:ascii="Arial" w:cs="Arial" w:eastAsia="Arial" w:hAnsi="Arial"/>
                <w:sz w:val="18"/>
                <w:szCs w:val="18"/>
                <w:color w:val="auto"/>
              </w:rPr>
              <w:t xml:space="preserve"> C</w:t>
            </w:r>
            <w:r>
              <w:rPr>
                <w:rFonts w:ascii="Arial" w:cs="Arial" w:eastAsia="Arial" w:hAnsi="Arial"/>
                <w:sz w:val="14"/>
                <w:szCs w:val="14"/>
                <w:color w:val="auto"/>
              </w:rPr>
              <w:t>REEK</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AN</w:t>
            </w:r>
            <w:r>
              <w:rPr>
                <w:rFonts w:ascii="Arial" w:cs="Arial" w:eastAsia="Arial" w:hAnsi="Arial"/>
                <w:sz w:val="18"/>
                <w:szCs w:val="18"/>
                <w:color w:val="auto"/>
              </w:rPr>
              <w:t xml:space="preserve"> D</w:t>
            </w:r>
            <w:r>
              <w:rPr>
                <w:rFonts w:ascii="Arial" w:cs="Arial" w:eastAsia="Arial" w:hAnsi="Arial"/>
                <w:sz w:val="14"/>
                <w:szCs w:val="14"/>
                <w:color w:val="auto"/>
              </w:rPr>
              <w:t>IEGO</w:t>
            </w:r>
            <w:r>
              <w:rPr>
                <w:rFonts w:ascii="Arial" w:cs="Arial" w:eastAsia="Arial" w:hAnsi="Arial"/>
                <w:sz w:val="18"/>
                <w:szCs w:val="18"/>
                <w:color w:val="auto"/>
              </w:rPr>
              <w:t>, CA 92131</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tc>
        <w:tc>
          <w:tcPr>
            <w:tcW w:w="31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r>
              <w:rPr>
                <w:rFonts w:ascii="Arial" w:cs="Arial" w:eastAsia="Arial" w:hAnsi="Arial"/>
                <w:sz w:val="18"/>
                <w:szCs w:val="18"/>
                <w:color w:val="auto"/>
                <w:w w:val="98"/>
              </w:rPr>
              <w:t xml:space="preserve"> 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r>
              <w:rPr>
                <w:rFonts w:ascii="Arial" w:cs="Arial" w:eastAsia="Arial" w:hAnsi="Arial"/>
                <w:sz w:val="18"/>
                <w:szCs w:val="18"/>
                <w:color w:val="auto"/>
                <w:w w:val="98"/>
              </w:rPr>
              <w:t xml:space="preserve"> C</w:t>
            </w:r>
            <w:r>
              <w:rPr>
                <w:rFonts w:ascii="Arial" w:cs="Arial" w:eastAsia="Arial" w:hAnsi="Arial"/>
                <w:sz w:val="14"/>
                <w:szCs w:val="14"/>
                <w:color w:val="auto"/>
                <w:w w:val="98"/>
              </w:rPr>
              <w:t>ONSUMER</w:t>
            </w: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5401 T</w:t>
            </w:r>
            <w:r>
              <w:rPr>
                <w:rFonts w:ascii="Arial" w:cs="Arial" w:eastAsia="Arial" w:hAnsi="Arial"/>
                <w:sz w:val="14"/>
                <w:szCs w:val="14"/>
                <w:color w:val="auto"/>
              </w:rPr>
              <w:t>RILLIUM</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740" w:type="dxa"/>
            <w:vAlign w:val="bottom"/>
            <w:gridSpan w:val="2"/>
            <w:vMerge w:val="continue"/>
          </w:tcPr>
          <w:p>
            <w:pPr>
              <w:spacing w:after="0"/>
              <w:rPr>
                <w:sz w:val="18"/>
                <w:szCs w:val="18"/>
                <w:color w:val="auto"/>
              </w:rPr>
            </w:pP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250</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OFFMAN</w:t>
            </w:r>
            <w:r>
              <w:rPr>
                <w:rFonts w:ascii="Arial" w:cs="Arial" w:eastAsia="Arial" w:hAnsi="Arial"/>
                <w:sz w:val="18"/>
                <w:szCs w:val="18"/>
                <w:color w:val="auto"/>
              </w:rPr>
              <w:t xml:space="preserve"> E</w:t>
            </w:r>
            <w:r>
              <w:rPr>
                <w:rFonts w:ascii="Arial" w:cs="Arial" w:eastAsia="Arial" w:hAnsi="Arial"/>
                <w:sz w:val="14"/>
                <w:szCs w:val="14"/>
                <w:color w:val="auto"/>
              </w:rPr>
              <w:t>STATES</w:t>
            </w:r>
            <w:r>
              <w:rPr>
                <w:rFonts w:ascii="Arial" w:cs="Arial" w:eastAsia="Arial" w:hAnsi="Arial"/>
                <w:sz w:val="18"/>
                <w:szCs w:val="18"/>
                <w:color w:val="auto"/>
              </w:rPr>
              <w:t>, IL 60192</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100" w:type="dxa"/>
            <w:vAlign w:val="bottom"/>
          </w:tcPr>
          <w:p>
            <w:pPr>
              <w:jc w:val="right"/>
              <w:ind w:right="953"/>
              <w:spacing w:after="0"/>
              <w:rPr>
                <w:sz w:val="20"/>
                <w:szCs w:val="20"/>
                <w:color w:val="auto"/>
              </w:rPr>
            </w:pPr>
            <w:r>
              <w:rPr>
                <w:rFonts w:ascii="Arial" w:cs="Arial" w:eastAsia="Arial" w:hAnsi="Arial"/>
                <w:sz w:val="18"/>
                <w:szCs w:val="18"/>
                <w:color w:val="auto"/>
              </w:rPr>
              <w:t>57</w:t>
            </w:r>
          </w:p>
        </w:tc>
        <w:tc>
          <w:tcPr>
            <w:tcW w:w="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61" w:name="page62"/>
    <w:bookmarkEnd w:id="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r>
      <w:tr>
        <w:trPr>
          <w:trHeight w:val="161"/>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w:t>
            </w:r>
          </w:p>
        </w:tc>
        <w:tc>
          <w:tcPr>
            <w:tcW w:w="3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of Class</w:t>
            </w:r>
          </w:p>
        </w:tc>
      </w:tr>
      <w:tr>
        <w:trPr>
          <w:trHeight w:val="176"/>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40" w:type="dxa"/>
            <w:vAlign w:val="bottom"/>
          </w:tcPr>
          <w:p>
            <w:pPr>
              <w:spacing w:after="0"/>
              <w:rPr>
                <w:sz w:val="15"/>
                <w:szCs w:val="15"/>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4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Held</w:t>
            </w:r>
            <w:r>
              <w:rPr>
                <w:rFonts w:ascii="Arial" w:cs="Arial" w:eastAsia="Arial" w:hAnsi="Arial"/>
                <w:sz w:val="20"/>
                <w:szCs w:val="20"/>
                <w:b w:val="1"/>
                <w:bCs w:val="1"/>
                <w:color w:val="auto"/>
                <w:w w:val="89"/>
                <w:vertAlign w:val="superscript"/>
              </w:rPr>
              <w:t>(1)</w:t>
            </w:r>
          </w:p>
        </w:tc>
      </w:tr>
      <w:tr>
        <w:trPr>
          <w:trHeight w:val="201"/>
        </w:trPr>
        <w:tc>
          <w:tcPr>
            <w:tcW w:w="1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840" w:type="dxa"/>
            <w:vAlign w:val="bottom"/>
          </w:tcPr>
          <w:p>
            <w:pPr>
              <w:spacing w:after="0"/>
              <w:rPr>
                <w:sz w:val="17"/>
                <w:szCs w:val="17"/>
                <w:color w:val="auto"/>
              </w:rPr>
            </w:pPr>
          </w:p>
        </w:tc>
        <w:tc>
          <w:tcPr>
            <w:tcW w:w="31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440" w:type="dxa"/>
            <w:vAlign w:val="bottom"/>
          </w:tcPr>
          <w:p>
            <w:pPr>
              <w:spacing w:after="0"/>
              <w:rPr>
                <w:sz w:val="17"/>
                <w:szCs w:val="17"/>
                <w:color w:val="auto"/>
              </w:rPr>
            </w:pPr>
          </w:p>
        </w:tc>
        <w:tc>
          <w:tcPr>
            <w:tcW w:w="30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17"/>
                <w:szCs w:val="17"/>
                <w:color w:val="auto"/>
              </w:rPr>
            </w:pPr>
          </w:p>
        </w:tc>
        <w:tc>
          <w:tcPr>
            <w:tcW w:w="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249 W. 17</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w:t>
            </w:r>
            <w:r>
              <w:rPr>
                <w:rFonts w:ascii="Arial" w:cs="Arial" w:eastAsia="Arial" w:hAnsi="Arial"/>
                <w:sz w:val="14"/>
                <w:szCs w:val="14"/>
                <w:color w:val="auto"/>
              </w:rPr>
              <w:t>STREET</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OURTH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10011</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4602 E</w:t>
            </w:r>
            <w:r>
              <w:rPr>
                <w:rFonts w:ascii="Arial" w:cs="Arial" w:eastAsia="Arial" w:hAnsi="Arial"/>
                <w:sz w:val="14"/>
                <w:szCs w:val="14"/>
                <w:color w:val="auto"/>
              </w:rPr>
              <w:t>AST</w:t>
            </w:r>
            <w:r>
              <w:rPr>
                <w:rFonts w:ascii="Arial" w:cs="Arial" w:eastAsia="Arial" w:hAnsi="Arial"/>
                <w:sz w:val="18"/>
                <w:szCs w:val="18"/>
                <w:color w:val="auto"/>
              </w:rPr>
              <w:t xml:space="preserve"> H</w:t>
            </w:r>
            <w:r>
              <w:rPr>
                <w:rFonts w:ascii="Arial" w:cs="Arial" w:eastAsia="Arial" w:hAnsi="Arial"/>
                <w:sz w:val="14"/>
                <w:szCs w:val="14"/>
                <w:color w:val="auto"/>
              </w:rPr>
              <w:t>AMMOND</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85034</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275 G</w:t>
            </w:r>
            <w:r>
              <w:rPr>
                <w:rFonts w:ascii="Arial" w:cs="Arial" w:eastAsia="Arial" w:hAnsi="Arial"/>
                <w:sz w:val="14"/>
                <w:szCs w:val="14"/>
                <w:color w:val="auto"/>
              </w:rPr>
              <w:t>ROVE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2-130</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EWTON</w:t>
            </w:r>
            <w:r>
              <w:rPr>
                <w:rFonts w:ascii="Arial" w:cs="Arial" w:eastAsia="Arial" w:hAnsi="Arial"/>
                <w:sz w:val="18"/>
                <w:szCs w:val="18"/>
                <w:color w:val="auto"/>
              </w:rPr>
              <w:t>, MA 02466</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EADER</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D</w:t>
            </w:r>
            <w:r>
              <w:rPr>
                <w:rFonts w:ascii="Arial" w:cs="Arial" w:eastAsia="Arial" w:hAnsi="Arial"/>
                <w:sz w:val="14"/>
                <w:szCs w:val="14"/>
                <w:color w:val="auto"/>
              </w:rPr>
              <w:t>IGEST</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 P</w:t>
            </w:r>
            <w:r>
              <w:rPr>
                <w:rFonts w:ascii="Arial" w:cs="Arial" w:eastAsia="Arial" w:hAnsi="Arial"/>
                <w:sz w:val="14"/>
                <w:szCs w:val="14"/>
                <w:color w:val="auto"/>
              </w:rPr>
              <w:t>UBLISHING</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EADERS</w:t>
            </w:r>
            <w:r>
              <w:rPr>
                <w:rFonts w:ascii="Arial" w:cs="Arial" w:eastAsia="Arial" w:hAnsi="Arial"/>
                <w:sz w:val="18"/>
                <w:szCs w:val="18"/>
                <w:color w:val="auto"/>
              </w:rPr>
              <w:t xml:space="preserve"> D</w:t>
            </w:r>
            <w:r>
              <w:rPr>
                <w:rFonts w:ascii="Arial" w:cs="Arial" w:eastAsia="Arial" w:hAnsi="Arial"/>
                <w:sz w:val="14"/>
                <w:szCs w:val="14"/>
                <w:color w:val="auto"/>
              </w:rPr>
              <w:t>IGEST</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LEASANTVILLE</w:t>
            </w:r>
            <w:r>
              <w:rPr>
                <w:rFonts w:ascii="Arial" w:cs="Arial" w:eastAsia="Arial" w:hAnsi="Arial"/>
                <w:sz w:val="18"/>
                <w:szCs w:val="18"/>
                <w:color w:val="auto"/>
              </w:rPr>
              <w:t>, NY 10570</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31"/>
        </w:trPr>
        <w:tc>
          <w:tcPr>
            <w:tcW w:w="374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EALOGY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UILDINGS</w:t>
            </w:r>
            <w:r>
              <w:rPr>
                <w:rFonts w:ascii="Arial" w:cs="Arial" w:eastAsia="Arial" w:hAnsi="Arial"/>
                <w:sz w:val="18"/>
                <w:szCs w:val="18"/>
                <w:color w:val="auto"/>
              </w:rPr>
              <w:t xml:space="preserve"> &amp; R</w:t>
            </w:r>
            <w:r>
              <w:rPr>
                <w:rFonts w:ascii="Arial" w:cs="Arial" w:eastAsia="Arial" w:hAnsi="Arial"/>
                <w:sz w:val="14"/>
                <w:szCs w:val="14"/>
                <w:color w:val="auto"/>
              </w:rPr>
              <w:t>EAL</w:t>
            </w:r>
            <w:r>
              <w:rPr>
                <w:rFonts w:ascii="Arial" w:cs="Arial" w:eastAsia="Arial" w:hAnsi="Arial"/>
                <w:sz w:val="18"/>
                <w:szCs w:val="18"/>
                <w:color w:val="auto"/>
              </w:rPr>
              <w:t xml:space="preserve"> E</w:t>
            </w:r>
            <w:r>
              <w:rPr>
                <w:rFonts w:ascii="Arial" w:cs="Arial" w:eastAsia="Arial" w:hAnsi="Arial"/>
                <w:sz w:val="14"/>
                <w:szCs w:val="14"/>
                <w:color w:val="auto"/>
              </w:rPr>
              <w:t>STATE</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C</w:t>
            </w:r>
            <w:r>
              <w:rPr>
                <w:rFonts w:ascii="Arial" w:cs="Arial" w:eastAsia="Arial" w:hAnsi="Arial"/>
                <w:sz w:val="14"/>
                <w:szCs w:val="14"/>
                <w:color w:val="auto"/>
              </w:rPr>
              <w:t>AMPUS</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ARSIPPANY</w:t>
            </w:r>
            <w:r>
              <w:rPr>
                <w:rFonts w:ascii="Arial" w:cs="Arial" w:eastAsia="Arial" w:hAnsi="Arial"/>
                <w:sz w:val="18"/>
                <w:szCs w:val="18"/>
                <w:color w:val="auto"/>
              </w:rPr>
              <w:t>, NJ 07054</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L.L.C.</w:t>
            </w:r>
          </w:p>
        </w:tc>
        <w:tc>
          <w:tcPr>
            <w:tcW w:w="310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 B</w:t>
            </w:r>
            <w:r>
              <w:rPr>
                <w:rFonts w:ascii="Arial" w:cs="Arial" w:eastAsia="Arial" w:hAnsi="Arial"/>
                <w:sz w:val="14"/>
                <w:szCs w:val="14"/>
                <w:color w:val="auto"/>
              </w:rPr>
              <w:t>ASIC</w:t>
            </w:r>
            <w:r>
              <w:rPr>
                <w:rFonts w:ascii="Arial" w:cs="Arial" w:eastAsia="Arial" w:hAnsi="Arial"/>
                <w:sz w:val="18"/>
                <w:szCs w:val="18"/>
                <w:color w:val="auto"/>
              </w:rPr>
              <w:t xml:space="preserve"> I</w:t>
            </w:r>
            <w:r>
              <w:rPr>
                <w:rFonts w:ascii="Arial" w:cs="Arial" w:eastAsia="Arial" w:hAnsi="Arial"/>
                <w:sz w:val="14"/>
                <w:szCs w:val="14"/>
                <w:color w:val="auto"/>
              </w:rPr>
              <w:t>NDUSTRIES</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5555 S. W</w:t>
            </w:r>
            <w:r>
              <w:rPr>
                <w:rFonts w:ascii="Arial" w:cs="Arial" w:eastAsia="Arial" w:hAnsi="Arial"/>
                <w:sz w:val="14"/>
                <w:szCs w:val="14"/>
                <w:color w:val="auto"/>
              </w:rPr>
              <w:t>OODLAND</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B</w:t>
            </w:r>
            <w:r>
              <w:rPr>
                <w:rFonts w:ascii="Arial" w:cs="Arial" w:eastAsia="Arial" w:hAnsi="Arial"/>
                <w:sz w:val="14"/>
                <w:szCs w:val="14"/>
                <w:color w:val="auto"/>
              </w:rPr>
              <w:t>ERLIN</w:t>
            </w:r>
            <w:r>
              <w:rPr>
                <w:rFonts w:ascii="Arial" w:cs="Arial" w:eastAsia="Arial" w:hAnsi="Arial"/>
                <w:sz w:val="18"/>
                <w:szCs w:val="18"/>
                <w:color w:val="auto"/>
              </w:rPr>
              <w:t>, WI 53151</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2200 S</w:t>
            </w:r>
            <w:r>
              <w:rPr>
                <w:rFonts w:ascii="Arial" w:cs="Arial" w:eastAsia="Arial" w:hAnsi="Arial"/>
                <w:sz w:val="14"/>
                <w:szCs w:val="14"/>
                <w:color w:val="auto"/>
              </w:rPr>
              <w:t>OUTH</w:t>
            </w:r>
            <w:r>
              <w:rPr>
                <w:rFonts w:ascii="Arial" w:cs="Arial" w:eastAsia="Arial" w:hAnsi="Arial"/>
                <w:sz w:val="18"/>
                <w:szCs w:val="18"/>
                <w:color w:val="auto"/>
              </w:rPr>
              <w:t xml:space="preserve"> 75</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85043</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HERIDAN</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 C</w:t>
            </w:r>
            <w:r>
              <w:rPr>
                <w:rFonts w:ascii="Arial" w:cs="Arial" w:eastAsia="Arial" w:hAnsi="Arial"/>
                <w:sz w:val="14"/>
                <w:szCs w:val="14"/>
                <w:color w:val="auto"/>
              </w:rPr>
              <w:t>HILDCARE</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1613 N. H</w:t>
            </w:r>
            <w:r>
              <w:rPr>
                <w:rFonts w:ascii="Arial" w:cs="Arial" w:eastAsia="Arial" w:hAnsi="Arial"/>
                <w:sz w:val="14"/>
                <w:szCs w:val="14"/>
                <w:color w:val="auto"/>
              </w:rPr>
              <w:t>ARRISON</w:t>
            </w:r>
            <w:r>
              <w:rPr>
                <w:rFonts w:ascii="Arial" w:cs="Arial" w:eastAsia="Arial" w:hAnsi="Arial"/>
                <w:sz w:val="18"/>
                <w:szCs w:val="18"/>
                <w:color w:val="auto"/>
              </w:rPr>
              <w:t xml:space="preserve"> P</w:t>
            </w:r>
            <w:r>
              <w:rPr>
                <w:rFonts w:ascii="Arial" w:cs="Arial" w:eastAsia="Arial" w:hAnsi="Arial"/>
                <w:sz w:val="14"/>
                <w:szCs w:val="14"/>
                <w:color w:val="auto"/>
              </w:rPr>
              <w:t>ARKWAY</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200</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UNRISE</w:t>
            </w:r>
            <w:r>
              <w:rPr>
                <w:rFonts w:ascii="Arial" w:cs="Arial" w:eastAsia="Arial" w:hAnsi="Arial"/>
                <w:sz w:val="18"/>
                <w:szCs w:val="18"/>
                <w:color w:val="auto"/>
              </w:rPr>
              <w:t>, FL 33323</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tc>
        <w:tc>
          <w:tcPr>
            <w:tcW w:w="310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WO</w:t>
            </w:r>
            <w:r>
              <w:rPr>
                <w:rFonts w:ascii="Arial" w:cs="Arial" w:eastAsia="Arial" w:hAnsi="Arial"/>
                <w:sz w:val="18"/>
                <w:szCs w:val="18"/>
                <w:color w:val="auto"/>
              </w:rPr>
              <w:t xml:space="preserve"> A</w:t>
            </w:r>
            <w:r>
              <w:rPr>
                <w:rFonts w:ascii="Arial" w:cs="Arial" w:eastAsia="Arial" w:hAnsi="Arial"/>
                <w:sz w:val="14"/>
                <w:szCs w:val="14"/>
                <w:color w:val="auto"/>
              </w:rPr>
              <w:t>MERICAN</w:t>
            </w:r>
            <w:r>
              <w:rPr>
                <w:rFonts w:ascii="Arial" w:cs="Arial" w:eastAsia="Arial" w:hAnsi="Arial"/>
                <w:sz w:val="18"/>
                <w:szCs w:val="18"/>
                <w:color w:val="auto"/>
              </w:rPr>
              <w:t xml:space="preserve"> C</w:t>
            </w:r>
            <w:r>
              <w:rPr>
                <w:rFonts w:ascii="Arial" w:cs="Arial" w:eastAsia="Arial" w:hAnsi="Arial"/>
                <w:sz w:val="14"/>
                <w:szCs w:val="14"/>
                <w:color w:val="auto"/>
              </w:rPr>
              <w:t>ENTER</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3102 W</w:t>
            </w:r>
            <w:r>
              <w:rPr>
                <w:rFonts w:ascii="Arial" w:cs="Arial" w:eastAsia="Arial" w:hAnsi="Arial"/>
                <w:sz w:val="14"/>
                <w:szCs w:val="14"/>
                <w:color w:val="auto"/>
              </w:rPr>
              <w:t>EST</w:t>
            </w:r>
            <w:r>
              <w:rPr>
                <w:rFonts w:ascii="Arial" w:cs="Arial" w:eastAsia="Arial" w:hAnsi="Arial"/>
                <w:sz w:val="18"/>
                <w:szCs w:val="18"/>
                <w:color w:val="auto"/>
              </w:rPr>
              <w:t xml:space="preserve"> E</w:t>
            </w:r>
            <w:r>
              <w:rPr>
                <w:rFonts w:ascii="Arial" w:cs="Arial" w:eastAsia="Arial" w:hAnsi="Arial"/>
                <w:sz w:val="14"/>
                <w:szCs w:val="14"/>
                <w:color w:val="auto"/>
              </w:rPr>
              <w:t>ND</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1000</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ASHVILLE</w:t>
            </w:r>
            <w:r>
              <w:rPr>
                <w:rFonts w:ascii="Arial" w:cs="Arial" w:eastAsia="Arial" w:hAnsi="Arial"/>
                <w:sz w:val="18"/>
                <w:szCs w:val="18"/>
                <w:color w:val="auto"/>
              </w:rPr>
              <w:t>, TN 37203</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PECIALIZED</w:t>
            </w:r>
            <w:r>
              <w:rPr>
                <w:rFonts w:ascii="Arial" w:cs="Arial" w:eastAsia="Arial" w:hAnsi="Arial"/>
                <w:sz w:val="18"/>
                <w:szCs w:val="18"/>
                <w:color w:val="auto"/>
              </w:rPr>
              <w:t xml:space="preserve"> T</w:t>
            </w:r>
            <w:r>
              <w:rPr>
                <w:rFonts w:ascii="Arial" w:cs="Arial" w:eastAsia="Arial" w:hAnsi="Arial"/>
                <w:sz w:val="14"/>
                <w:szCs w:val="14"/>
                <w:color w:val="auto"/>
              </w:rPr>
              <w:t>ECHNOLOGY</w:t>
            </w:r>
            <w:r>
              <w:rPr>
                <w:rFonts w:ascii="Arial" w:cs="Arial" w:eastAsia="Arial" w:hAnsi="Arial"/>
                <w:sz w:val="18"/>
                <w:szCs w:val="18"/>
                <w:color w:val="auto"/>
              </w:rPr>
              <w:t xml:space="preserve">   R</w:t>
            </w:r>
            <w:r>
              <w:rPr>
                <w:rFonts w:ascii="Arial" w:cs="Arial" w:eastAsia="Arial" w:hAnsi="Arial"/>
                <w:sz w:val="14"/>
                <w:szCs w:val="14"/>
                <w:color w:val="auto"/>
              </w:rPr>
              <w:t>ESOURCES</w:t>
            </w:r>
            <w:r>
              <w:rPr>
                <w:rFonts w:ascii="Arial" w:cs="Arial" w:eastAsia="Arial" w:hAnsi="Arial"/>
                <w:sz w:val="18"/>
                <w:szCs w:val="18"/>
                <w:color w:val="auto"/>
              </w:rPr>
              <w:t>,</w:t>
            </w:r>
          </w:p>
        </w:tc>
        <w:tc>
          <w:tcPr>
            <w:tcW w:w="3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HEMICAL</w:t>
            </w:r>
            <w:r>
              <w:rPr>
                <w:rFonts w:ascii="Arial" w:cs="Arial" w:eastAsia="Arial" w:hAnsi="Arial"/>
                <w:sz w:val="18"/>
                <w:szCs w:val="18"/>
                <w:color w:val="auto"/>
              </w:rPr>
              <w:t>, P</w:t>
            </w:r>
            <w:r>
              <w:rPr>
                <w:rFonts w:ascii="Arial" w:cs="Arial" w:eastAsia="Arial" w:hAnsi="Arial"/>
                <w:sz w:val="14"/>
                <w:szCs w:val="14"/>
                <w:color w:val="auto"/>
              </w:rPr>
              <w:t>LASTICS</w:t>
            </w:r>
            <w:r>
              <w:rPr>
                <w:rFonts w:ascii="Arial" w:cs="Arial" w:eastAsia="Arial" w:hAnsi="Arial"/>
                <w:sz w:val="18"/>
                <w:szCs w:val="18"/>
                <w:color w:val="auto"/>
              </w:rPr>
              <w:t xml:space="preserve"> &amp; R</w:t>
            </w:r>
            <w:r>
              <w:rPr>
                <w:rFonts w:ascii="Arial" w:cs="Arial" w:eastAsia="Arial" w:hAnsi="Arial"/>
                <w:sz w:val="14"/>
                <w:szCs w:val="14"/>
                <w:color w:val="auto"/>
              </w:rPr>
              <w:t>UBBER</w:t>
            </w: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10 W</w:t>
            </w:r>
            <w:r>
              <w:rPr>
                <w:rFonts w:ascii="Arial" w:cs="Arial" w:eastAsia="Arial" w:hAnsi="Arial"/>
                <w:sz w:val="14"/>
                <w:szCs w:val="14"/>
                <w:color w:val="auto"/>
              </w:rPr>
              <w:t>ATER</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NFIELD</w:t>
            </w:r>
            <w:r>
              <w:rPr>
                <w:rFonts w:ascii="Arial" w:cs="Arial" w:eastAsia="Arial" w:hAnsi="Arial"/>
                <w:sz w:val="18"/>
                <w:szCs w:val="18"/>
                <w:color w:val="auto"/>
              </w:rPr>
              <w:t>, CT 06082</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w:t>
            </w:r>
            <w:r>
              <w:rPr>
                <w:rFonts w:ascii="Arial" w:cs="Arial" w:eastAsia="Arial" w:hAnsi="Arial"/>
                <w:sz w:val="18"/>
                <w:szCs w:val="18"/>
                <w:color w:val="auto"/>
              </w:rPr>
              <w:t>F</w:t>
            </w:r>
            <w:r>
              <w:rPr>
                <w:rFonts w:ascii="Arial" w:cs="Arial" w:eastAsia="Arial" w:hAnsi="Arial"/>
                <w:sz w:val="14"/>
                <w:szCs w:val="14"/>
                <w:color w:val="auto"/>
              </w:rPr>
              <w:t>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10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5950 B</w:t>
            </w:r>
            <w:r>
              <w:rPr>
                <w:rFonts w:ascii="Arial" w:cs="Arial" w:eastAsia="Arial" w:hAnsi="Arial"/>
                <w:sz w:val="14"/>
                <w:szCs w:val="14"/>
                <w:color w:val="auto"/>
              </w:rPr>
              <w:t>ERKSHIRE</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1100</w:t>
            </w:r>
          </w:p>
        </w:tc>
        <w:tc>
          <w:tcPr>
            <w:tcW w:w="3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ALLAS</w:t>
            </w:r>
            <w:r>
              <w:rPr>
                <w:rFonts w:ascii="Arial" w:cs="Arial" w:eastAsia="Arial" w:hAnsi="Arial"/>
                <w:sz w:val="18"/>
                <w:szCs w:val="18"/>
                <w:color w:val="auto"/>
              </w:rPr>
              <w:t>, T</w:t>
            </w:r>
            <w:r>
              <w:rPr>
                <w:rFonts w:ascii="Arial" w:cs="Arial" w:eastAsia="Arial" w:hAnsi="Arial"/>
                <w:sz w:val="14"/>
                <w:szCs w:val="14"/>
                <w:color w:val="auto"/>
              </w:rPr>
              <w:t>EXAS</w:t>
            </w:r>
            <w:r>
              <w:rPr>
                <w:rFonts w:ascii="Arial" w:cs="Arial" w:eastAsia="Arial" w:hAnsi="Arial"/>
                <w:sz w:val="18"/>
                <w:szCs w:val="18"/>
                <w:color w:val="auto"/>
              </w:rPr>
              <w:t xml:space="preserve"> 75225</w:t>
            </w:r>
          </w:p>
        </w:tc>
        <w:tc>
          <w:tcPr>
            <w:tcW w:w="3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65"/>
        </w:trPr>
        <w:tc>
          <w:tcPr>
            <w:tcW w:w="1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100" w:type="dxa"/>
            <w:vAlign w:val="bottom"/>
          </w:tcPr>
          <w:p>
            <w:pPr>
              <w:jc w:val="right"/>
              <w:ind w:right="954"/>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62" w:name="page63"/>
    <w:bookmarkEnd w:id="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r>
      <w:tr>
        <w:trPr>
          <w:trHeight w:val="161"/>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0Name and Address of Portfolio</w:t>
            </w:r>
          </w:p>
        </w:tc>
        <w:tc>
          <w:tcPr>
            <w:tcW w:w="3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of Class</w:t>
            </w:r>
          </w:p>
        </w:tc>
      </w:tr>
      <w:tr>
        <w:trPr>
          <w:trHeight w:val="176"/>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1800" w:type="dxa"/>
            <w:vAlign w:val="bottom"/>
          </w:tcPr>
          <w:p>
            <w:pPr>
              <w:spacing w:after="0"/>
              <w:rPr>
                <w:sz w:val="15"/>
                <w:szCs w:val="15"/>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40" w:type="dxa"/>
            <w:vAlign w:val="bottom"/>
          </w:tcPr>
          <w:p>
            <w:pPr>
              <w:spacing w:after="0"/>
              <w:rPr>
                <w:sz w:val="15"/>
                <w:szCs w:val="15"/>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4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9"/>
              </w:rPr>
              <w:t>Held</w:t>
            </w:r>
            <w:r>
              <w:rPr>
                <w:rFonts w:ascii="Arial" w:cs="Arial" w:eastAsia="Arial" w:hAnsi="Arial"/>
                <w:sz w:val="20"/>
                <w:szCs w:val="20"/>
                <w:b w:val="1"/>
                <w:bCs w:val="1"/>
                <w:color w:val="auto"/>
                <w:w w:val="89"/>
                <w:vertAlign w:val="superscript"/>
              </w:rPr>
              <w:t>(1)</w:t>
            </w:r>
          </w:p>
        </w:tc>
      </w:tr>
      <w:tr>
        <w:trPr>
          <w:trHeight w:val="309"/>
        </w:trPr>
        <w:tc>
          <w:tcPr>
            <w:tcW w:w="376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3080" w:type="dxa"/>
            <w:vAlign w:val="bottom"/>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w:t>
            </w:r>
            <w:r>
              <w:rPr>
                <w:rFonts w:ascii="Arial" w:cs="Arial" w:eastAsia="Arial" w:hAnsi="Arial"/>
                <w:sz w:val="18"/>
                <w:szCs w:val="18"/>
                <w:color w:val="auto"/>
              </w:rPr>
              <w:t xml:space="preserve"> &amp; E</w:t>
            </w:r>
            <w:r>
              <w:rPr>
                <w:rFonts w:ascii="Arial" w:cs="Arial" w:eastAsia="Arial" w:hAnsi="Arial"/>
                <w:sz w:val="14"/>
                <w:szCs w:val="14"/>
                <w:color w:val="auto"/>
              </w:rPr>
              <w:t>NTERTAINMENT</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1999 A</w:t>
            </w:r>
            <w:r>
              <w:rPr>
                <w:rFonts w:ascii="Arial" w:cs="Arial" w:eastAsia="Arial" w:hAnsi="Arial"/>
                <w:sz w:val="14"/>
                <w:szCs w:val="14"/>
                <w:color w:val="auto"/>
              </w:rPr>
              <w:t>VENUE OF THE</w:t>
            </w:r>
            <w:r>
              <w:rPr>
                <w:rFonts w:ascii="Arial" w:cs="Arial" w:eastAsia="Arial" w:hAnsi="Arial"/>
                <w:sz w:val="18"/>
                <w:szCs w:val="18"/>
                <w:color w:val="auto"/>
              </w:rPr>
              <w:t xml:space="preserve"> S</w:t>
            </w:r>
            <w:r>
              <w:rPr>
                <w:rFonts w:ascii="Arial" w:cs="Arial" w:eastAsia="Arial" w:hAnsi="Arial"/>
                <w:sz w:val="14"/>
                <w:szCs w:val="14"/>
                <w:color w:val="auto"/>
              </w:rPr>
              <w:t>TARS</w:t>
            </w: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OS</w:t>
            </w:r>
            <w:r>
              <w:rPr>
                <w:rFonts w:ascii="Arial" w:cs="Arial" w:eastAsia="Arial" w:hAnsi="Arial"/>
                <w:sz w:val="18"/>
                <w:szCs w:val="18"/>
                <w:color w:val="auto"/>
              </w:rPr>
              <w:t xml:space="preserve"> A</w:t>
            </w:r>
            <w:r>
              <w:rPr>
                <w:rFonts w:ascii="Arial" w:cs="Arial" w:eastAsia="Arial" w:hAnsi="Arial"/>
                <w:sz w:val="14"/>
                <w:szCs w:val="14"/>
                <w:color w:val="auto"/>
              </w:rPr>
              <w:t>NGELES</w:t>
            </w:r>
            <w:r>
              <w:rPr>
                <w:rFonts w:ascii="Arial" w:cs="Arial" w:eastAsia="Arial" w:hAnsi="Arial"/>
                <w:sz w:val="18"/>
                <w:szCs w:val="18"/>
                <w:color w:val="auto"/>
              </w:rPr>
              <w:t>, CA 90067</w:t>
            </w:r>
          </w:p>
        </w:tc>
        <w:tc>
          <w:tcPr>
            <w:tcW w:w="3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8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 P</w:t>
            </w:r>
            <w:r>
              <w:rPr>
                <w:rFonts w:ascii="Arial" w:cs="Arial" w:eastAsia="Arial" w:hAnsi="Arial"/>
                <w:sz w:val="14"/>
                <w:szCs w:val="14"/>
                <w:color w:val="auto"/>
              </w:rPr>
              <w:t>UBLISHING</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19975 V</w:t>
            </w:r>
            <w:r>
              <w:rPr>
                <w:rFonts w:ascii="Arial" w:cs="Arial" w:eastAsia="Arial" w:hAnsi="Arial"/>
                <w:sz w:val="14"/>
                <w:szCs w:val="14"/>
                <w:color w:val="auto"/>
              </w:rPr>
              <w:t>ICTOR</w:t>
            </w:r>
            <w:r>
              <w:rPr>
                <w:rFonts w:ascii="Arial" w:cs="Arial" w:eastAsia="Arial" w:hAnsi="Arial"/>
                <w:sz w:val="18"/>
                <w:szCs w:val="18"/>
                <w:color w:val="auto"/>
              </w:rPr>
              <w:t xml:space="preserve"> P</w:t>
            </w:r>
            <w:r>
              <w:rPr>
                <w:rFonts w:ascii="Arial" w:cs="Arial" w:eastAsia="Arial" w:hAnsi="Arial"/>
                <w:sz w:val="14"/>
                <w:szCs w:val="14"/>
                <w:color w:val="auto"/>
              </w:rPr>
              <w:t>ARKWAY</w:t>
            </w: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IVONIA</w:t>
            </w:r>
            <w:r>
              <w:rPr>
                <w:rFonts w:ascii="Arial" w:cs="Arial" w:eastAsia="Arial" w:hAnsi="Arial"/>
                <w:sz w:val="18"/>
                <w:szCs w:val="18"/>
                <w:color w:val="auto"/>
              </w:rPr>
              <w:t>, MI 48152</w:t>
            </w:r>
          </w:p>
        </w:tc>
        <w:tc>
          <w:tcPr>
            <w:tcW w:w="3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ESTERN</w:t>
            </w:r>
            <w:r>
              <w:rPr>
                <w:rFonts w:ascii="Arial" w:cs="Arial" w:eastAsia="Arial" w:hAnsi="Arial"/>
                <w:sz w:val="18"/>
                <w:szCs w:val="18"/>
                <w:color w:val="auto"/>
              </w:rPr>
              <w:t xml:space="preserve"> R</w:t>
            </w:r>
            <w:r>
              <w:rPr>
                <w:rFonts w:ascii="Arial" w:cs="Arial" w:eastAsia="Arial" w:hAnsi="Arial"/>
                <w:sz w:val="14"/>
                <w:szCs w:val="14"/>
                <w:color w:val="auto"/>
              </w:rPr>
              <w:t>EFINING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8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440" w:type="dxa"/>
            <w:vAlign w:val="bottom"/>
          </w:tcPr>
          <w:p>
            <w:pPr>
              <w:spacing w:after="0"/>
              <w:rPr>
                <w:sz w:val="24"/>
                <w:szCs w:val="24"/>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23733 N</w:t>
            </w:r>
            <w:r>
              <w:rPr>
                <w:rFonts w:ascii="Arial" w:cs="Arial" w:eastAsia="Arial" w:hAnsi="Arial"/>
                <w:sz w:val="14"/>
                <w:szCs w:val="14"/>
                <w:color w:val="auto"/>
              </w:rPr>
              <w:t>ORTH</w:t>
            </w:r>
            <w:r>
              <w:rPr>
                <w:rFonts w:ascii="Arial" w:cs="Arial" w:eastAsia="Arial" w:hAnsi="Arial"/>
                <w:sz w:val="18"/>
                <w:szCs w:val="18"/>
                <w:color w:val="auto"/>
              </w:rPr>
              <w:t xml:space="preserve"> S</w:t>
            </w:r>
            <w:r>
              <w:rPr>
                <w:rFonts w:ascii="Arial" w:cs="Arial" w:eastAsia="Arial" w:hAnsi="Arial"/>
                <w:sz w:val="14"/>
                <w:szCs w:val="14"/>
                <w:color w:val="auto"/>
              </w:rPr>
              <w:t>COTTSDALE</w:t>
            </w:r>
            <w:r>
              <w:rPr>
                <w:rFonts w:ascii="Arial" w:cs="Arial" w:eastAsia="Arial" w:hAnsi="Arial"/>
                <w:sz w:val="18"/>
                <w:szCs w:val="18"/>
                <w:color w:val="auto"/>
              </w:rPr>
              <w:t xml:space="preserve"> R</w:t>
            </w:r>
            <w:r>
              <w:rPr>
                <w:rFonts w:ascii="Arial" w:cs="Arial" w:eastAsia="Arial" w:hAnsi="Arial"/>
                <w:sz w:val="14"/>
                <w:szCs w:val="14"/>
                <w:color w:val="auto"/>
              </w:rPr>
              <w:t>D</w:t>
            </w:r>
            <w:r>
              <w:rPr>
                <w:rFonts w:ascii="Arial" w:cs="Arial" w:eastAsia="Arial" w:hAnsi="Arial"/>
                <w:sz w:val="18"/>
                <w:szCs w:val="18"/>
                <w:color w:val="auto"/>
              </w:rPr>
              <w:t>.</w:t>
            </w: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COTTSDALE</w:t>
            </w:r>
            <w:r>
              <w:rPr>
                <w:rFonts w:ascii="Arial" w:cs="Arial" w:eastAsia="Arial" w:hAnsi="Arial"/>
                <w:sz w:val="18"/>
                <w:szCs w:val="18"/>
                <w:color w:val="auto"/>
              </w:rPr>
              <w:t>, AZ 85255</w:t>
            </w:r>
          </w:p>
        </w:tc>
        <w:tc>
          <w:tcPr>
            <w:tcW w:w="3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Percentage of class held refers only to common equity, preferred equity and warrants held, if any.</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at December 31,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Brand Energy &amp; Infrastructure Services, Inc.</w:t>
      </w:r>
    </w:p>
    <w:p>
      <w:pPr>
        <w:spacing w:after="0" w:line="9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The company is a diversified provider of specialty services, including scaffolding, industrial coatings, insulation, refractory, and forming and shoring solutions, to North America’s energy markets. The company operates in five key energy sectors: refinery, petrochemical, oil sands, power generation and offshore oil and gas. Brand Energy also serves the commercial and infrastructure construction markets throughout North America and in strategic international regions.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Specialized Technology Resources,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a leader in the consumer testing and inspection market, as well as the leading global provider of solar encapsulants.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63" w:right="239" w:bottom="1440" w:gutter="0" w:footer="0" w:header="0"/>
        </w:sectPr>
      </w:pPr>
    </w:p>
    <w:bookmarkStart w:id="63" w:name="page64"/>
    <w:bookmarkEnd w:id="6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industry composition of the portfolio at fair value on September 30, 2007 and December 31, 2007 was as follows, excluding unearned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98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85"/>
              </w:rPr>
              <w:t>December 31,</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80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2007</w:t>
            </w:r>
          </w:p>
        </w:tc>
        <w:tc>
          <w:tcPr>
            <w:tcW w:w="1180" w:type="dxa"/>
            <w:vAlign w:val="bottom"/>
          </w:tcPr>
          <w:p>
            <w:pPr>
              <w:spacing w:after="0"/>
              <w:rPr>
                <w:sz w:val="14"/>
                <w:szCs w:val="14"/>
                <w:color w:val="auto"/>
              </w:rPr>
            </w:pPr>
          </w:p>
        </w:tc>
        <w:tc>
          <w:tcPr>
            <w:tcW w:w="8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Other Media</w:t>
            </w:r>
          </w:p>
        </w:tc>
        <w:tc>
          <w:tcPr>
            <w:tcW w:w="40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Healthcare, Education &amp; Childcare</w:t>
            </w:r>
          </w:p>
        </w:tc>
        <w:tc>
          <w:tcPr>
            <w:tcW w:w="4980" w:type="dxa"/>
            <w:vAlign w:val="bottom"/>
            <w:gridSpan w:val="3"/>
          </w:tcPr>
          <w:p>
            <w:pPr>
              <w:jc w:val="right"/>
              <w:ind w:right="118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 Plastics &amp; Rubber</w:t>
            </w:r>
          </w:p>
        </w:tc>
        <w:tc>
          <w:tcPr>
            <w:tcW w:w="49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Energy/Utilities</w:t>
            </w:r>
          </w:p>
        </w:tc>
        <w:tc>
          <w:tcPr>
            <w:tcW w:w="4980" w:type="dxa"/>
            <w:vAlign w:val="bottom"/>
            <w:gridSpan w:val="3"/>
          </w:tcPr>
          <w:p>
            <w:pPr>
              <w:jc w:val="right"/>
              <w:ind w:right="1180"/>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49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4980" w:type="dxa"/>
            <w:vAlign w:val="bottom"/>
            <w:gridSpan w:val="3"/>
          </w:tcPr>
          <w:p>
            <w:pPr>
              <w:jc w:val="right"/>
              <w:ind w:right="1180"/>
              <w:spacing w:after="0"/>
              <w:rPr>
                <w:sz w:val="20"/>
                <w:szCs w:val="20"/>
                <w:color w:val="auto"/>
              </w:rPr>
            </w:pPr>
            <w:r>
              <w:rPr>
                <w:rFonts w:ascii="Arial" w:cs="Arial" w:eastAsia="Arial" w:hAnsi="Arial"/>
                <w:sz w:val="18"/>
                <w:szCs w:val="18"/>
                <w:color w:val="auto"/>
              </w:rPr>
              <w:t>6</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49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4980" w:type="dxa"/>
            <w:vAlign w:val="bottom"/>
            <w:gridSpan w:val="3"/>
          </w:tcPr>
          <w:p>
            <w:pPr>
              <w:jc w:val="right"/>
              <w:ind w:right="1180"/>
              <w:spacing w:after="0"/>
              <w:rPr>
                <w:sz w:val="20"/>
                <w:szCs w:val="20"/>
                <w:color w:val="auto"/>
              </w:rPr>
            </w:pPr>
            <w:r>
              <w:rPr>
                <w:rFonts w:ascii="Arial" w:cs="Arial" w:eastAsia="Arial" w:hAnsi="Arial"/>
                <w:sz w:val="18"/>
                <w:szCs w:val="18"/>
                <w:color w:val="auto"/>
              </w:rPr>
              <w:t>5</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Home and Office Furnishings, Housewares, &amp; Durable Consumer Products</w:t>
            </w:r>
          </w:p>
        </w:tc>
        <w:tc>
          <w:tcPr>
            <w:tcW w:w="49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Leisure, Amusement, Motion Pictures, Entertainment</w:t>
            </w:r>
          </w:p>
        </w:tc>
        <w:tc>
          <w:tcPr>
            <w:tcW w:w="4980" w:type="dxa"/>
            <w:vAlign w:val="bottom"/>
            <w:gridSpan w:val="3"/>
          </w:tcPr>
          <w:p>
            <w:pPr>
              <w:jc w:val="right"/>
              <w:ind w:right="1180"/>
              <w:spacing w:after="0"/>
              <w:rPr>
                <w:sz w:val="20"/>
                <w:szCs w:val="20"/>
                <w:color w:val="auto"/>
              </w:rPr>
            </w:pPr>
            <w:r>
              <w:rPr>
                <w:rFonts w:ascii="Arial" w:cs="Arial" w:eastAsia="Arial" w:hAnsi="Arial"/>
                <w:sz w:val="18"/>
                <w:szCs w:val="18"/>
                <w:color w:val="auto"/>
              </w:rPr>
              <w:t>5</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Broadcasting and Entertainment</w:t>
            </w:r>
          </w:p>
        </w:tc>
        <w:tc>
          <w:tcPr>
            <w:tcW w:w="49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Cable Television</w:t>
            </w:r>
          </w:p>
        </w:tc>
        <w:tc>
          <w:tcPr>
            <w:tcW w:w="4980" w:type="dxa"/>
            <w:vAlign w:val="bottom"/>
            <w:gridSpan w:val="3"/>
          </w:tcPr>
          <w:p>
            <w:pPr>
              <w:jc w:val="right"/>
              <w:ind w:right="1180"/>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Store</w:t>
            </w:r>
          </w:p>
        </w:tc>
        <w:tc>
          <w:tcPr>
            <w:tcW w:w="49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4980" w:type="dxa"/>
            <w:vAlign w:val="bottom"/>
            <w:gridSpan w:val="3"/>
          </w:tcPr>
          <w:p>
            <w:pPr>
              <w:jc w:val="right"/>
              <w:ind w:right="1180"/>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49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4980" w:type="dxa"/>
            <w:vAlign w:val="bottom"/>
            <w:gridSpan w:val="3"/>
          </w:tcPr>
          <w:p>
            <w:pPr>
              <w:jc w:val="right"/>
              <w:ind w:right="1180"/>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Containers, Packaging and Glass</w:t>
            </w:r>
          </w:p>
        </w:tc>
        <w:tc>
          <w:tcPr>
            <w:tcW w:w="49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Media</w:t>
            </w:r>
          </w:p>
        </w:tc>
        <w:tc>
          <w:tcPr>
            <w:tcW w:w="4980" w:type="dxa"/>
            <w:vAlign w:val="bottom"/>
            <w:gridSpan w:val="3"/>
          </w:tcPr>
          <w:p>
            <w:pPr>
              <w:jc w:val="right"/>
              <w:ind w:right="1180"/>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Utilities</w:t>
            </w:r>
          </w:p>
        </w:tc>
        <w:tc>
          <w:tcPr>
            <w:tcW w:w="49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Manufacturing / Basic Industries</w:t>
            </w:r>
          </w:p>
        </w:tc>
        <w:tc>
          <w:tcPr>
            <w:tcW w:w="4980" w:type="dxa"/>
            <w:vAlign w:val="bottom"/>
            <w:gridSpan w:val="3"/>
          </w:tcPr>
          <w:p>
            <w:pPr>
              <w:jc w:val="right"/>
              <w:ind w:right="118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9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4980" w:type="dxa"/>
            <w:vAlign w:val="bottom"/>
            <w:gridSpan w:val="3"/>
          </w:tcPr>
          <w:p>
            <w:pPr>
              <w:jc w:val="right"/>
              <w:ind w:right="118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&amp; Defense</w:t>
            </w:r>
          </w:p>
        </w:tc>
        <w:tc>
          <w:tcPr>
            <w:tcW w:w="30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Total Investments</w:t>
            </w:r>
          </w:p>
        </w:tc>
        <w:tc>
          <w:tcPr>
            <w:tcW w:w="4980" w:type="dxa"/>
            <w:vAlign w:val="bottom"/>
            <w:gridSpan w:val="3"/>
          </w:tcPr>
          <w:p>
            <w:pPr>
              <w:jc w:val="right"/>
              <w:ind w:right="104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0" w:type="dxa"/>
            <w:vAlign w:val="bottom"/>
            <w:vMerge w:val="restart"/>
          </w:tcPr>
          <w:p>
            <w:pPr>
              <w:jc w:val="right"/>
              <w:ind w:right="2573"/>
              <w:spacing w:after="0"/>
              <w:rPr>
                <w:sz w:val="20"/>
                <w:szCs w:val="20"/>
                <w:color w:val="auto"/>
              </w:rPr>
            </w:pPr>
            <w:r>
              <w:rPr>
                <w:rFonts w:ascii="Arial" w:cs="Arial" w:eastAsia="Arial" w:hAnsi="Arial"/>
                <w:sz w:val="18"/>
                <w:szCs w:val="18"/>
                <w:color w:val="auto"/>
              </w:rPr>
              <w:t>60</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as defined in Section 2(a)(19) of the 1940 Act. We refer to these individuals as our independent directors. Our board of directors elects our officers, who serve at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Under our charter, our directors are divided into three classes. Each class of directors holds office for a three-year term. However, the initial members of classes II and III have initial terms of two and three years, respectively.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Director</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0"/>
              </w:rPr>
              <w:t>Expiration</w:t>
            </w:r>
          </w:p>
        </w:tc>
      </w:t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4820" w:type="dxa"/>
            <w:vAlign w:val="bottom"/>
            <w:gridSpan w:val="3"/>
          </w:tcPr>
          <w:p>
            <w:pPr>
              <w:ind w:left="340"/>
              <w:spacing w:after="0"/>
              <w:rPr>
                <w:sz w:val="20"/>
                <w:szCs w:val="20"/>
                <w:color w:val="auto"/>
              </w:rPr>
            </w:pPr>
            <w:r>
              <w:rPr>
                <w:rFonts w:ascii="Arial" w:cs="Arial" w:eastAsia="Arial" w:hAnsi="Arial"/>
                <w:sz w:val="14"/>
                <w:szCs w:val="14"/>
                <w:b w:val="1"/>
                <w:bCs w:val="1"/>
                <w:color w:val="auto"/>
              </w:rPr>
              <w:t>Position</w:t>
            </w: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Since</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of Term</w:t>
            </w:r>
          </w:p>
        </w:tc>
      </w:tr>
      <w:tr>
        <w:trPr>
          <w:trHeight w:val="20"/>
        </w:trPr>
        <w:tc>
          <w:tcPr>
            <w:tcW w:w="38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01"/>
        </w:trPr>
        <w:tc>
          <w:tcPr>
            <w:tcW w:w="49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44</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2009</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40</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45</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2009</w:t>
            </w: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318"/>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44</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Chairman of Board and Chief Executive Officer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2010</w:t>
            </w:r>
          </w:p>
        </w:tc>
      </w:tr>
    </w:tbl>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address for each director is 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our executive officers who are not directors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2160" w:type="dxa"/>
            <w:vAlign w:val="bottom"/>
            <w:gridSpan w:val="3"/>
          </w:tcPr>
          <w:p>
            <w:pPr>
              <w:ind w:left="340"/>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Aviv</w:t>
            </w:r>
          </w:p>
        </w:tc>
        <w:tc>
          <w:tcPr>
            <w:tcW w:w="4540" w:type="dxa"/>
            <w:vAlign w:val="bottom"/>
          </w:tcPr>
          <w:p>
            <w:pPr>
              <w:ind w:left="20"/>
              <w:spacing w:after="0" w:line="201" w:lineRule="exact"/>
              <w:rPr>
                <w:sz w:val="20"/>
                <w:szCs w:val="20"/>
                <w:color w:val="auto"/>
              </w:rPr>
            </w:pPr>
            <w:r>
              <w:rPr>
                <w:rFonts w:ascii="Arial" w:cs="Arial" w:eastAsia="Arial" w:hAnsi="Arial"/>
                <w:sz w:val="18"/>
                <w:szCs w:val="18"/>
                <w:color w:val="auto"/>
              </w:rPr>
              <w:t>Efrat</w:t>
            </w:r>
          </w:p>
        </w:tc>
        <w:tc>
          <w:tcPr>
            <w:tcW w:w="2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43</w:t>
            </w:r>
          </w:p>
        </w:tc>
        <w:tc>
          <w:tcPr>
            <w:tcW w:w="34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w:t>
            </w:r>
          </w:p>
        </w:tc>
        <w:tc>
          <w:tcPr>
            <w:tcW w:w="1340" w:type="dxa"/>
            <w:vAlign w:val="bottom"/>
          </w:tcPr>
          <w:p>
            <w:pPr>
              <w:spacing w:after="0" w:line="201" w:lineRule="exact"/>
              <w:rPr>
                <w:sz w:val="20"/>
                <w:szCs w:val="20"/>
                <w:color w:val="auto"/>
              </w:rPr>
            </w:pPr>
            <w:r>
              <w:rPr>
                <w:rFonts w:ascii="Arial" w:cs="Arial" w:eastAsia="Arial" w:hAnsi="Arial"/>
                <w:sz w:val="18"/>
                <w:szCs w:val="18"/>
                <w:color w:val="auto"/>
              </w:rPr>
              <w:t>Financial Officer</w:t>
            </w: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Matthew Hardin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46</w:t>
            </w:r>
          </w:p>
        </w:tc>
        <w:tc>
          <w:tcPr>
            <w:tcW w:w="2160" w:type="dxa"/>
            <w:vAlign w:val="bottom"/>
            <w:gridSpan w:val="3"/>
          </w:tcPr>
          <w:p>
            <w:pPr>
              <w:ind w:left="340"/>
              <w:spacing w:after="0"/>
              <w:rPr>
                <w:sz w:val="20"/>
                <w:szCs w:val="20"/>
                <w:color w:val="auto"/>
              </w:rPr>
            </w:pPr>
            <w:r>
              <w:rPr>
                <w:rFonts w:ascii="Arial" w:cs="Arial" w:eastAsia="Arial" w:hAnsi="Arial"/>
                <w:sz w:val="18"/>
                <w:szCs w:val="18"/>
                <w:color w:val="auto"/>
                <w:w w:val="89"/>
              </w:rPr>
              <w:t>Chief Compliance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address for each executive officer is 590 Madison Avenue, 15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New York, New York 10022, or by telephone at (212) 905-1000.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directors have been divided into two groups—interested directors and independent directors. Interested directors are “interested persons” as defined in the 1940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Adam K. Bernstein (44), Director. Mr. Bernstein became a director of PennantPark in February 2007. Mr. Bernstein is currently President of The Bernstein Companies, a Washington, D.C.-based real estate firm which he founded in 1985.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65" w:name="page66"/>
    <w:bookmarkEnd w:id="65"/>
    <w:p>
      <w:pPr>
        <w:ind w:right="1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Marshall Brozost (40), Director. Mr. Brozost became a director of PennantPark in February 2007.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Jeffrey Flug (45), Director. Mr. Flug became a director of PennantPark in February 2007. Mr. Flug has been the Chief Executive Officer and Executive Director of Millennium Promise Alliance, Inc. since 2006. Millennium Promise is a non-profit organization whose mission is to eradicate extreme global poverty. Prior to joining Millennium Promise, Mr. Flug was Managing Director and Head of North American Institutional Sales at JP Morgan’s Investment Bank from 2000 to 2006. From 1988 to 2000, Mr. Flug was Managing Director for Goldman Sachs &amp; Co. in its Fixed Income Division.</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Samuel L. Katz (42), Director. Mr. Katz became a director of PennantPark in February 2007.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Arthur H. Penn (44) Founder, Chief Executive Officer and Chairman of the Board of Directors. Mr. Penn became the chief executive officer and a director of PennantPark at its inception in January 2007.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who are not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Aviv Efrat (43), Chief Financial Officer and Treasurer. Mr. Efrat joined PennantPark in February 2007 as its Chief Financial Officer and Treasurer.</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Mr. Efrat is also a Managing Director of PennantPark Investment Administration, LLC. Mr. Efrat was a Director at BlackRock, Inc., a leading investment firm,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 Mr. Efrat earned his B.S. in Economics from Bringham Young University in 1991 and an M.B.A. from New York University in 1999.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Matthew Hardin (46) Chief Compliance Officer. Mr. Hardin became PennantPark’s Chief Compliance Officer in August 2007. From 1999 to 2006</w:t>
      </w:r>
    </w:p>
    <w:p>
      <w:pPr>
        <w:spacing w:after="0" w:line="3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Mr. Hardin was Chief Broker-Dealer Counsel at the PNC Financial Services Group, Inc. responsible for Registered Investment Advisers, regulatory examinations and compliance oversights. From 1993 to 1999 Mr. Hardin was Corporate Counsel and General Counsel for Federated Investors and for Banc One Corporation, respectively, responsible for Mutual Funds. From 1989 to 1992 Mr. Hardin was Senior Counsel for the SEC.</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80"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Committees of the Board of Directors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the fiscal year ended September 30, 2007, we held six board meetings, three Audit Committee meetings and one Nominating and Corporate Governance Committee meeting. All directors attended at least 75% of the aggregate number of meetings of the board of directors and of the respective committees on which they served. We require each director to make a diligent effort to attend all board and committee meetings and encourage directors to attend the annual meeting of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NASDAQ corporate governance regulations. Mr. Flug serves as 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and recommending to the Board of Directors whether the audited financial statements should be included in the Company’s annual report on Form 10-K; reviewing and discussing with management and the auditors the Company’s quarterly financial statements prior to the filings of its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debt and equity securities that are not publicly traded or for which current market values are not readily available. The board of directors and Audit Committee may use the services of nationally recognized independent valuation firms to help them determine the fair value of these securities. The Company’s Board of Directors has determined that Mr. Flug is our “Audit Committee financial expert” as that term is defined under Item 401 of Regulation S-K under the Securities Exchange Act of 1934, as amended (the “Exchange Act”). The Audit Committee Charter is available on the Company’s website: http://www.pennantpark.com.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members of the Nominating and Corporate Governance Committee are Messrs. Bernstein, Brozost, Flug and Katz, each of whom is independent for purposes of the 1940 Act and the corporate governance regulations of the NASDAQ Global Market.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 The Nominating and Corporate Governance Committee has adopted a written Nominating and Corporate Governance Committee Charter that is available on the Company’s website: http://www.pennantpark.com.</w:t>
      </w:r>
    </w:p>
    <w:p>
      <w:pPr>
        <w:spacing w:after="0" w:line="14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current directorships on publicly held companies and investment companies; number of shares of the Company’s common stock owned, if any; and, a written consent of the individual to stand for election if nominated by the Board of Directors and to serve if elected by the stockholders.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274" w:right="279" w:bottom="1440" w:gutter="0" w:footer="0" w:header="0"/>
        </w:sectPr>
      </w:pPr>
    </w:p>
    <w:bookmarkStart w:id="67" w:name="page68"/>
    <w:bookmarkEnd w:id="67"/>
    <w:p>
      <w:pPr>
        <w:ind w:right="10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Criteria considered by the Nominating and Corporate Governance Committee in evaluating the qualifications of individuals for election as members of the Board of Directors include compliance with the independence and other applicable requirements of the NASDAQ Listing Standards and the 1940 Act, and all other applicable laws, rules, regulations and listing standards, the criteria, policies and principles set forth in the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also may consider such other factors as it may deem are in the best interests of the Company and its stockholders. The Board of Directors also believes it is appropriate for a key member of the Company’s management to participate as a member of the Board of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 compensation committee because our executive officers do not receive compensation from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2007. No compensation is paid by us to any interested director or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2"/>
              </w:rPr>
              <w:t>Pension or</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retirement</w:t>
            </w: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1"/>
        </w:trPr>
        <w:tc>
          <w:tcPr>
            <w:tcW w:w="38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1"/>
              </w:rPr>
              <w:t>benefits</w:t>
            </w:r>
          </w:p>
        </w:tc>
        <w:tc>
          <w:tcPr>
            <w:tcW w:w="4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38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accrued as</w:t>
            </w:r>
          </w:p>
        </w:tc>
        <w:tc>
          <w:tcPr>
            <w:tcW w:w="4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paid to</w:t>
            </w:r>
          </w:p>
        </w:tc>
      </w:tr>
      <w:tr>
        <w:trPr>
          <w:trHeight w:val="149"/>
        </w:trPr>
        <w:tc>
          <w:tcPr>
            <w:tcW w:w="38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from the</w:t>
            </w:r>
          </w:p>
        </w:tc>
        <w:tc>
          <w:tcPr>
            <w:tcW w:w="4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part of our</w:t>
            </w:r>
          </w:p>
        </w:tc>
        <w:tc>
          <w:tcPr>
            <w:tcW w:w="4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director /</w:t>
            </w:r>
          </w:p>
        </w:tc>
      </w:tr>
      <w:tr>
        <w:trPr>
          <w:trHeight w:val="176"/>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18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44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4"/>
              </w:rPr>
              <w:t>expense</w:t>
            </w:r>
            <w:r>
              <w:rPr>
                <w:rFonts w:ascii="Arial" w:cs="Arial" w:eastAsia="Arial" w:hAnsi="Arial"/>
                <w:sz w:val="20"/>
                <w:szCs w:val="20"/>
                <w:b w:val="1"/>
                <w:bCs w:val="1"/>
                <w:color w:val="auto"/>
                <w:w w:val="84"/>
                <w:vertAlign w:val="superscript"/>
              </w:rPr>
              <w:t>(1)</w:t>
            </w:r>
          </w:p>
        </w:tc>
        <w:tc>
          <w:tcPr>
            <w:tcW w:w="44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officer</w:t>
            </w:r>
          </w:p>
        </w:tc>
      </w:tr>
      <w:tr>
        <w:trPr>
          <w:trHeight w:val="201"/>
        </w:trPr>
        <w:tc>
          <w:tcPr>
            <w:tcW w:w="85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6"/>
        </w:trPr>
        <w:tc>
          <w:tcPr>
            <w:tcW w:w="38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800" w:type="dxa"/>
            <w:vAlign w:val="bottom"/>
          </w:tcPr>
          <w:p>
            <w:pPr>
              <w:jc w:val="right"/>
              <w:spacing w:after="0"/>
              <w:rPr>
                <w:sz w:val="20"/>
                <w:szCs w:val="20"/>
                <w:color w:val="auto"/>
              </w:rPr>
            </w:pPr>
            <w:r>
              <w:rPr>
                <w:rFonts w:ascii="Arial" w:cs="Arial" w:eastAsia="Arial" w:hAnsi="Arial"/>
                <w:sz w:val="18"/>
                <w:szCs w:val="18"/>
                <w:color w:val="auto"/>
              </w:rPr>
              <w:t>29,375</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29,375</w:t>
            </w:r>
          </w:p>
        </w:tc>
      </w:tr>
      <w:tr>
        <w:trPr>
          <w:trHeight w:val="216"/>
        </w:trPr>
        <w:tc>
          <w:tcPr>
            <w:tcW w:w="38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Marshall Brozost</w:t>
            </w:r>
          </w:p>
        </w:tc>
        <w:tc>
          <w:tcPr>
            <w:tcW w:w="800" w:type="dxa"/>
            <w:vAlign w:val="bottom"/>
          </w:tcPr>
          <w:p>
            <w:pPr>
              <w:jc w:val="right"/>
              <w:spacing w:after="0"/>
              <w:rPr>
                <w:sz w:val="20"/>
                <w:szCs w:val="20"/>
                <w:color w:val="auto"/>
              </w:rPr>
            </w:pPr>
            <w:r>
              <w:rPr>
                <w:rFonts w:ascii="Arial" w:cs="Arial" w:eastAsia="Arial" w:hAnsi="Arial"/>
                <w:sz w:val="18"/>
                <w:szCs w:val="18"/>
                <w:color w:val="auto"/>
              </w:rPr>
              <w:t>29,375</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29,375</w:t>
            </w:r>
          </w:p>
        </w:tc>
      </w:tr>
      <w:tr>
        <w:trPr>
          <w:trHeight w:val="216"/>
        </w:trPr>
        <w:tc>
          <w:tcPr>
            <w:tcW w:w="38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800" w:type="dxa"/>
            <w:vAlign w:val="bottom"/>
          </w:tcPr>
          <w:p>
            <w:pPr>
              <w:jc w:val="right"/>
              <w:spacing w:after="0"/>
              <w:rPr>
                <w:sz w:val="20"/>
                <w:szCs w:val="20"/>
                <w:color w:val="auto"/>
              </w:rPr>
            </w:pPr>
            <w:r>
              <w:rPr>
                <w:rFonts w:ascii="Arial" w:cs="Arial" w:eastAsia="Arial" w:hAnsi="Arial"/>
                <w:sz w:val="18"/>
                <w:szCs w:val="18"/>
                <w:color w:val="auto"/>
              </w:rPr>
              <w:t>30,625</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30,625</w:t>
            </w:r>
          </w:p>
        </w:tc>
      </w:tr>
      <w:tr>
        <w:trPr>
          <w:trHeight w:val="210"/>
        </w:trPr>
        <w:tc>
          <w:tcPr>
            <w:tcW w:w="38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Samuel L. Katz</w:t>
            </w:r>
          </w:p>
        </w:tc>
        <w:tc>
          <w:tcPr>
            <w:tcW w:w="800" w:type="dxa"/>
            <w:vAlign w:val="bottom"/>
          </w:tcPr>
          <w:p>
            <w:pPr>
              <w:jc w:val="right"/>
              <w:spacing w:after="0"/>
              <w:rPr>
                <w:sz w:val="20"/>
                <w:szCs w:val="20"/>
                <w:color w:val="auto"/>
              </w:rPr>
            </w:pPr>
            <w:r>
              <w:rPr>
                <w:rFonts w:ascii="Arial" w:cs="Arial" w:eastAsia="Arial" w:hAnsi="Arial"/>
                <w:sz w:val="18"/>
                <w:szCs w:val="18"/>
                <w:color w:val="auto"/>
              </w:rPr>
              <w:t>28,750</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28,750</w:t>
            </w:r>
          </w:p>
        </w:tc>
      </w:tr>
      <w:tr>
        <w:trPr>
          <w:trHeight w:val="222"/>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10"/>
        </w:trPr>
        <w:tc>
          <w:tcPr>
            <w:tcW w:w="38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Arthur H. Penn</w:t>
            </w:r>
          </w:p>
        </w:tc>
        <w:tc>
          <w:tcPr>
            <w:tcW w:w="80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222"/>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8180" w:type="dxa"/>
            <w:vAlign w:val="bottom"/>
          </w:tcPr>
          <w:p>
            <w:pPr>
              <w:ind w:left="60"/>
              <w:spacing w:after="0" w:line="217" w:lineRule="exact"/>
              <w:rPr>
                <w:sz w:val="20"/>
                <w:szCs w:val="20"/>
                <w:color w:val="auto"/>
              </w:rPr>
            </w:pPr>
            <w:r>
              <w:rPr>
                <w:rFonts w:ascii="Arial" w:cs="Arial" w:eastAsia="Arial" w:hAnsi="Arial"/>
                <w:sz w:val="18"/>
                <w:szCs w:val="18"/>
                <w:color w:val="auto"/>
              </w:rPr>
              <w:t>Aviv Eftrat</w:t>
            </w:r>
            <w:r>
              <w:rPr>
                <w:rFonts w:ascii="Arial" w:cs="Arial" w:eastAsia="Arial" w:hAnsi="Arial"/>
                <w:sz w:val="22"/>
                <w:szCs w:val="22"/>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222"/>
        </w:trPr>
        <w:tc>
          <w:tcPr>
            <w:tcW w:w="380" w:type="dxa"/>
            <w:vAlign w:val="bottom"/>
          </w:tcPr>
          <w:p>
            <w:pPr>
              <w:spacing w:after="0"/>
              <w:rPr>
                <w:sz w:val="19"/>
                <w:szCs w:val="19"/>
                <w:color w:val="auto"/>
              </w:rPr>
            </w:pPr>
          </w:p>
        </w:tc>
        <w:tc>
          <w:tcPr>
            <w:tcW w:w="8180" w:type="dxa"/>
            <w:vAlign w:val="bottom"/>
          </w:tcPr>
          <w:p>
            <w:pPr>
              <w:ind w:left="60"/>
              <w:spacing w:after="0"/>
              <w:rPr>
                <w:sz w:val="20"/>
                <w:szCs w:val="20"/>
                <w:color w:val="auto"/>
              </w:rPr>
            </w:pPr>
            <w:r>
              <w:rPr>
                <w:rFonts w:ascii="Arial" w:cs="Arial" w:eastAsia="Arial" w:hAnsi="Arial"/>
                <w:sz w:val="18"/>
                <w:szCs w:val="18"/>
                <w:color w:val="auto"/>
              </w:rPr>
              <w:t>Matthew Hardin</w:t>
            </w:r>
          </w:p>
        </w:tc>
        <w:tc>
          <w:tcPr>
            <w:tcW w:w="80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Independent directors each receive an annual fee of $75,000.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the Chairman of the Audit Committee receives an annual fee of $7,500 and each chairman/co-chairman of any other committee receives an annual fee of $2,500 for their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CONTROL PERSONS AND PRINCIPAL STOCKHOLDERS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December 31, 2007, to our knowledge, no person would be deemed to control us, as such term is defined in the Investment Company Act of 1940, as amended (the “1940 Act”).</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directors consist of an interested director and independent directors. An interested director is an “interested person” of the Company, as defined in the 1940 Act.</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table sets forth, as of December 31, 2007,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7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Type of ownership</w:t>
            </w:r>
            <w:r>
              <w:rPr>
                <w:rFonts w:ascii="Arial" w:cs="Arial" w:eastAsia="Arial" w:hAnsi="Arial"/>
                <w:sz w:val="22"/>
                <w:szCs w:val="22"/>
                <w:b w:val="1"/>
                <w:bCs w:val="1"/>
                <w:color w:val="auto"/>
                <w:w w:val="84"/>
                <w:vertAlign w:val="superscript"/>
              </w:rPr>
              <w:t>(4)</w:t>
            </w:r>
          </w:p>
        </w:tc>
        <w:tc>
          <w:tcPr>
            <w:tcW w:w="460" w:type="dxa"/>
            <w:vAlign w:val="bottom"/>
          </w:tcPr>
          <w:p>
            <w:pPr>
              <w:spacing w:after="0"/>
              <w:rPr>
                <w:sz w:val="12"/>
                <w:szCs w:val="12"/>
                <w:color w:val="auto"/>
              </w:rPr>
            </w:pPr>
          </w:p>
        </w:tc>
        <w:tc>
          <w:tcPr>
            <w:tcW w:w="11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Shares</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0" w:type="dxa"/>
            <w:vAlign w:val="bottom"/>
          </w:tcPr>
          <w:p>
            <w:pPr>
              <w:spacing w:after="0"/>
              <w:rPr>
                <w:sz w:val="1"/>
                <w:szCs w:val="1"/>
                <w:color w:val="auto"/>
              </w:rPr>
            </w:pPr>
          </w:p>
        </w:tc>
      </w:tr>
      <w:tr>
        <w:trPr>
          <w:trHeight w:val="161"/>
        </w:trPr>
        <w:tc>
          <w:tcPr>
            <w:tcW w:w="7500" w:type="dxa"/>
            <w:vAlign w:val="bottom"/>
            <w:gridSpan w:val="3"/>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owned</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UBS AG</w:t>
            </w:r>
          </w:p>
        </w:tc>
        <w:tc>
          <w:tcPr>
            <w:tcW w:w="624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c/o UBS Global Asset Management (Americas), Inc.</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Beneficial</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2,512,324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North Wacker</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Chicago, Illinois 60606</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Adam K. Bernstein</w:t>
            </w:r>
            <w:r>
              <w:rPr>
                <w:rFonts w:ascii="Arial" w:cs="Arial" w:eastAsia="Arial" w:hAnsi="Arial"/>
                <w:sz w:val="22"/>
                <w:szCs w:val="22"/>
                <w:color w:val="auto"/>
                <w:vertAlign w:val="superscript"/>
              </w:rPr>
              <w:t>(2)</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69,913</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Marshall Brozost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Record</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6,992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rPr>
              <w:t>Jeffrey Flug</w:t>
            </w: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Record</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69,913</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Samuel L. Katz</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Record</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10,487</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750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Arthur H. Penn</w:t>
            </w:r>
            <w:r>
              <w:rPr>
                <w:rFonts w:ascii="Arial" w:cs="Arial" w:eastAsia="Arial" w:hAnsi="Arial"/>
                <w:sz w:val="22"/>
                <w:szCs w:val="22"/>
                <w:color w:val="auto"/>
                <w:vertAlign w:val="superscript"/>
              </w:rPr>
              <w:t>(3)</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240,291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323"/>
        </w:trPr>
        <w:tc>
          <w:tcPr>
            <w:tcW w:w="750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w:t>
            </w: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Aviv Efrat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Record</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9,992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420"/>
              <w:spacing w:after="0"/>
              <w:rPr>
                <w:sz w:val="20"/>
                <w:szCs w:val="20"/>
                <w:color w:val="auto"/>
              </w:rPr>
            </w:pPr>
            <w:r>
              <w:rPr>
                <w:rFonts w:ascii="Arial" w:cs="Arial" w:eastAsia="Arial" w:hAnsi="Arial"/>
                <w:sz w:val="18"/>
                <w:szCs w:val="18"/>
                <w:color w:val="auto"/>
              </w:rPr>
              <w:t>Matthew Hardin</w:t>
            </w:r>
          </w:p>
        </w:tc>
        <w:tc>
          <w:tcPr>
            <w:tcW w:w="1280" w:type="dxa"/>
            <w:vAlign w:val="bottom"/>
          </w:tcPr>
          <w:p>
            <w:pPr>
              <w:ind w:left="5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Officers as a group (7 persons)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407,771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w:t>
      </w:r>
    </w:p>
    <w:p>
      <w:pPr>
        <w:spacing w:after="0" w:line="54"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Mr. Bernstein is the President of JAM Investments, LLC and may therefore be deemed to own beneficially the 61,593 shares held by JAM Investments,</w:t>
      </w:r>
    </w:p>
    <w:p>
      <w:pPr>
        <w:spacing w:after="0" w:line="2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LLC</w:t>
      </w:r>
    </w:p>
    <w:p>
      <w:pPr>
        <w:spacing w:after="0" w:line="70" w:lineRule="exact"/>
        <w:rPr>
          <w:rFonts w:ascii="Arial" w:cs="Arial" w:eastAsia="Arial" w:hAnsi="Arial"/>
          <w:sz w:val="16"/>
          <w:szCs w:val="16"/>
          <w:color w:val="auto"/>
        </w:rPr>
      </w:pPr>
    </w:p>
    <w:p>
      <w:pPr>
        <w:ind w:left="460" w:right="20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213,831 shares held by PennantPark Investment Advisers, LLC.</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77" w:lineRule="exact"/>
        <w:rPr>
          <w:sz w:val="20"/>
          <w:szCs w:val="20"/>
          <w:color w:val="auto"/>
        </w:rPr>
      </w:pPr>
    </w:p>
    <w:p>
      <w:pPr>
        <w:ind w:left="460" w:hanging="408"/>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Dollar Range of Securities Beneficially Owned by Director, Officers and Portfolio Managers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of our directors as of December 31, 2007. Information as to the beneficial ownerships based on information furnished to the company by such persons. We are not part of a “family of investment companies,” as that term is defined in the 1940 Act.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Directors of PennantPark</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7"/>
              </w:rPr>
              <w:t>Dollar Range of Equity Securities in PennantPark</w:t>
            </w:r>
            <w:r>
              <w:rPr>
                <w:rFonts w:ascii="Arial" w:cs="Arial" w:eastAsia="Arial" w:hAnsi="Arial"/>
                <w:sz w:val="22"/>
                <w:szCs w:val="22"/>
                <w:b w:val="1"/>
                <w:bCs w:val="1"/>
                <w:color w:val="auto"/>
                <w:w w:val="87"/>
                <w:vertAlign w:val="superscript"/>
              </w:rPr>
              <w:t>(1)</w:t>
            </w:r>
          </w:p>
        </w:tc>
      </w:tr>
      <w:tr>
        <w:trPr>
          <w:trHeight w:val="201"/>
        </w:trPr>
        <w:tc>
          <w:tcPr>
            <w:tcW w:w="1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w w:val="82"/>
              </w:rPr>
              <w:t>Independent directors</w:t>
            </w:r>
          </w:p>
        </w:tc>
        <w:tc>
          <w:tcPr>
            <w:tcW w:w="4480" w:type="dxa"/>
            <w:vAlign w:val="bottom"/>
          </w:tcPr>
          <w:p>
            <w:pPr>
              <w:spacing w:after="0"/>
              <w:rPr>
                <w:sz w:val="17"/>
                <w:szCs w:val="17"/>
                <w:color w:val="auto"/>
              </w:rPr>
            </w:pPr>
          </w:p>
        </w:tc>
        <w:tc>
          <w:tcPr>
            <w:tcW w:w="5360" w:type="dxa"/>
            <w:vAlign w:val="bottom"/>
            <w:tcBorders>
              <w:top w:val="single" w:sz="8" w:color="auto"/>
            </w:tcBorders>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5360" w:type="dxa"/>
            <w:vAlign w:val="bottom"/>
          </w:tcPr>
          <w:p>
            <w:pPr>
              <w:jc w:val="center"/>
              <w:spacing w:after="0" w:line="217" w:lineRule="exact"/>
              <w:rPr>
                <w:sz w:val="20"/>
                <w:szCs w:val="20"/>
                <w:color w:val="auto"/>
              </w:rPr>
            </w:pPr>
            <w:r>
              <w:rPr>
                <w:rFonts w:ascii="Arial" w:cs="Arial" w:eastAsia="Arial" w:hAnsi="Arial"/>
                <w:sz w:val="18"/>
                <w:szCs w:val="18"/>
                <w:color w:val="auto"/>
                <w:w w:val="86"/>
              </w:rPr>
              <w:t>$500,001 - $1,000,000</w:t>
            </w:r>
            <w:r>
              <w:rPr>
                <w:rFonts w:ascii="Arial" w:cs="Arial" w:eastAsia="Arial" w:hAnsi="Arial"/>
                <w:sz w:val="22"/>
                <w:szCs w:val="22"/>
                <w:color w:val="auto"/>
                <w:w w:val="86"/>
                <w:vertAlign w:val="superscript"/>
              </w:rPr>
              <w:t>(2)</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$50,001 - $100,000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directors</w:t>
            </w:r>
          </w:p>
        </w:tc>
        <w:tc>
          <w:tcPr>
            <w:tcW w:w="5360" w:type="dxa"/>
            <w:vAlign w:val="bottom"/>
          </w:tcPr>
          <w:p>
            <w:pPr>
              <w:spacing w:after="0"/>
              <w:rPr>
                <w:sz w:val="24"/>
                <w:szCs w:val="24"/>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Over $1,000,000(3)</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 who are not directors</w:t>
            </w:r>
          </w:p>
        </w:tc>
        <w:tc>
          <w:tcPr>
            <w:tcW w:w="5360" w:type="dxa"/>
            <w:vAlign w:val="bottom"/>
          </w:tcPr>
          <w:p>
            <w:pPr>
              <w:spacing w:after="0"/>
              <w:rPr>
                <w:sz w:val="24"/>
                <w:szCs w:val="24"/>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Aviv Efrat</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Matthew Hardin</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Portfolio managers</w:t>
            </w:r>
          </w:p>
        </w:tc>
        <w:tc>
          <w:tcPr>
            <w:tcW w:w="5360" w:type="dxa"/>
            <w:vAlign w:val="bottom"/>
          </w:tcPr>
          <w:p>
            <w:pPr>
              <w:spacing w:after="0"/>
              <w:rPr>
                <w:sz w:val="24"/>
                <w:szCs w:val="24"/>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Geoffrey S. Chang</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Salvatore Giannetti III</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P. Whitridge Williams, Jr.</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PennantPark has entered into the Investment Management Agreement with the Investment Adviser under which the Investment Adviser, subject to the overall supervision of PennantPark Investment’s board of directors, manages the day-to-day operations of and provides investment advisory services to, PennantPark. Under the terms of our Investment Management Agreement, PennantPark Investment Advisers:</w:t>
      </w:r>
    </w:p>
    <w:p>
      <w:pPr>
        <w:spacing w:after="0" w:line="26"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PennantPark Investment Advisers’ services under our Investment Management Agreement are not exclusive, and it is free to furnish similar services to other entities so long as its services to us are not impaired. The Investment Adviser has not yet undertaken any such services, but may do so at any time and without the prior approval of our stockholders or our board of directors. Our board of directors would monitor any potential conflicts that may arise upon such a development. For providing these services, the Investment Adviser receives a fee from PennantPark, consisting of two components—a base management fee and an incentive fee (collectively, “Management Fees”).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40" w:firstLine="456"/>
        <w:spacing w:after="0" w:line="303" w:lineRule="auto"/>
        <w:rPr>
          <w:sz w:val="20"/>
          <w:szCs w:val="20"/>
          <w:color w:val="auto"/>
        </w:rPr>
      </w:pPr>
      <w:r>
        <w:rPr>
          <w:rFonts w:ascii="Arial" w:cs="Arial" w:eastAsia="Arial" w:hAnsi="Arial"/>
          <w:sz w:val="15"/>
          <w:szCs w:val="15"/>
          <w:color w:val="auto"/>
        </w:rPr>
        <w:t>The base management fee is calculated at an annual rate of 2.00% of our gross assets (net of U.S. Treasury Bills (“average adjusted gross total assets”)). Although the base management fee is 2.00% of our average adjusted gross total assets, the Investment Adviser waived a portion of the base management fee such that the base management fee equaled 1.50% from the consummation of the initial public offering through September 30, 2007. The base management fee is</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1.75% from October 1, 2007 through March 31, 2008. Our base management fee will be 2.00% after March 31, 2008. For services rendered under our Investment Management Agreement during the period commencing from the closing of the initial public offering through and including September 30, 2007, the base management fee was payable monthly in arrears. For services rendered under our Investment Management Agreement after September 30, 2007, the base management fee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 rated. For the three months ended December 31, 2007 and the period January 11, 2007 (inception) to September 30, 2007, the Investment Adviser earned a base management fee, after fee waiver, of $1.4 million and $1.9 million, respectively.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our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debt instruments with pay in kind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74" w:right="259" w:bottom="1440" w:gutter="0" w:footer="0" w:header="0"/>
        </w:sectPr>
      </w:pPr>
    </w:p>
    <w:bookmarkStart w:id="71" w:name="page72"/>
    <w:bookmarkEnd w:id="71"/>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and zero coupon securities), accrued income that we have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will be compared to a Hurdle of 1.75% per quarter (7.00% annualized). Our net investment income used to calculate this part of the incentive fee is also included in the amount of our average adjusted gross total assets used to calculate the 2.00% base management fee. We have agreed to pay PennantPark Investment Advisers an incentive fee with respect to our Pre-Incentive Fee Net Investment Income in each calendar quarter as follows:</w:t>
      </w:r>
    </w:p>
    <w:p>
      <w:pPr>
        <w:spacing w:after="0" w:line="39"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our Pre-Incentive Fee Net Investment Income does not exceed the Hurdle of 1.75%;</w:t>
      </w:r>
    </w:p>
    <w:p>
      <w:pPr>
        <w:spacing w:after="0" w:line="113" w:lineRule="exact"/>
        <w:rPr>
          <w:rFonts w:ascii="Arial" w:cs="Arial" w:eastAsia="Arial" w:hAnsi="Arial"/>
          <w:sz w:val="16"/>
          <w:szCs w:val="16"/>
          <w:color w:val="auto"/>
        </w:rPr>
      </w:pPr>
    </w:p>
    <w:p>
      <w:pPr>
        <w:ind w:left="900" w:right="300" w:hanging="325"/>
        <w:spacing w:after="0" w:line="255"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The “catch-up” is meant to provide our Investment Adviser with 20% of our Pre-Incentive Fee Net Investment Income as if a Hurdle did not apply if this net investment income exceeds 2.1875% in any calendar quarter; and</w:t>
      </w:r>
    </w:p>
    <w:p>
      <w:pPr>
        <w:spacing w:after="0" w:line="61"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 These calculations are appropriately pro rated for any period of less than three months and adjusted for any share issuances or repurchases during the current quarter.</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and management agreement, as of the termination date), commencing on December 31, 2007, and will equal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will be calculated for a period of shorter than twelve calendar months to take into account any realized capital gains computed net of all realized capital losses and unrealized capital depreciation from inception. For the three months ended December 31, 2007 and the period January 11, 2007 (inception) to September 30, 2007, the Investment Adviser earned approximately $447,000 and zero, respectively, in incentive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0.55%</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net investment income does not exceed Hurdle; therefore there is no incentive fee.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80"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05" w:lineRule="exact"/>
        <w:rPr>
          <w:sz w:val="20"/>
          <w:szCs w:val="20"/>
          <w:color w:val="auto"/>
        </w:rPr>
      </w:pPr>
    </w:p>
    <w:p>
      <w:pPr>
        <w:ind w:left="460"/>
        <w:spacing w:after="0"/>
        <w:tabs>
          <w:tab w:leader="none" w:pos="2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15" w:lineRule="exact"/>
        <w:rPr>
          <w:sz w:val="20"/>
          <w:szCs w:val="20"/>
          <w:color w:val="auto"/>
        </w:rPr>
      </w:pPr>
    </w:p>
    <w:p>
      <w:pPr>
        <w:ind w:left="2300" w:hanging="145"/>
        <w:spacing w:after="0"/>
        <w:tabs>
          <w:tab w:leader="none" w:pos="2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20% x Pre-Incentive Fee Net Investment Income, subject to “catch-up”</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100% x “catch-up” + (20% x (Pre-Incentive Fee Net Investment Income – 2.1875%))</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Catch-up = 2.1875% - 1.75%</w:t>
      </w:r>
    </w:p>
    <w:p>
      <w:pPr>
        <w:spacing w:after="0" w:line="90" w:lineRule="exact"/>
        <w:rPr>
          <w:sz w:val="20"/>
          <w:szCs w:val="20"/>
          <w:color w:val="auto"/>
        </w:rPr>
      </w:pPr>
    </w:p>
    <w:p>
      <w:pPr>
        <w:ind w:left="1040" w:hanging="137"/>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0.4375%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(100% x 0.4375%) + (20% x (2.3% - 2.1875%))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0.46%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11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20"/>
          </w:cols>
          <w:pgMar w:left="240" w:top="274" w:right="7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28"/>
        </w:trPr>
        <w:tc>
          <w:tcPr>
            <w:tcW w:w="2580" w:type="dxa"/>
            <w:vAlign w:val="bottom"/>
          </w:tcPr>
          <w:p>
            <w:pPr>
              <w:spacing w:after="0"/>
              <w:rPr>
                <w:sz w:val="20"/>
                <w:szCs w:val="20"/>
                <w:color w:val="auto"/>
              </w:rPr>
            </w:pPr>
            <w:r>
              <w:rPr>
                <w:rFonts w:ascii="Arial" w:cs="Arial" w:eastAsia="Arial" w:hAnsi="Arial"/>
                <w:sz w:val="18"/>
                <w:szCs w:val="18"/>
                <w:b w:val="1"/>
                <w:bCs w:val="1"/>
                <w:color w:val="auto"/>
              </w:rPr>
              <w:t>Management</w:t>
            </w:r>
          </w:p>
        </w:tc>
        <w:tc>
          <w:tcPr>
            <w:tcW w:w="1980" w:type="dxa"/>
            <w:vAlign w:val="bottom"/>
          </w:tcPr>
          <w:p>
            <w:pPr>
              <w:spacing w:after="0"/>
              <w:rPr>
                <w:sz w:val="19"/>
                <w:szCs w:val="19"/>
                <w:color w:val="auto"/>
              </w:rPr>
            </w:pPr>
          </w:p>
        </w:tc>
      </w:tr>
      <w:tr>
        <w:trPr>
          <w:trHeight w:val="291"/>
        </w:trPr>
        <w:tc>
          <w:tcPr>
            <w:tcW w:w="2580" w:type="dxa"/>
            <w:vAlign w:val="bottom"/>
          </w:tcPr>
          <w:p>
            <w:pPr>
              <w:ind w:left="460"/>
              <w:spacing w:after="0"/>
              <w:rPr>
                <w:sz w:val="20"/>
                <w:szCs w:val="20"/>
                <w:color w:val="auto"/>
              </w:rPr>
            </w:pPr>
            <w:r>
              <w:rPr>
                <w:rFonts w:ascii="Arial" w:cs="Arial" w:eastAsia="Arial" w:hAnsi="Arial"/>
                <w:sz w:val="18"/>
                <w:szCs w:val="18"/>
                <w:color w:val="auto"/>
              </w:rPr>
              <w:t>Year 1 incentive fee</w:t>
            </w:r>
          </w:p>
        </w:tc>
        <w:tc>
          <w:tcPr>
            <w:tcW w:w="1980" w:type="dxa"/>
            <w:vAlign w:val="bottom"/>
          </w:tcPr>
          <w:p>
            <w:pPr>
              <w:ind w:left="720"/>
              <w:spacing w:after="0"/>
              <w:rPr>
                <w:sz w:val="20"/>
                <w:szCs w:val="20"/>
                <w:color w:val="auto"/>
              </w:rPr>
            </w:pPr>
            <w:r>
              <w:rPr>
                <w:rFonts w:ascii="Arial" w:cs="Arial" w:eastAsia="Arial" w:hAnsi="Arial"/>
                <w:sz w:val="18"/>
                <w:szCs w:val="18"/>
                <w:color w:val="auto"/>
              </w:rPr>
              <w:t>= 20% x (0)</w:t>
            </w:r>
          </w:p>
        </w:tc>
      </w:tr>
      <w:tr>
        <w:trPr>
          <w:trHeight w:val="216"/>
        </w:trPr>
        <w:tc>
          <w:tcPr>
            <w:tcW w:w="2580" w:type="dxa"/>
            <w:vAlign w:val="bottom"/>
          </w:tcPr>
          <w:p>
            <w:pPr>
              <w:spacing w:after="0"/>
              <w:rPr>
                <w:sz w:val="18"/>
                <w:szCs w:val="18"/>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rPr>
              <w:t>= 0</w:t>
            </w:r>
          </w:p>
        </w:tc>
      </w:tr>
      <w:tr>
        <w:trPr>
          <w:trHeight w:val="222"/>
        </w:trPr>
        <w:tc>
          <w:tcPr>
            <w:tcW w:w="2580" w:type="dxa"/>
            <w:vAlign w:val="bottom"/>
          </w:tcPr>
          <w:p>
            <w:pPr>
              <w:spacing w:after="0"/>
              <w:rPr>
                <w:sz w:val="19"/>
                <w:szCs w:val="19"/>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w w:val="87"/>
              </w:rPr>
              <w:t>= no incentive fee</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spacing w:after="0"/>
        <w:tabs>
          <w:tab w:leader="none" w:pos="3280" w:val="left"/>
        </w:tabs>
        <w:rPr>
          <w:sz w:val="20"/>
          <w:szCs w:val="20"/>
          <w:color w:val="auto"/>
        </w:rPr>
      </w:pPr>
      <w:r>
        <w:rPr>
          <w:rFonts w:ascii="Arial" w:cs="Arial" w:eastAsia="Arial" w:hAnsi="Arial"/>
          <w:sz w:val="18"/>
          <w:szCs w:val="18"/>
          <w:color w:val="auto"/>
        </w:rPr>
        <w:t>Year 2 incentive fee</w:t>
      </w:r>
      <w:r>
        <w:rPr>
          <w:sz w:val="20"/>
          <w:szCs w:val="20"/>
          <w:color w:val="auto"/>
        </w:rPr>
        <w:tab/>
      </w:r>
      <w:r>
        <w:rPr>
          <w:rFonts w:ascii="Arial" w:cs="Arial" w:eastAsia="Arial" w:hAnsi="Arial"/>
          <w:sz w:val="16"/>
          <w:szCs w:val="16"/>
          <w:color w:val="auto"/>
        </w:rPr>
        <w:t>= 20% x (6% - 1%)</w:t>
      </w:r>
    </w:p>
    <w:p>
      <w:pPr>
        <w:spacing w:after="0" w:line="15" w:lineRule="exact"/>
        <w:rPr>
          <w:sz w:val="20"/>
          <w:szCs w:val="20"/>
          <w:color w:val="auto"/>
        </w:rPr>
      </w:pPr>
    </w:p>
    <w:p>
      <w:pPr>
        <w:ind w:left="3440" w:hanging="137"/>
        <w:spacing w:after="0"/>
        <w:tabs>
          <w:tab w:leader="none" w:pos="34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20% x 5%</w:t>
      </w:r>
    </w:p>
    <w:p>
      <w:pPr>
        <w:spacing w:after="0" w:line="9" w:lineRule="exact"/>
        <w:rPr>
          <w:rFonts w:ascii="Arial" w:cs="Arial" w:eastAsia="Arial" w:hAnsi="Arial"/>
          <w:sz w:val="18"/>
          <w:szCs w:val="18"/>
          <w:color w:val="auto"/>
        </w:rPr>
      </w:pPr>
    </w:p>
    <w:p>
      <w:pPr>
        <w:ind w:left="3440" w:hanging="137"/>
        <w:spacing w:after="0"/>
        <w:tabs>
          <w:tab w:leader="none" w:pos="34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7"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76" w:lineRule="exact"/>
        <w:rPr>
          <w:rFonts w:ascii="Arial" w:cs="Arial" w:eastAsia="Arial" w:hAnsi="Arial"/>
          <w:sz w:val="18"/>
          <w:szCs w:val="18"/>
          <w:color w:val="auto"/>
        </w:rPr>
      </w:pPr>
    </w:p>
    <w:p>
      <w:pPr>
        <w:ind w:left="460" w:right="140" w:hanging="452"/>
        <w:spacing w:after="0" w:line="306"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2.0% annualized base management fee. Although the management fee will be 2.00% of our average adjusted gross total assets, the Investment Adviser has agreed to waive a portion of the base management fee such that the base management fee will equal 1.50% from the consummation of the initial public offering through September 30, 2007, 1.75% from October 1, 2007 through March 31, 2008, and 2.00% thereafter.</w:t>
      </w:r>
    </w:p>
    <w:p>
      <w:pPr>
        <w:spacing w:after="0" w:line="12" w:lineRule="exact"/>
        <w:rPr>
          <w:rFonts w:ascii="Arial" w:cs="Arial" w:eastAsia="Arial" w:hAnsi="Arial"/>
          <w:sz w:val="16"/>
          <w:szCs w:val="16"/>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Investment Management Agreement was approved by our board of directors, including a majority of our directors who are not interested persons of PennantPark, on February 13, 2007. Unless terminated earlier as described below, our Investment Management Agreement will continue in effect for a period of two years from its execution date through April 17, 2009.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PennantPark Investment Advisers’ key personnel for our future success, and if we are unable to hire and retain qualified personnel or if we lose any member of our management team, our ability to achieve our investment objectives could be significantly harmed.”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 Management Agreement provides that, absent willful misfeasance, bad faith or gross negligence in the performance of its duties or by reason of the reckless disregard of its duties and obligations, PennantPark Investment Advisers and its officers, managers, partners, agents, employees, controlling persons, members and any other person or entity affiliated with it are entitled to indemnification from PennantPark for any damages, liabilities, costs and expenses (including reasonable attorneys’ fees and amounts reasonably paid in settlement) arising from the rendering of PennantPark Investment Advisers’ services under each respective agreement or otherwise as an Investment Adviser of PennantPark.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480" w:firstLine="456"/>
        <w:spacing w:after="0" w:line="304"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offices of PennantPark Investment Advisers are located at 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NY 10022.</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74"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Administration Agreement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on our behalf managerial assistance to those portfolio companies to which we are required to provide such assistance. The Administration Agreement may be terminated by either party without penalty upon 60 days’ written notice to the other party. To the extent that our Administrator outsources any of its functions, we will pay the fees associated with such functions on a direct basis without profit to the Administrator. For the three months ended December 31, 2007 and the period January 11, 2007 (inception) to September 30, 2007, the Investment Adviser was reimbursed approximately $594,000 and $490,000, respectively, from the Company, including expenses it incurred on behalf of the Administrator for the services described above.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Administration Agreement provides that, absent willful misfeasance, bad faith or negligence in the performance of its duties or by reason of the reckless disregard of its duties and obligations, PennantPark Investment Administration and its officers, manager, partners, agents, employees, controlling persons, members and any other person or entity affiliated with it are entitled to indemnification from PennantPark for any damages, liabilities, costs and expenses (including reasonable attorneys’ fees and amounts reasonably paid in settlement) arising from the rendering of PennantPark Investment Administration’s services under our Administration Agreement or otherwise as Administrator for PennantPark.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will be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Because there are not always readily available markets for many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900" w:right="46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board of directors also engages one or more independent valuation firms to conduct independent appraisals of our investments for which market quotations are not readily available or are readily available but believed not to reflect the fair value of an investment. The independent valuation firm reviews management’s preliminary valuations and its own independent assessment;</w:t>
      </w:r>
    </w:p>
    <w:p>
      <w:pPr>
        <w:spacing w:after="0" w:line="59" w:lineRule="exact"/>
        <w:rPr>
          <w:rFonts w:ascii="Arial" w:cs="Arial" w:eastAsia="Arial" w:hAnsi="Arial"/>
          <w:sz w:val="18"/>
          <w:szCs w:val="18"/>
          <w:color w:val="auto"/>
        </w:rPr>
      </w:pPr>
    </w:p>
    <w:p>
      <w:pPr>
        <w:ind w:left="900" w:right="280" w:hanging="325"/>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76" w:name="page77"/>
    <w:bookmarkEnd w:id="76"/>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types of factors that we may take into account in fair value pricing our investments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Determination of fair values involves subjective judgments and estimates not susceptible to substantiation by auditing procedures. Accordingly, under current auditing standards, the notes to our financial statements will refer to the uncertainty with respect to the possible effect of such valuations, and any change in such valuations, on our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325"/>
        <w:spacing w:after="0" w:line="306"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(see Part C —”Undertakings”),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If we raise additional funds by issuing more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80" w:right="259" w:bottom="1440" w:gutter="0" w:footer="0" w:header="0"/>
        </w:sectPr>
      </w:pPr>
    </w:p>
    <w:bookmarkStart w:id="77" w:name="page78"/>
    <w:bookmarkEnd w:id="7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stock or warrants or senior securities convertible into, or exchangeable for, our common stock, the percentage ownership of our common stockholders at that time would decrease, and our common stockholders may experience dilution.</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280" w:right="27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 REINVESTMENT PLAN</w:t>
      </w:r>
    </w:p>
    <w:p>
      <w:pPr>
        <w:spacing w:after="0" w:line="177"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and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NASDAQ on the valuation date for such distribution. Market price per share on that date will be the closing price for such shares on NASDAQ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There will be no brokerage charges or other charges to stockholders who participate in the plan.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$.10 per share brokerage commissions from the proceeds.</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Participants may terminate their accounts under the plan by notifying the plan Administrator via its website at www.amstock.com, by filling out the transaction request form located at bottom of their statement and sending it to the plan Administrator.</w:t>
      </w:r>
    </w:p>
    <w:p>
      <w:pPr>
        <w:spacing w:after="0" w:line="13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and Trust Company, P.O. Box 922, Wall Street Station, New York, New York 10269, or by the Plan Administrator’s Interactive Voice Response System at 1-888-777-0324.</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74" w:right="25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On December 31, 2007 our authorized capital stock consisted of 100,000,000 shares of stock, par value $0.001 per share, all of which was initially designated as common stock. Our common stock is quoted on NASDAQ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last reported closing market price of our common stock on March 24, 2008 was $8.70 per share. As of March 24, 2008, we had 16 stockholders of record.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March 24,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Amount Held by</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Amount</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5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61"/>
        </w:trPr>
        <w:tc>
          <w:tcPr>
            <w:tcW w:w="7660" w:type="dxa"/>
            <w:vAlign w:val="bottom"/>
            <w:gridSpan w:val="3"/>
          </w:tcPr>
          <w:p>
            <w:pPr>
              <w:spacing w:after="0"/>
              <w:rPr>
                <w:sz w:val="20"/>
                <w:szCs w:val="20"/>
                <w:color w:val="auto"/>
              </w:rPr>
            </w:pPr>
            <w:r>
              <w:rPr>
                <w:rFonts w:ascii="Arial" w:cs="Arial" w:eastAsia="Arial" w:hAnsi="Arial"/>
                <w:sz w:val="14"/>
                <w:szCs w:val="14"/>
                <w:b w:val="1"/>
                <w:bCs w:val="1"/>
                <w:color w:val="auto"/>
              </w:rPr>
              <w:t>Title of Class</w:t>
            </w: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Authorized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Account</w:t>
            </w:r>
          </w:p>
        </w:tc>
        <w:tc>
          <w:tcPr>
            <w:tcW w:w="56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1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7"/>
              </w:rPr>
              <w:t>100,000,000</w:t>
            </w:r>
          </w:p>
        </w:tc>
        <w:tc>
          <w:tcPr>
            <w:tcW w:w="9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7"/>
              </w:rPr>
              <w:t>—</w:t>
            </w:r>
          </w:p>
        </w:tc>
        <w:tc>
          <w:tcPr>
            <w:tcW w:w="13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6"/>
              </w:rPr>
              <w:t>21,068,772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herefore.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Limitation on Liability of Directors and Officers; Indemnification and Advance of Expenses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charter authorizes us and 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status as a present or former director or officer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Classified board of directors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initial terms of the first, second and third classes will expire in 2008, 2009 and 2010, respectively. Beginning in 2008, upon expiration of their current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Our charter provides that, at such time as we have three independent directors and our common stock is registered under the Exchange Act, we elect to be subject to the provision of Subtitle 8 of Title 3 of the Maryland General Corporation Law regarding the filling of vacancies on the board of directors. Accordingly, at such time,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80" w:right="259" w:bottom="1440" w:gutter="0" w:footer="0" w:header="0"/>
        </w:sectPr>
      </w:pPr>
    </w:p>
    <w:bookmarkStart w:id="82" w:name="page83"/>
    <w:bookmarkEnd w:id="82"/>
    <w:p>
      <w:pPr>
        <w:ind w:right="4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80" w:right="2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Control share acquisitions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5"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the board of directors determines that it would be in our best interests based on our determination that our being subject to the Control Share Acquisition Act does not conflict with the 1940 Act.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280" w:right="27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combinations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80" w:right="25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DESCRIPTION OF OUR PREFERRED STOCK</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1940 Act generally requires, among other things,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business development company.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or monthly and subject to extension. With respect to ARPS, we expect the dividend rate to be variable and determined for each dividend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74" w:right="239" w:bottom="1440" w:gutter="0" w:footer="0" w:header="0"/>
        </w:sectPr>
      </w:pPr>
    </w:p>
    <w:bookmarkStart w:id="86" w:name="page87"/>
    <w:bookmarkEnd w:id="8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20"/>
          </w:cols>
          <w:pgMar w:left="240" w:top="274" w:right="339" w:bottom="1440" w:gutter="0" w:footer="0" w:header="0"/>
        </w:sectPr>
      </w:pPr>
    </w:p>
    <w:bookmarkStart w:id="87" w:name="page88"/>
    <w:bookmarkEnd w:id="87"/>
    <w:p>
      <w:pPr>
        <w:ind w:right="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the best interests of the Company and its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280" w:right="25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DESCRIPTION OF OUR SUBSCRIPTION RIGHTS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5"/>
          <w:szCs w:val="15"/>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If the Company elects to offer subscription rights to its stockholders at a price equivalent to less than net asset value per share, it will offer rights to purchase common stock representing no</w:t>
      </w:r>
    </w:p>
    <w:p>
      <w:pPr>
        <w:spacing w:after="0" w:line="1" w:lineRule="exact"/>
        <w:rPr>
          <w:sz w:val="20"/>
          <w:szCs w:val="20"/>
          <w:color w:val="auto"/>
        </w:rPr>
      </w:pPr>
    </w:p>
    <w:p>
      <w:pPr>
        <w:jc w:val="both"/>
        <w:ind w:right="160"/>
        <w:spacing w:after="0" w:line="230" w:lineRule="auto"/>
        <w:rPr>
          <w:sz w:val="20"/>
          <w:szCs w:val="20"/>
          <w:color w:val="auto"/>
        </w:rPr>
      </w:pPr>
      <w:r>
        <w:rPr>
          <w:rFonts w:ascii="Arial" w:cs="Arial" w:eastAsia="Arial" w:hAnsi="Arial"/>
          <w:sz w:val="18"/>
          <w:szCs w:val="18"/>
          <w:color w:val="auto"/>
        </w:rPr>
        <w:t xml:space="preserve">more than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outstanding common stock of the Company.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44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shall expire (subject to any extension);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274" w:right="27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 See “Description of our Debt Securities—Additional Information” for information on how to obtain a copy of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4" w:right="239" w:bottom="1440" w:gutter="0" w:footer="0" w:header="0"/>
        </w:sectPr>
      </w:pPr>
    </w:p>
    <w:bookmarkStart w:id="90" w:name="page91"/>
    <w:bookmarkEnd w:id="90"/>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the series of debt securities are issuable in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13" w:lineRule="exact"/>
        <w:rPr>
          <w:rFonts w:ascii="Arial" w:cs="Arial" w:eastAsia="Arial" w:hAnsi="Arial"/>
          <w:sz w:val="16"/>
          <w:szCs w:val="16"/>
          <w:color w:val="auto"/>
        </w:rPr>
      </w:pPr>
    </w:p>
    <w:p>
      <w:pPr>
        <w:ind w:left="900" w:right="160" w:hanging="325"/>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business development company, to issue debt only in amounts such that our asset coverage, as defined in the 1940 Act, equals at least 200% after each issuance of debt. Unless the prospectus supplement states otherwise, principal (and premium, if any) and interest, if any, will be paid by us in immediately available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80" w:right="239" w:bottom="1440" w:gutter="0" w:footer="0" w:header="0"/>
        </w:sectPr>
      </w:pPr>
    </w:p>
    <w:bookmarkStart w:id="91" w:name="page92"/>
    <w:bookmarkEnd w:id="91"/>
    <w:p>
      <w:pPr>
        <w:ind w:right="2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280" w:right="29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280" w:right="2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Securities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58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25"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50" w:lineRule="exact"/>
        <w:rPr>
          <w:rFonts w:ascii="Arial" w:cs="Arial" w:eastAsia="Arial" w:hAnsi="Arial"/>
          <w:sz w:val="18"/>
          <w:szCs w:val="18"/>
          <w:color w:val="auto"/>
        </w:rPr>
      </w:pPr>
    </w:p>
    <w:p>
      <w:pPr>
        <w:ind w:left="900" w:right="340" w:hanging="325"/>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274" w:right="299" w:bottom="1440" w:gutter="0" w:footer="0" w:header="0"/>
        </w:sectPr>
      </w:pPr>
    </w:p>
    <w:bookmarkStart w:id="94" w:name="page95"/>
    <w:bookmarkEnd w:id="94"/>
    <w:p>
      <w:pPr>
        <w:ind w:left="900" w:right="20" w:hanging="325"/>
        <w:spacing w:after="0" w:line="33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DTC requires that those who purchase and sell interests in a global security deposited in its book-entry system use immediately available funds. Your broker or bank may also require you to use immediately available funds when purchasing or selling interests in a global security.</w:t>
      </w:r>
    </w:p>
    <w:p>
      <w:pPr>
        <w:spacing w:after="0" w:line="4" w:lineRule="exact"/>
        <w:rPr>
          <w:rFonts w:ascii="Arial" w:cs="Arial" w:eastAsia="Arial" w:hAnsi="Arial"/>
          <w:sz w:val="16"/>
          <w:szCs w:val="16"/>
          <w:color w:val="auto"/>
        </w:rPr>
      </w:pPr>
    </w:p>
    <w:p>
      <w:pPr>
        <w:ind w:left="900" w:right="120" w:hanging="325"/>
        <w:spacing w:after="0" w:line="306"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Securities—Holders of Registered Debt Securities”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280" w:right="259" w:bottom="1440" w:gutter="0" w:footer="0" w:header="0"/>
        </w:sectPr>
      </w:pPr>
    </w:p>
    <w:bookmarkStart w:id="95" w:name="page96"/>
    <w:bookmarkEnd w:id="9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within five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do not deposit any sinking fund payment in respect of debt securities of the series on its due date and we do not cure this default within five days.</w:t>
      </w:r>
    </w:p>
    <w:p>
      <w:pPr>
        <w:spacing w:after="0" w:line="113" w:lineRule="exact"/>
        <w:rPr>
          <w:rFonts w:ascii="Arial" w:cs="Arial" w:eastAsia="Arial" w:hAnsi="Arial"/>
          <w:sz w:val="16"/>
          <w:szCs w:val="16"/>
          <w:color w:val="auto"/>
        </w:rPr>
      </w:pPr>
    </w:p>
    <w:p>
      <w:pPr>
        <w:ind w:left="900" w:right="180" w:hanging="325"/>
        <w:spacing w:after="0" w:line="33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80"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Remedies if an Event of Default Occurs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280" w:right="2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160" w:hanging="325"/>
        <w:spacing w:after="0" w:line="294"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the premium payable upon a change of control;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74"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Changes Not Requiring Approval</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w:t>
      </w:r>
    </w:p>
    <w:p>
      <w:pPr>
        <w:spacing w:after="0" w:line="113" w:lineRule="exact"/>
        <w:rPr>
          <w:rFonts w:ascii="Arial" w:cs="Arial" w:eastAsia="Arial" w:hAnsi="Arial"/>
          <w:sz w:val="16"/>
          <w:szCs w:val="16"/>
          <w:color w:val="auto"/>
        </w:rPr>
      </w:pPr>
    </w:p>
    <w:p>
      <w:pPr>
        <w:ind w:left="900" w:right="300" w:hanging="325"/>
        <w:spacing w:after="0" w:line="33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7"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00"/>
          </w:cols>
          <w:pgMar w:left="240" w:top="280"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Defeasance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325"/>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covenant defeasance have been complied with.</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00" w:hanging="325"/>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40" w:hanging="325"/>
        <w:spacing w:after="0" w:line="318" w:lineRule="auto"/>
        <w:tabs>
          <w:tab w:leader="none" w:pos="9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274" w:right="279" w:bottom="1440" w:gutter="0" w:footer="0" w:header="0"/>
        </w:sectPr>
      </w:pPr>
    </w:p>
    <w:bookmarkStart w:id="100" w:name="page101"/>
    <w:bookmarkEnd w:id="100"/>
    <w:p>
      <w:pPr>
        <w:ind w:left="900" w:right="180" w:hanging="325"/>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must deliver to the trustee a legal opinion of our counsel stating that the above deposit does not require registration by us under the Investment Company Act of 1940, as amended, and a legal opinion and officers’ certificate stating that all conditions precedent to defeasance have been complied with.</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280" w:right="2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325"/>
        <w:spacing w:after="0" w:line="256"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Bank of New York Mellon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274" w:right="25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REGULATION</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a business development company under the 1940 Act and intend to elect to be treated as a RIC under Subchapter M of the Code.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Our intention is to not write (sell) or buy put or call options to manage risks associated with the publicly traded securities of our portfolio companies, except that we may enter into hedging transactions to manage the risks associated with interest rate fluctuations. However,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registered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None of these policies is fundamental and may be changed without stockholder approval.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proposed business are the following:</w:t>
      </w:r>
    </w:p>
    <w:p>
      <w:pPr>
        <w:spacing w:after="0" w:line="59" w:lineRule="exact"/>
        <w:rPr>
          <w:sz w:val="20"/>
          <w:szCs w:val="20"/>
          <w:color w:val="auto"/>
        </w:rPr>
      </w:pPr>
    </w:p>
    <w:p>
      <w:pPr>
        <w:ind w:left="460" w:right="160" w:firstLine="443"/>
        <w:spacing w:after="0" w:line="256" w:lineRule="auto"/>
        <w:tabs>
          <w:tab w:leader="none" w:pos="1147"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920" w:right="60" w:firstLine="421"/>
        <w:spacing w:after="0" w:line="268" w:lineRule="auto"/>
        <w:tabs>
          <w:tab w:leader="none" w:pos="1588" w:val="left"/>
        </w:tabs>
        <w:numPr>
          <w:ilvl w:val="1"/>
          <w:numId w:val="67"/>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business development company) or a company that would be an investment company but for certain exclusions under the 1940 Act; and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ind w:left="460" w:right="120" w:firstLine="443"/>
        <w:spacing w:after="0" w:line="306" w:lineRule="auto"/>
        <w:tabs>
          <w:tab w:leader="none" w:pos="1147" w:val="left"/>
        </w:tabs>
        <w:numPr>
          <w:ilvl w:val="0"/>
          <w:numId w:val="67"/>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74" w:right="239" w:bottom="1440" w:gutter="0" w:footer="0" w:header="0"/>
        </w:sectPr>
      </w:pPr>
    </w:p>
    <w:bookmarkStart w:id="103" w:name="page104"/>
    <w:bookmarkEnd w:id="103"/>
    <w:p>
      <w:pPr>
        <w:ind w:left="460" w:right="160" w:firstLine="443"/>
        <w:spacing w:after="0" w:line="268"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a business development company must have been organized and have its principal place of business in the United States and must be operated for the purpose of making investments in the types of securities described in (1), (2) or (3) above. However, in order to count portfolio securities as qualifying assets for the purpose of the 70% test, the business development company must either control the issuer of the securities or must offer to make available to the issuer of the securities (other than small and solvent companies described above) significant managerial assistance; except that, where the business development company purchases such securities in conjunction with one or more other persons acting together, one of the other persons in the group may make available such managerial assistance. Making available managerial assistance means, among other things,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 —Regulations governing our operation as a business development company will affect our ability to, and the way in which we, raise additional capital.”</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80"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Code of Ethics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and PennantPark Investment Advisers have each adopted a code of ethics pursuant to Rule 17j-1 under the 1940 Act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You may read and copy the code of ethics at the SEC’s Public Reference Room in Washington, D.C. You may obtain information on the operation of the Public Reference Room by calling the SEC at (202) 551-8090. In addition, the code of ethics is attached as an exhibit to the registration statement of which this prospectus is a part, and is available on the EDGAR Database on the SEC’s Internet site at http://www.sec.gov. You may also obtain copies of the code of ethics, after paying a duplicating fee, by electronic request at the following Email address: publicinfo@sec.gov,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120" w:firstLine="456"/>
        <w:spacing w:after="0" w:line="304"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Aviv Efrat, Chief Financial Officer and Treasurer, 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274" w:right="2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collect, how we protect that information and why, in certain cases, we may share information with select other parties.</w:t>
      </w:r>
    </w:p>
    <w:p>
      <w:pPr>
        <w:spacing w:after="0" w:line="171"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will maintain physical, electronic and procedural safeguards designed to protect the non-public personal information of our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directors who are not interested persons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We are required to provide and maintain a bond issued by a reputable fidelity insurance company to protect us against larceny and embezzlement. Furthermore, as a business development company, we are prohibited from protecting any director or officer against any liability to PennantPark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and PennantPark Investment Advisers will each be required to adopt and implement written policies and procedures reasonably designed to prevent violation of the federal securities laws, review these policies and procedures annually for their adequacy and the effectiveness of their implementation, and designate a chief compliance officer to be responsible for administering the policies and procedures.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Sarbanes-Oxley Act of 2002 imposes a wide variety of new regulatory requirements on publicly held companies and their insiders. Many of these requirements affect us. For example:</w:t>
      </w:r>
    </w:p>
    <w:p>
      <w:pPr>
        <w:spacing w:after="0" w:line="51" w:lineRule="exact"/>
        <w:rPr>
          <w:sz w:val="20"/>
          <w:szCs w:val="20"/>
          <w:color w:val="auto"/>
        </w:rPr>
      </w:pPr>
    </w:p>
    <w:p>
      <w:pPr>
        <w:ind w:left="900" w:right="34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right="80" w:hanging="325"/>
        <w:spacing w:after="0" w:line="306"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 under. We will continue to monitor our compliance with all regulations that are adopted under the Sarbanes-Oxley Act and will take actions necessary to ensure that we are in compliance with that act.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280" w:right="29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BROKERAGE ALLOCATIONS AND OTHER PRACTICES</w:t>
      </w:r>
    </w:p>
    <w:p>
      <w:pPr>
        <w:spacing w:after="0" w:line="17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will not necessarily pay the lowest spread or commission available. Subject to applicable legal requirements, the Investment Adviser may select a broker based partly upon brokerage or research services provided to the Investment Adviser and PennantPark and any other clients. In return for such services, we may pay a higher commission than other brokers would charge if the Investment Adviser determines in good faith that such commission is reasonable in relation to the services provided.</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274" w:right="25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MATERIAL U.S. FEDERAL INCOME TAX CONSIDERATIONS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shares. This summary does not purport to be a complete description of the income tax considerations applicable to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is a beneficial owner of shares of our common stock that is not a U.S. stockholder.</w:t>
      </w:r>
    </w:p>
    <w:p>
      <w:pPr>
        <w:spacing w:after="0" w:line="171"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274" w:right="2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Election to be Taxed as a RIC</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elected to be treated, and intend to qualify annually, as a RIC under Subchapter M of the Code. For a short period ending April 30, 2007, we were not a RIC and were subject to corporate-level income tax. To maintain RIC tax benefits, we must, among other requirements, meet certain source-of-income and asset diversification requirements (as described below). We also must distribute at least 90% of our ordinary income and realized net short-term capital gains in excess of realized net long-term capital losses, if any, out of the assets legally available for distribution. In order to avoid certain excise taxes imposed on RICs, we currently intend to distribute during each calendar year an amount at least equal to the sum of (1) 98% of our ordinary income for the calendar year, (2) 98%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short-term capital losses), if any, at least annually, out of the assets legally available for such distributions, we may in the future decide to retain such capital gains for investment.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qualify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9" w:lineRule="exact"/>
        <w:rPr>
          <w:rFonts w:ascii="Arial" w:cs="Arial" w:eastAsia="Arial" w:hAnsi="Arial"/>
          <w:sz w:val="18"/>
          <w:szCs w:val="18"/>
          <w:color w:val="auto"/>
        </w:rPr>
      </w:pPr>
    </w:p>
    <w:p>
      <w:pPr>
        <w:ind w:left="900" w:right="300" w:hanging="325"/>
        <w:spacing w:after="0" w:line="306"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jc w:val="center"/>
        <w:ind w:right="10060"/>
        <w:spacing w:after="0"/>
        <w:rPr>
          <w:sz w:val="20"/>
          <w:szCs w:val="20"/>
          <w:color w:val="auto"/>
        </w:rPr>
      </w:pPr>
      <w:r>
        <w:rPr>
          <w:rFonts w:ascii="Arial" w:cs="Arial" w:eastAsia="Arial" w:hAnsi="Arial"/>
          <w:sz w:val="16"/>
          <w:szCs w:val="16"/>
          <w:b w:val="1"/>
          <w:bCs w:val="1"/>
          <w:color w:val="auto"/>
        </w:rPr>
        <w:t>Taxation as a RIC</w:t>
      </w:r>
    </w:p>
    <w:p>
      <w:pPr>
        <w:spacing w:after="0" w:line="119" w:lineRule="exact"/>
        <w:rPr>
          <w:sz w:val="20"/>
          <w:szCs w:val="20"/>
          <w:color w:val="auto"/>
        </w:rPr>
      </w:pPr>
    </w:p>
    <w:p>
      <w:pPr>
        <w:jc w:val="center"/>
        <w:ind w:right="10080"/>
        <w:spacing w:after="0"/>
        <w:rPr>
          <w:sz w:val="20"/>
          <w:szCs w:val="20"/>
          <w:color w:val="auto"/>
        </w:rPr>
      </w:pPr>
      <w:r>
        <w:rPr>
          <w:rFonts w:ascii="Arial" w:cs="Arial" w:eastAsia="Arial" w:hAnsi="Arial"/>
          <w:sz w:val="18"/>
          <w:szCs w:val="18"/>
          <w:color w:val="auto"/>
        </w:rPr>
        <w:t>If we:</w:t>
      </w:r>
    </w:p>
    <w:p>
      <w:pPr>
        <w:spacing w:after="0" w:line="90"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qualify as a RIC;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satisfy the Annual Distribution Requirement;</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will be subject to a 4% nondeductible federal excise tax on certain undistributed income of RICs unless we distribute in a timely manner an amount at least equal to the sum of (1) 98% of our ordinary income for each calendar year, (2) 98% of our capital gain net income for the one-year period ending October 31 in that calendar year and (3) any income realized, but not distributed or taxed, in preceding years (the “Excise Tax Avoidance Requirement”). We currently intend to make sufficient distributions each taxable year to satisfy the Excise Tax Avoidance Requirement.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74" w:right="239" w:bottom="1440" w:gutter="0" w:footer="0" w:header="0"/>
        </w:sectPr>
      </w:pPr>
    </w:p>
    <w:bookmarkStart w:id="109" w:name="page110"/>
    <w:bookmarkEnd w:id="10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order to qualify as a RIC for federal income tax purposes, we must, among other things:</w:t>
      </w:r>
    </w:p>
    <w:p>
      <w:pPr>
        <w:spacing w:after="0" w:line="90"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qualify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1480" w:right="380" w:hanging="446"/>
        <w:spacing w:after="0" w:line="259" w:lineRule="auto"/>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9" w:lineRule="exact"/>
        <w:rPr>
          <w:rFonts w:ascii="Arial" w:cs="Arial" w:eastAsia="Arial" w:hAnsi="Arial"/>
          <w:sz w:val="18"/>
          <w:szCs w:val="18"/>
          <w:color w:val="auto"/>
        </w:rPr>
      </w:pPr>
    </w:p>
    <w:p>
      <w:pPr>
        <w:ind w:left="1480" w:hanging="446"/>
        <w:spacing w:after="0" w:line="306" w:lineRule="auto"/>
        <w:tabs>
          <w:tab w:leader="none" w:pos="1480" w:val="left"/>
        </w:tabs>
        <w:numPr>
          <w:ilvl w:val="1"/>
          <w:numId w:val="73"/>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2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See “Regulation—Senior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80"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Failure to Qualify as a RIC</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corporate distributees would be eligible for the distributions received deduction. Distributions in excess of our current and accumulated earnings and profits would be treated first as a return of capital to the extent of the stockholder’s tax basis, and any remaining distributions would be treated as a capital gain.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Distributions by us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maximum tax rate of 15%, if certain holding period requirements are satisfied. In this regard, it is anticipated that distributions paid by us will generally not be attributable to dividends and, therefore, generally will not qualify for the 15%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maximum rate of 15%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274" w:right="239" w:bottom="1440" w:gutter="0" w:footer="0" w:header="0"/>
        </w:sectPr>
      </w:pPr>
    </w:p>
    <w:bookmarkStart w:id="111" w:name="page112"/>
    <w:bookmarkEnd w:id="111"/>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4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may be required to withhold federal income tax (“backup withholding”) currently at a rate of 28% from all taxable distributions to any non-corporate 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280" w:right="259" w:bottom="1440" w:gutter="0" w:footer="0" w:header="0"/>
        </w:sectPr>
      </w:pPr>
    </w:p>
    <w:bookmarkStart w:id="112" w:name="page113"/>
    <w:bookmarkEnd w:id="112"/>
    <w:p>
      <w:pPr>
        <w:ind w:right="8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Distributions of our “investment company taxable income” to Non-U.S. stockholders (including interest income and net short-term capital gain, which generally would be free of withholding if paid to Non-U.S. stockholders directly) are expected to be subject to withholding of federal tax at a 30% rate (or lower rate provided by an applicable treaty) to the extent of our current and accumulated earnings and profits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we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Actual or deemed distributions of our net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60"/>
          </w:cols>
          <w:pgMar w:left="240" w:top="280" w:right="299" w:bottom="1440" w:gutter="0" w:footer="0" w:header="0"/>
        </w:sectPr>
      </w:pPr>
    </w:p>
    <w:bookmarkStart w:id="113" w:name="page114"/>
    <w:bookmarkEnd w:id="11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OF DISTRIBUTION</w:t>
      </w:r>
    </w:p>
    <w:p>
      <w:pPr>
        <w:spacing w:after="0" w:line="17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Agents and underwriters may be entitled to indemnification by us against certain civil liabilities, including liabilities under the Securities Act of 1933, as amended,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274" w:right="279" w:bottom="1440" w:gutter="0" w:footer="0" w:header="0"/>
        </w:sectPr>
      </w:pPr>
    </w:p>
    <w:bookmarkStart w:id="114" w:name="page115"/>
    <w:bookmarkEnd w:id="114"/>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40"/>
          </w:cols>
          <w:pgMar w:left="240" w:top="280" w:right="319" w:bottom="1440" w:gutter="0" w:footer="0" w:header="0"/>
        </w:sectPr>
      </w:pPr>
    </w:p>
    <w:bookmarkStart w:id="115" w:name="page116"/>
    <w:bookmarkEnd w:id="11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CUSTODIAN, TRANSFER AGENT AND TRUSTEE</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PFPC, Inc., a subsidiary of The PNC Financial Services Group, Inc., provides administrative and accounting services to us under a sub-administration and accounting services agreement. PFPC Trust Company, a subsidiary of The PNC Financial Services Group, Inc., provides custodian services to us pursuant to a custodian services agreement. American Stock Transfer &amp; Trust Company acts as our transfer agent, distribution paying agent and registrar. The principal business address of American Stock Transfer &amp; Trust Company is P.O. Box 922, Wall Street Station, New York, New York 10269, telephone number: (800) 937-5449. Bank of New York Mellon may also serve as trustee for offerings of our debt securities.</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Certain legal matters regarding the securities offered by this prospectus will be passed upon for PennantPark by Dechert LLP, Washington, D.C.</w:t>
      </w:r>
    </w:p>
    <w:p>
      <w:pPr>
        <w:spacing w:after="0" w:line="35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 respect to the unaudited interim financial information as of December 31, 2007, and for the three-month period then ended, included herein, KPMG LLP has reported that they applied limited procedures in accordance with professional standards for a review of such information. However, their separate report included herein states that they did not audit and they do not express an opinion on that interim financial information. Accordingly, the degree of reliance on their report on such information should be restricted in light of the limited nature of the review procedures applied. The accountants are not subject to the liability provisions of Section 11 of the Securities Act of 1933 for their report on the unaudited interim financial information because that report is not a “report” or a “part” of the registration statement prepared or certified by the accountants within the meaning of Sections 7 and 11 of the Securities Act of 1933.</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PRIVACY PRINCIPLES</w:t>
      </w:r>
    </w:p>
    <w:p>
      <w:pPr>
        <w:spacing w:after="0" w:line="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committed to maintaining the privacy of securityholders and to safeguarding our non-public personal information. The following information is provided to help you understand what personal information we collect, how we protect that information and why, in certain cases, we may share information with select other parties.</w:t>
      </w:r>
    </w:p>
    <w:p>
      <w:pPr>
        <w:spacing w:after="0" w:line="14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securityholders, although certain nonpublic personal information of our stockholders may become available to us. We do not disclose any nonpublic personal information about our securityholders or former securityholders to anyone, except as permitted by law or as is necessary in order to service securityholders accounts (for example, to a transfer agent or third party administrator).</w:t>
      </w:r>
    </w:p>
    <w:p>
      <w:pPr>
        <w:spacing w:after="0" w:line="10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restrict access to nonpublic personal information about our securityholders to our Investment Adviser’s employees with a legitimate business need for the information. We maintain physical, electronic and procedural safeguards designed to protect the nonpublic personal information of our securityholders.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60"/>
          </w:cols>
          <w:pgMar w:left="240" w:top="274" w:right="29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760" w:type="dxa"/>
            <w:vAlign w:val="bottom"/>
            <w:gridSpan w:val="9"/>
          </w:tcPr>
          <w:p>
            <w:pPr>
              <w:jc w:val="center"/>
              <w:ind w:right="3560"/>
              <w:spacing w:after="0"/>
              <w:rPr>
                <w:sz w:val="20"/>
                <w:szCs w:val="20"/>
                <w:color w:val="auto"/>
              </w:rPr>
            </w:pPr>
            <w:r>
              <w:rPr>
                <w:rFonts w:ascii="Arial" w:cs="Arial" w:eastAsia="Arial" w:hAnsi="Arial"/>
                <w:sz w:val="18"/>
                <w:szCs w:val="18"/>
                <w:b w:val="1"/>
                <w:bCs w:val="1"/>
                <w:color w:val="auto"/>
                <w:w w:val="99"/>
              </w:rPr>
              <w:t>I NDEX TO FINANCIAL STATEMENTS</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880" w:type="dxa"/>
            <w:vAlign w:val="bottom"/>
            <w:gridSpan w:val="15"/>
          </w:tcPr>
          <w:p>
            <w:pPr>
              <w:spacing w:after="0"/>
              <w:rPr>
                <w:sz w:val="20"/>
                <w:szCs w:val="20"/>
                <w:color w:val="auto"/>
              </w:rPr>
            </w:pPr>
            <w:r>
              <w:rPr>
                <w:rFonts w:ascii="Arial" w:cs="Arial" w:eastAsia="Arial" w:hAnsi="Arial"/>
                <w:sz w:val="18"/>
                <w:szCs w:val="18"/>
                <w:b w:val="1"/>
                <w:bCs w:val="1"/>
                <w:color w:val="auto"/>
              </w:rPr>
              <w:t>PennantPark Investment Corporation</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80" w:type="dxa"/>
            <w:vAlign w:val="bottom"/>
            <w:gridSpan w:val="15"/>
          </w:tcPr>
          <w:p>
            <w:pPr>
              <w:spacing w:after="0"/>
              <w:rPr>
                <w:sz w:val="20"/>
                <w:szCs w:val="20"/>
                <w:color w:val="auto"/>
              </w:rPr>
            </w:pPr>
            <w:r>
              <w:rPr>
                <w:rFonts w:ascii="Arial" w:cs="Arial" w:eastAsia="Arial" w:hAnsi="Arial"/>
                <w:sz w:val="18"/>
                <w:szCs w:val="18"/>
                <w:b w:val="1"/>
                <w:bCs w:val="1"/>
                <w:color w:val="auto"/>
              </w:rPr>
              <w:t>Annual Financial Statements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1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18">
              <w:r>
                <w:rPr>
                  <w:rFonts w:ascii="Arial" w:cs="Arial" w:eastAsia="Arial" w:hAnsi="Arial"/>
                  <w:sz w:val="18"/>
                  <w:szCs w:val="18"/>
                  <w:color w:val="0000EE"/>
                  <w:w w:val="88"/>
                </w:rPr>
                <w:t>Report of Independent Registered Public Accounting Firm</w:t>
              </w:r>
            </w:hyperlink>
          </w:p>
        </w:tc>
        <w:tc>
          <w:tcPr>
            <w:tcW w:w="6760" w:type="dxa"/>
            <w:vAlign w:val="bottom"/>
            <w:gridSpan w:val="9"/>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304"/>
        </w:trPr>
        <w:tc>
          <w:tcPr>
            <w:tcW w:w="10880" w:type="dxa"/>
            <w:vAlign w:val="bottom"/>
            <w:gridSpan w:val="15"/>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Statements of Assets and Liabilities at September 30, 2007</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80" w:type="dxa"/>
            <w:vAlign w:val="bottom"/>
            <w:gridSpan w:val="15"/>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Statements of Operations for the period from January 11, 2007 (inception) through September 30, 2007</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80" w:type="dxa"/>
            <w:vAlign w:val="bottom"/>
            <w:gridSpan w:val="15"/>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Statements of Changes in Net Assets for the period from January 11, 2007 (inception) through September 30, 2007</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86"/>
        </w:trPr>
        <w:tc>
          <w:tcPr>
            <w:tcW w:w="10880" w:type="dxa"/>
            <w:vAlign w:val="bottom"/>
            <w:gridSpan w:val="15"/>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Statements of Cash Flows for the period from January 11, 2007 (inception) through September 30, 2007</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86"/>
        </w:trPr>
        <w:tc>
          <w:tcPr>
            <w:tcW w:w="10880" w:type="dxa"/>
            <w:vAlign w:val="bottom"/>
            <w:gridSpan w:val="15"/>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Schedules of Investments at September 30, 2007</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04"/>
        </w:trPr>
        <w:tc>
          <w:tcPr>
            <w:tcW w:w="21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127">
              <w:r>
                <w:rPr>
                  <w:rFonts w:ascii="Arial" w:cs="Arial" w:eastAsia="Arial" w:hAnsi="Arial"/>
                  <w:sz w:val="18"/>
                  <w:szCs w:val="18"/>
                  <w:color w:val="0000EE"/>
                  <w:w w:val="87"/>
                </w:rPr>
                <w:t>Notes to Financial Statements</w:t>
              </w:r>
            </w:hyperlink>
          </w:p>
        </w:tc>
        <w:tc>
          <w:tcPr>
            <w:tcW w:w="1300" w:type="dxa"/>
            <w:vAlign w:val="bottom"/>
            <w:tcBorders>
              <w:top w:val="single" w:sz="8" w:color="0000EE"/>
            </w:tcBorders>
            <w:gridSpan w:val="2"/>
          </w:tcPr>
          <w:p>
            <w:pPr>
              <w:spacing w:after="0"/>
              <w:rPr>
                <w:sz w:val="24"/>
                <w:szCs w:val="24"/>
                <w:color w:val="auto"/>
              </w:rPr>
            </w:pPr>
          </w:p>
        </w:tc>
        <w:tc>
          <w:tcPr>
            <w:tcW w:w="7460" w:type="dxa"/>
            <w:vAlign w:val="bottom"/>
            <w:gridSpan w:val="10"/>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343"/>
        </w:trPr>
        <w:tc>
          <w:tcPr>
            <w:tcW w:w="10880" w:type="dxa"/>
            <w:vAlign w:val="bottom"/>
            <w:gridSpan w:val="15"/>
          </w:tcPr>
          <w:p>
            <w:pPr>
              <w:spacing w:after="0"/>
              <w:rPr>
                <w:sz w:val="20"/>
                <w:szCs w:val="20"/>
                <w:color w:val="auto"/>
              </w:rPr>
            </w:pPr>
            <w:r>
              <w:rPr>
                <w:rFonts w:ascii="Arial" w:cs="Arial" w:eastAsia="Arial" w:hAnsi="Arial"/>
                <w:sz w:val="18"/>
                <w:szCs w:val="18"/>
                <w:b w:val="1"/>
                <w:bCs w:val="1"/>
                <w:color w:val="auto"/>
              </w:rPr>
              <w:t>Interim Financial Statements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880" w:type="dxa"/>
            <w:vAlign w:val="bottom"/>
            <w:gridSpan w:val="15"/>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Report of 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F-20</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80" w:type="dxa"/>
            <w:vAlign w:val="bottom"/>
            <w:gridSpan w:val="15"/>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Statements of Assets and Liabilities at December 31, 2007 (Unaudited) and September 30, 2007</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F-21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80" w:type="dxa"/>
            <w:vAlign w:val="bottom"/>
            <w:gridSpan w:val="15"/>
          </w:tcPr>
          <w:p>
            <w:pPr>
              <w:spacing w:after="0"/>
              <w:rPr>
                <w:rFonts w:ascii="Arial" w:cs="Arial" w:eastAsia="Arial" w:hAnsi="Arial"/>
                <w:sz w:val="18"/>
                <w:szCs w:val="18"/>
                <w:color w:val="0000EE"/>
                <w:w w:val="97"/>
              </w:rPr>
            </w:pPr>
            <w:hyperlink w:anchor="page138">
              <w:r>
                <w:rPr>
                  <w:rFonts w:ascii="Arial" w:cs="Arial" w:eastAsia="Arial" w:hAnsi="Arial"/>
                  <w:sz w:val="18"/>
                  <w:szCs w:val="18"/>
                  <w:color w:val="0000EE"/>
                  <w:w w:val="97"/>
                </w:rPr>
                <w:t>Statements of Operations (Unaudited) for the three months ended December 31, 2007 and period from January 11, 2007 (inception) through</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138">
              <w:r>
                <w:rPr>
                  <w:rFonts w:ascii="Arial" w:cs="Arial" w:eastAsia="Arial" w:hAnsi="Arial"/>
                  <w:sz w:val="18"/>
                  <w:szCs w:val="18"/>
                  <w:color w:val="0000EE"/>
                  <w:w w:val="85"/>
                </w:rPr>
                <w:t>September 30, 2007</w:t>
              </w:r>
            </w:hyperlink>
          </w:p>
        </w:tc>
        <w:tc>
          <w:tcPr>
            <w:tcW w:w="8200" w:type="dxa"/>
            <w:vAlign w:val="bottom"/>
            <w:tcBorders>
              <w:top w:val="single" w:sz="8" w:color="0000EE"/>
            </w:tcBorders>
            <w:gridSpan w:val="10"/>
          </w:tcPr>
          <w:p>
            <w:pPr>
              <w:spacing w:after="0"/>
              <w:rPr>
                <w:sz w:val="17"/>
                <w:szCs w:val="17"/>
                <w:color w:val="auto"/>
              </w:rPr>
            </w:pPr>
          </w:p>
        </w:tc>
        <w:tc>
          <w:tcPr>
            <w:tcW w:w="1040" w:type="dxa"/>
            <w:vAlign w:val="bottom"/>
            <w:gridSpan w:val="3"/>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r>
        <w:trPr>
          <w:trHeight w:val="167"/>
        </w:trPr>
        <w:tc>
          <w:tcPr>
            <w:tcW w:w="10660" w:type="dxa"/>
            <w:vAlign w:val="bottom"/>
            <w:gridSpan w:val="14"/>
            <w:vMerge w:val="restart"/>
          </w:tcPr>
          <w:p>
            <w:pPr>
              <w:spacing w:after="0"/>
              <w:rPr>
                <w:rFonts w:ascii="Arial" w:cs="Arial" w:eastAsia="Arial" w:hAnsi="Arial"/>
                <w:sz w:val="18"/>
                <w:szCs w:val="18"/>
                <w:color w:val="0000EE"/>
                <w:w w:val="87"/>
              </w:rPr>
            </w:pPr>
            <w:hyperlink w:anchor="page139">
              <w:r>
                <w:rPr>
                  <w:rFonts w:ascii="Arial" w:cs="Arial" w:eastAsia="Arial" w:hAnsi="Arial"/>
                  <w:sz w:val="18"/>
                  <w:szCs w:val="18"/>
                  <w:color w:val="0000EE"/>
                  <w:w w:val="87"/>
                </w:rPr>
                <w:t>Statements of Changes in Net Assets (Unaudited) for the three months ended December 31, 2007 and period from January 11, 2007 (inception) through</w:t>
              </w:r>
            </w:hyperlink>
          </w:p>
        </w:tc>
        <w:tc>
          <w:tcPr>
            <w:tcW w:w="220" w:type="dxa"/>
            <w:vAlign w:val="bottom"/>
            <w:vMerge w:val="restart"/>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660" w:type="dxa"/>
            <w:vAlign w:val="bottom"/>
            <w:tcBorders>
              <w:bottom w:val="single" w:sz="8" w:color="0000EE"/>
            </w:tcBorders>
            <w:gridSpan w:val="14"/>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2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139">
              <w:r>
                <w:rPr>
                  <w:rFonts w:ascii="Arial" w:cs="Arial" w:eastAsia="Arial" w:hAnsi="Arial"/>
                  <w:sz w:val="18"/>
                  <w:szCs w:val="18"/>
                  <w:color w:val="0000EE"/>
                  <w:w w:val="85"/>
                </w:rPr>
                <w:t>September 30, 2007</w:t>
              </w:r>
            </w:hyperlink>
          </w:p>
        </w:tc>
        <w:tc>
          <w:tcPr>
            <w:tcW w:w="9240" w:type="dxa"/>
            <w:vAlign w:val="bottom"/>
            <w:gridSpan w:val="13"/>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167"/>
        </w:trPr>
        <w:tc>
          <w:tcPr>
            <w:tcW w:w="9900" w:type="dxa"/>
            <w:vAlign w:val="bottom"/>
            <w:gridSpan w:val="13"/>
            <w:vMerge w:val="restart"/>
          </w:tcPr>
          <w:p>
            <w:pPr>
              <w:spacing w:after="0"/>
              <w:rPr>
                <w:rFonts w:ascii="Arial" w:cs="Arial" w:eastAsia="Arial" w:hAnsi="Arial"/>
                <w:sz w:val="18"/>
                <w:szCs w:val="18"/>
                <w:color w:val="0000EE"/>
                <w:w w:val="87"/>
              </w:rPr>
            </w:pPr>
            <w:hyperlink w:anchor="page140">
              <w:r>
                <w:rPr>
                  <w:rFonts w:ascii="Arial" w:cs="Arial" w:eastAsia="Arial" w:hAnsi="Arial"/>
                  <w:sz w:val="18"/>
                  <w:szCs w:val="18"/>
                  <w:color w:val="0000EE"/>
                  <w:w w:val="87"/>
                </w:rPr>
                <w:t>Statements of Cash Flows (Unaudited) for the three months ended December 31, 2007 and period from January 11, 2007 (inception) through</w:t>
              </w:r>
            </w:hyperlink>
          </w:p>
        </w:tc>
        <w:tc>
          <w:tcPr>
            <w:tcW w:w="980" w:type="dxa"/>
            <w:vAlign w:val="bottom"/>
            <w:gridSpan w:val="2"/>
            <w:vMerge w:val="restart"/>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900" w:type="dxa"/>
            <w:vAlign w:val="bottom"/>
            <w:tcBorders>
              <w:bottom w:val="single" w:sz="8" w:color="0000EE"/>
            </w:tcBorders>
            <w:gridSpan w:val="13"/>
            <w:vMerge w:val="continue"/>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660" w:type="dxa"/>
            <w:vAlign w:val="bottom"/>
            <w:gridSpan w:val="14"/>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September 30, 2007</w:t>
              </w:r>
            </w:hyperlink>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F-24</w:t>
            </w:r>
          </w:p>
        </w:tc>
        <w:tc>
          <w:tcPr>
            <w:tcW w:w="0" w:type="dxa"/>
            <w:vAlign w:val="bottom"/>
          </w:tcPr>
          <w:p>
            <w:pPr>
              <w:spacing w:after="0"/>
              <w:rPr>
                <w:sz w:val="1"/>
                <w:szCs w:val="1"/>
                <w:color w:val="auto"/>
              </w:rPr>
            </w:pPr>
          </w:p>
        </w:tc>
      </w:tr>
      <w:tr>
        <w:trPr>
          <w:trHeight w:val="167"/>
        </w:trPr>
        <w:tc>
          <w:tcPr>
            <w:tcW w:w="220" w:type="dxa"/>
            <w:vAlign w:val="bottom"/>
          </w:tcPr>
          <w:p>
            <w:pPr>
              <w:spacing w:after="0"/>
              <w:rPr>
                <w:sz w:val="14"/>
                <w:szCs w:val="14"/>
                <w:color w:val="auto"/>
              </w:rPr>
            </w:pPr>
          </w:p>
        </w:tc>
        <w:tc>
          <w:tcPr>
            <w:tcW w:w="1420" w:type="dxa"/>
            <w:vAlign w:val="bottom"/>
            <w:tcBorders>
              <w:top w:val="single" w:sz="8" w:color="0000EE"/>
            </w:tcBorders>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604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141">
              <w:r>
                <w:rPr>
                  <w:rFonts w:ascii="Arial" w:cs="Arial" w:eastAsia="Arial" w:hAnsi="Arial"/>
                  <w:sz w:val="18"/>
                  <w:szCs w:val="18"/>
                  <w:color w:val="0000EE"/>
                  <w:w w:val="87"/>
                </w:rPr>
                <w:t>Schedules of Investments (Unaudited) at December 31, 2007 and September 30, 2007</w:t>
              </w:r>
            </w:hyperlink>
          </w:p>
        </w:tc>
        <w:tc>
          <w:tcPr>
            <w:tcW w:w="4840" w:type="dxa"/>
            <w:vAlign w:val="bottom"/>
            <w:gridSpan w:val="8"/>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304"/>
        </w:trPr>
        <w:tc>
          <w:tcPr>
            <w:tcW w:w="10880" w:type="dxa"/>
            <w:vAlign w:val="bottom"/>
            <w:gridSpan w:val="15"/>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Notes to Financial Statements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F-33</w:t>
            </w:r>
          </w:p>
        </w:tc>
        <w:tc>
          <w:tcPr>
            <w:tcW w:w="0" w:type="dxa"/>
            <w:vAlign w:val="bottom"/>
          </w:tcPr>
          <w:p>
            <w:pPr>
              <w:spacing w:after="0"/>
              <w:rPr>
                <w:sz w:val="1"/>
                <w:szCs w:val="1"/>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760" w:type="dxa"/>
            <w:vAlign w:val="bottom"/>
            <w:gridSpan w:val="9"/>
          </w:tcPr>
          <w:p>
            <w:pPr>
              <w:jc w:val="center"/>
              <w:ind w:right="3560"/>
              <w:spacing w:after="0"/>
              <w:rPr>
                <w:sz w:val="20"/>
                <w:szCs w:val="20"/>
                <w:color w:val="auto"/>
              </w:rPr>
            </w:pPr>
            <w:r>
              <w:rPr>
                <w:rFonts w:ascii="Arial" w:cs="Arial" w:eastAsia="Arial" w:hAnsi="Arial"/>
                <w:sz w:val="18"/>
                <w:szCs w:val="18"/>
                <w:color w:val="auto"/>
                <w:w w:val="88"/>
              </w:rPr>
              <w:t>F-1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17" w:name="page118"/>
    <w:bookmarkEnd w:id="11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statement of assets and liabilities of PennantPark Investment Corporation (the “Company”), including the schedule of investments, as of September 30, 2007 and the related consolidated statements of operations, changes in net assets, and cash flows for the period from January 11, 2007 (inception) through September 30, 2007. These consolidated financial statements are the responsibility of the Company’s management. Our responsibility is to express an opinion on these consolidated financial statements based on our audit.</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conducted our audit in accordance with the auditing standards of the Public Company Accounting Oversight Board (United States). These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18"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PennantPark Investment Corporation as of September 30, 2007, and the results of its operations, changes in its net assets and its cash flows for the period from January 11, 2007 (inception) through September 30, 2007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1603375" cy="3600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12,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274" w:right="25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September 30,</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line="217" w:lineRule="exact"/>
              <w:rPr>
                <w:sz w:val="20"/>
                <w:szCs w:val="20"/>
                <w:color w:val="auto"/>
              </w:rPr>
            </w:pPr>
            <w:r>
              <w:rPr>
                <w:rFonts w:ascii="Arial" w:cs="Arial" w:eastAsia="Arial" w:hAnsi="Arial"/>
                <w:sz w:val="18"/>
                <w:szCs w:val="18"/>
                <w:color w:val="auto"/>
              </w:rPr>
              <w:t>Investments, at fair value (cost—$314,881,870)</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291,016,608</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 (cost—$258,016,351)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257,959,635</w:t>
            </w: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4,517,850</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1,513,583</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24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555,007,676</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Payable for cash equivalents purchased</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252,759,931</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16,583,921</w:t>
            </w: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Unfunded investments</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3,989,948</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10,000,000</w:t>
            </w: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170,989</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1,109,793</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24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284,614,582</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Common stock, par value $.001 per share, 100,000,000 shares authorized and 21,068,772 shares issued and outstanding</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21,069</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294,586,604</w:t>
            </w: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Distributions in excess of net investment income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(196,769)</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net realized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(95,832)</w:t>
            </w:r>
          </w:p>
        </w:tc>
      </w:tr>
      <w:tr>
        <w:trPr>
          <w:trHeight w:val="223"/>
        </w:trPr>
        <w:tc>
          <w:tcPr>
            <w:tcW w:w="2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Net unrealized depreciation on investments and cash equivalents</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(23,921,978)</w:t>
            </w: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270,393,094</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24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555,007,676</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12.83</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right="300" w:hanging="452"/>
        <w:spacing w:after="0" w:line="26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None of our portfolio companies is controlled by, or affiliated with, PennantPark Investment Corporation as defined by the Investment Company Act of 1940,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274" w:right="239" w:bottom="1440" w:gutter="0" w:footer="0" w:header="0"/>
        </w:sectPr>
      </w:pPr>
    </w:p>
    <w:bookmarkStart w:id="119" w:name="page120"/>
    <w:bookmarkEnd w:id="119"/>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Interest</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13,107,341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income</w:t>
            </w:r>
          </w:p>
        </w:tc>
        <w:tc>
          <w:tcPr>
            <w:tcW w:w="20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13,107,341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Management fees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2,565,085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1,835,816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services expenses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778,587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Professional fees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420,186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Directors’ fees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Organizational expenses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207,126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Insurance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162,387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2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Expenses before management fee waiver and income tax</w:t>
            </w:r>
          </w:p>
        </w:tc>
        <w:tc>
          <w:tcPr>
            <w:tcW w:w="2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Management fee waiver</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(641,273)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w:t>
            </w:r>
          </w:p>
        </w:tc>
        <w:tc>
          <w:tcPr>
            <w:tcW w:w="2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tcPr>
          <w:p>
            <w:pPr>
              <w:ind w:left="860"/>
              <w:spacing w:after="0"/>
              <w:rPr>
                <w:sz w:val="20"/>
                <w:szCs w:val="20"/>
                <w:color w:val="auto"/>
              </w:rPr>
            </w:pPr>
            <w:r>
              <w:rPr>
                <w:rFonts w:ascii="Arial" w:cs="Arial" w:eastAsia="Arial" w:hAnsi="Arial"/>
                <w:sz w:val="18"/>
                <w:szCs w:val="18"/>
                <w:b w:val="1"/>
                <w:bCs w:val="1"/>
                <w:color w:val="auto"/>
              </w:rPr>
              <w:t>Net expenses</w:t>
            </w:r>
          </w:p>
        </w:tc>
        <w:tc>
          <w:tcPr>
            <w:tcW w:w="2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5,802,845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investment income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7,304,496</w:t>
            </w:r>
          </w:p>
        </w:tc>
        <w:tc>
          <w:tcPr>
            <w:tcW w:w="0" w:type="dxa"/>
            <w:vAlign w:val="bottom"/>
          </w:tcPr>
          <w:p>
            <w:pPr>
              <w:spacing w:after="0"/>
              <w:rPr>
                <w:sz w:val="1"/>
                <w:szCs w:val="1"/>
                <w:color w:val="auto"/>
              </w:rPr>
            </w:pPr>
          </w:p>
        </w:tc>
      </w:tr>
      <w:tr>
        <w:trPr>
          <w:trHeight w:val="222"/>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loss on investments and cash equivalents:</w:t>
            </w: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 and cash equivalents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Change in net unrealized depreciation on investments and cash equivalents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(23,921,978)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realized and unrealized loss from investments and cash equivalents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(24,003,747)</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2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20" w:type="dxa"/>
            <w:vAlign w:val="bottom"/>
            <w:gridSpan w:val="2"/>
            <w:vMerge w:val="continue"/>
          </w:tcPr>
          <w:p>
            <w:pPr>
              <w:spacing w:after="0"/>
              <w:rPr>
                <w:sz w:val="19"/>
                <w:szCs w:val="19"/>
                <w:color w:val="auto"/>
              </w:rPr>
            </w:pP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(16,699,251)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 (See note 6)</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274" w:right="239" w:bottom="1440" w:gutter="0" w:footer="0" w:header="0"/>
        </w:sectPr>
      </w:pPr>
    </w:p>
    <w:bookmarkStart w:id="120" w:name="page121"/>
    <w:bookmarkEnd w:id="120"/>
    <w:p>
      <w:pPr>
        <w:jc w:val="center"/>
        <w:ind w:left="190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jc w:val="center"/>
        <w:ind w:left="1901"/>
        <w:spacing w:after="0"/>
        <w:rPr>
          <w:sz w:val="20"/>
          <w:szCs w:val="20"/>
          <w:color w:val="auto"/>
        </w:rPr>
      </w:pPr>
      <w:r>
        <w:rPr>
          <w:rFonts w:ascii="Arial" w:cs="Arial" w:eastAsia="Arial" w:hAnsi="Arial"/>
          <w:sz w:val="16"/>
          <w:szCs w:val="16"/>
          <w:b w:val="1"/>
          <w:bCs w:val="1"/>
          <w:color w:val="auto"/>
        </w:rPr>
        <w:t>CONSOLIDATED STATEMENT OF CHANGES IN NET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Decrease in net assets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realized loss on investments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Net change in unrealized depreciation on investments and cash equivalents</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Net 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distributions: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Dividends from 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Return of capital</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dividends and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share transactions: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Issuance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Offering costs related to public share offerings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Reinvestment of dividends (43,772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increase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End of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1901"/>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left="1901"/>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Period from</w:t>
      </w:r>
    </w:p>
    <w:p>
      <w:pPr>
        <w:jc w:val="center"/>
        <w:ind w:right="59"/>
        <w:spacing w:after="0" w:line="223" w:lineRule="auto"/>
        <w:rPr>
          <w:sz w:val="20"/>
          <w:szCs w:val="20"/>
          <w:color w:val="auto"/>
        </w:rPr>
      </w:pPr>
      <w:r>
        <w:rPr>
          <w:rFonts w:ascii="Arial" w:cs="Arial" w:eastAsia="Arial" w:hAnsi="Arial"/>
          <w:sz w:val="14"/>
          <w:szCs w:val="14"/>
          <w:b w:val="1"/>
          <w:bCs w:val="1"/>
          <w:color w:val="auto"/>
        </w:rPr>
        <w:t>January 11,</w:t>
      </w:r>
    </w:p>
    <w:p>
      <w:pPr>
        <w:jc w:val="center"/>
        <w:ind w:right="59"/>
        <w:spacing w:after="0" w:line="222" w:lineRule="auto"/>
        <w:rPr>
          <w:sz w:val="20"/>
          <w:szCs w:val="20"/>
          <w:color w:val="auto"/>
        </w:rPr>
      </w:pPr>
      <w:r>
        <w:rPr>
          <w:rFonts w:ascii="Arial" w:cs="Arial" w:eastAsia="Arial" w:hAnsi="Arial"/>
          <w:sz w:val="14"/>
          <w:szCs w:val="14"/>
          <w:b w:val="1"/>
          <w:bCs w:val="1"/>
          <w:color w:val="auto"/>
        </w:rPr>
        <w:t>2007 (inception)</w:t>
      </w:r>
    </w:p>
    <w:p>
      <w:pPr>
        <w:jc w:val="center"/>
        <w:ind w:right="59"/>
        <w:spacing w:after="0" w:line="221" w:lineRule="auto"/>
        <w:rPr>
          <w:sz w:val="20"/>
          <w:szCs w:val="20"/>
          <w:color w:val="auto"/>
        </w:rPr>
      </w:pPr>
      <w:r>
        <w:rPr>
          <w:rFonts w:ascii="Arial" w:cs="Arial" w:eastAsia="Arial" w:hAnsi="Arial"/>
          <w:sz w:val="14"/>
          <w:szCs w:val="14"/>
          <w:b w:val="1"/>
          <w:bCs w:val="1"/>
          <w:color w:val="auto"/>
        </w:rPr>
        <w:t>through</w:t>
      </w:r>
    </w:p>
    <w:p>
      <w:pPr>
        <w:jc w:val="center"/>
        <w:ind w:right="59"/>
        <w:spacing w:after="0" w:line="222" w:lineRule="auto"/>
        <w:rPr>
          <w:sz w:val="20"/>
          <w:szCs w:val="20"/>
          <w:color w:val="auto"/>
        </w:rPr>
      </w:pPr>
      <w:r>
        <w:rPr>
          <w:rFonts w:ascii="Arial" w:cs="Arial" w:eastAsia="Arial" w:hAnsi="Arial"/>
          <w:sz w:val="14"/>
          <w:szCs w:val="14"/>
          <w:b w:val="1"/>
          <w:bCs w:val="1"/>
          <w:color w:val="auto"/>
        </w:rPr>
        <w:t>September 30,</w:t>
      </w:r>
    </w:p>
    <w:p>
      <w:pPr>
        <w:jc w:val="center"/>
        <w:ind w:right="59"/>
        <w:spacing w:after="0"/>
        <w:rPr>
          <w:sz w:val="20"/>
          <w:szCs w:val="20"/>
          <w:color w:val="auto"/>
        </w:rPr>
      </w:pP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6858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88" w:lineRule="exact"/>
        <w:rPr>
          <w:sz w:val="20"/>
          <w:szCs w:val="20"/>
          <w:color w:val="auto"/>
        </w:rPr>
      </w:pPr>
    </w:p>
    <w:p>
      <w:pPr>
        <w:ind w:left="381" w:hanging="381"/>
        <w:spacing w:after="0"/>
        <w:tabs>
          <w:tab w:leader="none" w:pos="381" w:val="left"/>
        </w:tabs>
        <w:numPr>
          <w:ilvl w:val="0"/>
          <w:numId w:val="76"/>
        </w:numPr>
        <w:rPr>
          <w:rFonts w:ascii="Arial" w:cs="Arial" w:eastAsia="Arial" w:hAnsi="Arial"/>
          <w:sz w:val="16"/>
          <w:szCs w:val="16"/>
          <w:color w:val="auto"/>
        </w:rPr>
      </w:pPr>
      <w:r>
        <w:rPr>
          <w:rFonts w:ascii="Arial" w:cs="Arial" w:eastAsia="Arial" w:hAnsi="Arial"/>
          <w:sz w:val="16"/>
          <w:szCs w:val="16"/>
          <w:color w:val="auto"/>
        </w:rPr>
        <w:t>7,304,496</w:t>
      </w:r>
    </w:p>
    <w:p>
      <w:pPr>
        <w:spacing w:after="0" w:line="38" w:lineRule="exact"/>
        <w:rPr>
          <w:rFonts w:ascii="Arial" w:cs="Arial" w:eastAsia="Arial" w:hAnsi="Arial"/>
          <w:sz w:val="16"/>
          <w:szCs w:val="16"/>
          <w:color w:val="auto"/>
        </w:rPr>
      </w:pPr>
    </w:p>
    <w:p>
      <w:pPr>
        <w:ind w:left="541"/>
        <w:spacing w:after="0"/>
        <w:rPr>
          <w:rFonts w:ascii="Arial" w:cs="Arial" w:eastAsia="Arial" w:hAnsi="Arial"/>
          <w:sz w:val="16"/>
          <w:szCs w:val="16"/>
          <w:color w:val="auto"/>
        </w:rPr>
      </w:pPr>
      <w:r>
        <w:rPr>
          <w:rFonts w:ascii="Arial" w:cs="Arial" w:eastAsia="Arial" w:hAnsi="Arial"/>
          <w:sz w:val="16"/>
          <w:szCs w:val="16"/>
          <w:color w:val="auto"/>
        </w:rPr>
        <w:t>(81,769)</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(23,921,978)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858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(16,699,251)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858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(7,545,458)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(28,356)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858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(7,573,814)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858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315,375,000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(21,309,375)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600,534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858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0" w:lineRule="exact"/>
        <w:rPr>
          <w:sz w:val="20"/>
          <w:szCs w:val="20"/>
          <w:color w:val="auto"/>
        </w:rPr>
      </w:pPr>
    </w:p>
    <w:p>
      <w:pPr>
        <w:ind w:left="201"/>
        <w:spacing w:after="0"/>
        <w:rPr>
          <w:sz w:val="20"/>
          <w:szCs w:val="20"/>
          <w:color w:val="auto"/>
        </w:rPr>
      </w:pPr>
      <w:r>
        <w:rPr>
          <w:rFonts w:ascii="Arial" w:cs="Arial" w:eastAsia="Arial" w:hAnsi="Arial"/>
          <w:sz w:val="16"/>
          <w:szCs w:val="16"/>
          <w:color w:val="auto"/>
        </w:rPr>
        <w:t>294,666,159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858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9" w:lineRule="exact"/>
        <w:rPr>
          <w:sz w:val="20"/>
          <w:szCs w:val="20"/>
          <w:color w:val="auto"/>
        </w:rPr>
      </w:pPr>
    </w:p>
    <w:p>
      <w:pPr>
        <w:ind w:left="201"/>
        <w:spacing w:after="0"/>
        <w:rPr>
          <w:sz w:val="20"/>
          <w:szCs w:val="20"/>
          <w:color w:val="auto"/>
        </w:rPr>
      </w:pPr>
      <w:r>
        <w:rPr>
          <w:rFonts w:ascii="Arial" w:cs="Arial" w:eastAsia="Arial" w:hAnsi="Arial"/>
          <w:sz w:val="16"/>
          <w:szCs w:val="16"/>
          <w:color w:val="auto"/>
        </w:rPr>
        <w:t>270,393,094</w:t>
      </w:r>
    </w:p>
    <w:p>
      <w:pPr>
        <w:spacing w:after="0" w:line="248" w:lineRule="exact"/>
        <w:rPr>
          <w:sz w:val="20"/>
          <w:szCs w:val="20"/>
          <w:color w:val="auto"/>
        </w:rPr>
      </w:pPr>
    </w:p>
    <w:p>
      <w:pPr>
        <w:ind w:left="821"/>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858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6"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  270,393,094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6858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2">
            <w:col w:w="9539" w:space="720"/>
            <w:col w:w="1141"/>
          </w:cols>
          <w:pgMar w:left="240" w:top="274" w:right="259" w:bottom="1440" w:gutter="0" w:footer="0" w:header="0"/>
        </w:sectPr>
      </w:pPr>
    </w:p>
    <w:bookmarkStart w:id="121" w:name="page122"/>
    <w:bookmarkEnd w:id="121"/>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10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January 11,</w:t>
            </w:r>
          </w:p>
        </w:tc>
      </w:tr>
      <w:tr>
        <w:trPr>
          <w:trHeight w:val="149"/>
        </w:trPr>
        <w:tc>
          <w:tcPr>
            <w:tcW w:w="1026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2007 (inception)</w:t>
            </w:r>
          </w:p>
        </w:tc>
      </w:tr>
      <w:tr>
        <w:trPr>
          <w:trHeight w:val="149"/>
        </w:trPr>
        <w:tc>
          <w:tcPr>
            <w:tcW w:w="10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through</w:t>
            </w:r>
          </w:p>
        </w:tc>
      </w:tr>
      <w:tr>
        <w:trPr>
          <w:trHeight w:val="149"/>
        </w:trPr>
        <w:tc>
          <w:tcPr>
            <w:tcW w:w="10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September 30,</w:t>
            </w:r>
          </w:p>
        </w:tc>
      </w:tr>
      <w:tr>
        <w:trPr>
          <w:trHeight w:val="161"/>
        </w:trPr>
        <w:tc>
          <w:tcPr>
            <w:tcW w:w="10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4"/>
                <w:szCs w:val="14"/>
                <w:color w:val="auto"/>
              </w:rPr>
            </w:pPr>
          </w:p>
        </w:tc>
      </w:tr>
      <w:tr>
        <w:trPr>
          <w:trHeight w:val="210"/>
        </w:trPr>
        <w:tc>
          <w:tcPr>
            <w:tcW w:w="10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260" w:type="dxa"/>
            <w:vAlign w:val="bottom"/>
          </w:tcPr>
          <w:p>
            <w:pPr>
              <w:ind w:left="440"/>
              <w:spacing w:after="0"/>
              <w:rPr>
                <w:sz w:val="20"/>
                <w:szCs w:val="20"/>
                <w:color w:val="auto"/>
              </w:rPr>
            </w:pPr>
            <w:r>
              <w:rPr>
                <w:rFonts w:ascii="Arial" w:cs="Arial" w:eastAsia="Arial" w:hAnsi="Arial"/>
                <w:sz w:val="18"/>
                <w:szCs w:val="18"/>
                <w:color w:val="auto"/>
              </w:rPr>
              <w:t>Net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(16,699,251)</w:t>
            </w:r>
          </w:p>
        </w:tc>
      </w:tr>
      <w:tr>
        <w:trPr>
          <w:trHeight w:val="216"/>
        </w:trPr>
        <w:tc>
          <w:tcPr>
            <w:tcW w:w="10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decrease in net assets resulting from operations to net cash used by operating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Change in net unrealized depreciation on investments and cash equivalents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23,921,978</w:t>
            </w:r>
          </w:p>
        </w:tc>
        <w:tc>
          <w:tcPr>
            <w:tcW w:w="80" w:type="dxa"/>
            <w:vAlign w:val="bottom"/>
          </w:tcPr>
          <w:p>
            <w:pPr>
              <w:spacing w:after="0"/>
              <w:rPr>
                <w:sz w:val="18"/>
                <w:szCs w:val="18"/>
                <w:color w:val="auto"/>
              </w:rPr>
            </w:pP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realized loss on investments and cash equivalents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81,769</w:t>
            </w:r>
          </w:p>
        </w:tc>
        <w:tc>
          <w:tcPr>
            <w:tcW w:w="80" w:type="dxa"/>
            <w:vAlign w:val="bottom"/>
            <w:shd w:val="clear" w:color="auto" w:fill="CCEEFF"/>
          </w:tcPr>
          <w:p>
            <w:pPr>
              <w:spacing w:after="0"/>
              <w:rPr>
                <w:sz w:val="18"/>
                <w:szCs w:val="18"/>
                <w:color w:val="auto"/>
              </w:rPr>
            </w:pP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(15,875)</w:t>
            </w: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Purchase of investments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(414,640,441)</w:t>
            </w: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Proceeds from disposition of investments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99,635,961</w:t>
            </w:r>
          </w:p>
        </w:tc>
        <w:tc>
          <w:tcPr>
            <w:tcW w:w="80" w:type="dxa"/>
            <w:vAlign w:val="bottom"/>
          </w:tcPr>
          <w:p>
            <w:pPr>
              <w:spacing w:after="0"/>
              <w:rPr>
                <w:sz w:val="18"/>
                <w:szCs w:val="18"/>
                <w:color w:val="auto"/>
              </w:rPr>
            </w:pP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interest receivable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(4,517,850)</w:t>
            </w: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Increase in prepaid expenses and other assets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(252,287)</w:t>
            </w: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payables for cash equivalents purchased</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252,759,931</w:t>
            </w:r>
          </w:p>
        </w:tc>
        <w:tc>
          <w:tcPr>
            <w:tcW w:w="80" w:type="dxa"/>
            <w:vAlign w:val="bottom"/>
            <w:shd w:val="clear" w:color="auto" w:fill="CCEEFF"/>
          </w:tcPr>
          <w:p>
            <w:pPr>
              <w:spacing w:after="0"/>
              <w:rPr>
                <w:sz w:val="18"/>
                <w:szCs w:val="18"/>
                <w:color w:val="auto"/>
              </w:rPr>
            </w:pP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Increase in payables for investments purchased</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16,583,921</w:t>
            </w:r>
          </w:p>
        </w:tc>
        <w:tc>
          <w:tcPr>
            <w:tcW w:w="80" w:type="dxa"/>
            <w:vAlign w:val="bottom"/>
          </w:tcPr>
          <w:p>
            <w:pPr>
              <w:spacing w:after="0"/>
              <w:rPr>
                <w:sz w:val="18"/>
                <w:szCs w:val="18"/>
                <w:color w:val="auto"/>
              </w:rPr>
            </w:pP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unfunded investments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3,989,948</w:t>
            </w:r>
          </w:p>
        </w:tc>
        <w:tc>
          <w:tcPr>
            <w:tcW w:w="80" w:type="dxa"/>
            <w:vAlign w:val="bottom"/>
            <w:shd w:val="clear" w:color="auto" w:fill="CCEEFF"/>
          </w:tcPr>
          <w:p>
            <w:pPr>
              <w:spacing w:after="0"/>
              <w:rPr>
                <w:sz w:val="18"/>
                <w:szCs w:val="18"/>
                <w:color w:val="auto"/>
              </w:rPr>
            </w:pPr>
          </w:p>
        </w:tc>
      </w:tr>
      <w:tr>
        <w:trPr>
          <w:trHeight w:val="223"/>
        </w:trPr>
        <w:tc>
          <w:tcPr>
            <w:tcW w:w="10260" w:type="dxa"/>
            <w:vAlign w:val="bottom"/>
          </w:tcPr>
          <w:p>
            <w:pPr>
              <w:ind w:left="880"/>
              <w:spacing w:after="0"/>
              <w:rPr>
                <w:sz w:val="20"/>
                <w:szCs w:val="20"/>
                <w:color w:val="auto"/>
              </w:rPr>
            </w:pPr>
            <w:r>
              <w:rPr>
                <w:rFonts w:ascii="Arial" w:cs="Arial" w:eastAsia="Arial" w:hAnsi="Arial"/>
                <w:sz w:val="18"/>
                <w:szCs w:val="18"/>
                <w:color w:val="auto"/>
              </w:rPr>
              <w:t>Increase in accrued expenses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1,280,782</w:t>
            </w:r>
          </w:p>
        </w:tc>
        <w:tc>
          <w:tcPr>
            <w:tcW w:w="80" w:type="dxa"/>
            <w:vAlign w:val="bottom"/>
          </w:tcPr>
          <w:p>
            <w:pPr>
              <w:spacing w:after="0"/>
              <w:rPr>
                <w:sz w:val="19"/>
                <w:szCs w:val="19"/>
                <w:color w:val="auto"/>
              </w:rPr>
            </w:pPr>
          </w:p>
        </w:tc>
      </w:tr>
      <w:tr>
        <w:trPr>
          <w:trHeight w:val="216"/>
        </w:trPr>
        <w:tc>
          <w:tcPr>
            <w:tcW w:w="102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by operating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(37,871,414)</w:t>
            </w:r>
          </w:p>
        </w:tc>
      </w:tr>
      <w:tr>
        <w:trPr>
          <w:trHeight w:val="222"/>
        </w:trPr>
        <w:tc>
          <w:tcPr>
            <w:tcW w:w="102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7"/>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Issuance of shares of common stock</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315,375,000</w:t>
            </w:r>
          </w:p>
        </w:tc>
        <w:tc>
          <w:tcPr>
            <w:tcW w:w="80" w:type="dxa"/>
            <w:vAlign w:val="bottom"/>
            <w:shd w:val="clear" w:color="auto" w:fill="CCEEFF"/>
          </w:tcPr>
          <w:p>
            <w:pPr>
              <w:spacing w:after="0"/>
              <w:rPr>
                <w:sz w:val="18"/>
                <w:szCs w:val="18"/>
                <w:color w:val="auto"/>
              </w:rPr>
            </w:pP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Offering costs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(21,309,375)</w:t>
            </w: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Capitalized borrowing costs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(1,261,296)</w:t>
            </w: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Borrowings under credit facility (See note 12)</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271,913,786</w:t>
            </w:r>
          </w:p>
        </w:tc>
        <w:tc>
          <w:tcPr>
            <w:tcW w:w="80" w:type="dxa"/>
            <w:vAlign w:val="bottom"/>
          </w:tcPr>
          <w:p>
            <w:pPr>
              <w:spacing w:after="0"/>
              <w:rPr>
                <w:sz w:val="18"/>
                <w:szCs w:val="18"/>
                <w:color w:val="auto"/>
              </w:rPr>
            </w:pP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Repayments under credit facility (See note 12)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(261,913,786)</w:t>
            </w:r>
          </w:p>
        </w:tc>
      </w:tr>
      <w:tr>
        <w:trPr>
          <w:trHeight w:val="223"/>
        </w:trPr>
        <w:tc>
          <w:tcPr>
            <w:tcW w:w="10260" w:type="dxa"/>
            <w:vAlign w:val="bottom"/>
          </w:tcPr>
          <w:p>
            <w:pPr>
              <w:ind w:left="880"/>
              <w:spacing w:after="0"/>
              <w:rPr>
                <w:sz w:val="20"/>
                <w:szCs w:val="20"/>
                <w:color w:val="auto"/>
              </w:rPr>
            </w:pPr>
            <w:r>
              <w:rPr>
                <w:rFonts w:ascii="Arial" w:cs="Arial" w:eastAsia="Arial" w:hAnsi="Arial"/>
                <w:sz w:val="18"/>
                <w:szCs w:val="18"/>
                <w:color w:val="auto"/>
              </w:rPr>
              <w:t>Dividends and distributions to stockholders (net of dividends reinvested)</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(6,973,280)</w:t>
            </w:r>
          </w:p>
        </w:tc>
      </w:tr>
      <w:tr>
        <w:trPr>
          <w:trHeight w:val="216"/>
        </w:trPr>
        <w:tc>
          <w:tcPr>
            <w:tcW w:w="102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295,831,049</w:t>
            </w:r>
          </w:p>
        </w:tc>
        <w:tc>
          <w:tcPr>
            <w:tcW w:w="80" w:type="dxa"/>
            <w:vAlign w:val="bottom"/>
            <w:shd w:val="clear" w:color="auto" w:fill="CCEEFF"/>
          </w:tcPr>
          <w:p>
            <w:pPr>
              <w:spacing w:after="0"/>
              <w:rPr>
                <w:sz w:val="18"/>
                <w:szCs w:val="18"/>
                <w:color w:val="auto"/>
              </w:rPr>
            </w:pPr>
          </w:p>
        </w:tc>
      </w:tr>
      <w:tr>
        <w:trPr>
          <w:trHeight w:val="222"/>
        </w:trPr>
        <w:tc>
          <w:tcPr>
            <w:tcW w:w="1026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257,959,635</w:t>
            </w:r>
          </w:p>
        </w:tc>
        <w:tc>
          <w:tcPr>
            <w:tcW w:w="80" w:type="dxa"/>
            <w:vAlign w:val="bottom"/>
          </w:tcPr>
          <w:p>
            <w:pPr>
              <w:spacing w:after="0"/>
              <w:rPr>
                <w:sz w:val="19"/>
                <w:szCs w:val="19"/>
                <w:color w:val="auto"/>
              </w:rPr>
            </w:pPr>
          </w:p>
        </w:tc>
      </w:tr>
      <w:tr>
        <w:trPr>
          <w:trHeight w:val="20"/>
        </w:trPr>
        <w:tc>
          <w:tcPr>
            <w:tcW w:w="10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1"/>
        </w:trPr>
        <w:tc>
          <w:tcPr>
            <w:tcW w:w="10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0260" w:type="dxa"/>
            <w:vAlign w:val="bottom"/>
          </w:tcPr>
          <w:p>
            <w:pPr>
              <w:spacing w:after="0"/>
              <w:rPr>
                <w:sz w:val="20"/>
                <w:szCs w:val="20"/>
                <w:color w:val="auto"/>
              </w:rPr>
            </w:pPr>
            <w:r>
              <w:rPr>
                <w:rFonts w:ascii="Arial" w:cs="Arial" w:eastAsia="Arial" w:hAnsi="Arial"/>
                <w:sz w:val="18"/>
                <w:szCs w:val="18"/>
                <w:b w:val="1"/>
                <w:bCs w:val="1"/>
                <w:color w:val="auto"/>
              </w:rPr>
              <w:t>Cash equivalents,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257,959,635</w:t>
            </w:r>
          </w:p>
        </w:tc>
        <w:tc>
          <w:tcPr>
            <w:tcW w:w="80" w:type="dxa"/>
            <w:vAlign w:val="bottom"/>
          </w:tcPr>
          <w:p>
            <w:pPr>
              <w:spacing w:after="0"/>
              <w:rPr>
                <w:sz w:val="18"/>
                <w:szCs w:val="18"/>
                <w:color w:val="auto"/>
              </w:rPr>
            </w:pPr>
          </w:p>
        </w:tc>
      </w:tr>
      <w:tr>
        <w:trPr>
          <w:trHeight w:val="216"/>
        </w:trPr>
        <w:tc>
          <w:tcPr>
            <w:tcW w:w="10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10260" w:type="dxa"/>
            <w:vAlign w:val="bottom"/>
          </w:tcPr>
          <w:p>
            <w:pPr>
              <w:ind w:left="440"/>
              <w:spacing w:after="0"/>
              <w:rPr>
                <w:sz w:val="20"/>
                <w:szCs w:val="20"/>
                <w:color w:val="auto"/>
              </w:rPr>
            </w:pPr>
            <w:r>
              <w:rPr>
                <w:rFonts w:ascii="Arial" w:cs="Arial" w:eastAsia="Arial" w:hAnsi="Arial"/>
                <w:sz w:val="18"/>
                <w:szCs w:val="18"/>
                <w:color w:val="auto"/>
              </w:rPr>
              <w:t>Interest paid during the period January 11, 2007 (inception) through September 30, 2007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1,598,055</w:t>
            </w:r>
          </w:p>
        </w:tc>
        <w:tc>
          <w:tcPr>
            <w:tcW w:w="80" w:type="dxa"/>
            <w:vAlign w:val="bottom"/>
          </w:tcPr>
          <w:p>
            <w:pPr>
              <w:spacing w:after="0"/>
              <w:rPr>
                <w:sz w:val="19"/>
                <w:szCs w:val="19"/>
                <w:color w:val="auto"/>
              </w:rPr>
            </w:pPr>
          </w:p>
        </w:tc>
      </w:tr>
      <w:tr>
        <w:trPr>
          <w:trHeight w:val="216"/>
        </w:trPr>
        <w:tc>
          <w:tcPr>
            <w:tcW w:w="10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Non-cash financing activities consist of the reinvestment of dividends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600,534</w:t>
            </w:r>
          </w:p>
        </w:tc>
        <w:tc>
          <w:tcPr>
            <w:tcW w:w="80" w:type="dxa"/>
            <w:vAlign w:val="bottom"/>
            <w:shd w:val="clear" w:color="auto" w:fill="CCEEFF"/>
          </w:tcPr>
          <w:p>
            <w:pPr>
              <w:spacing w:after="0"/>
              <w:rPr>
                <w:sz w:val="18"/>
                <w:szCs w:val="18"/>
                <w:color w:val="auto"/>
              </w:rPr>
            </w:pPr>
          </w:p>
        </w:tc>
      </w:tr>
      <w:tr>
        <w:trPr>
          <w:trHeight w:val="222"/>
        </w:trPr>
        <w:tc>
          <w:tcPr>
            <w:tcW w:w="10260" w:type="dxa"/>
            <w:vAlign w:val="bottom"/>
          </w:tcPr>
          <w:p>
            <w:pPr>
              <w:ind w:left="440"/>
              <w:spacing w:after="0"/>
              <w:rPr>
                <w:sz w:val="20"/>
                <w:szCs w:val="20"/>
                <w:color w:val="auto"/>
              </w:rPr>
            </w:pPr>
            <w:r>
              <w:rPr>
                <w:rFonts w:ascii="Arial" w:cs="Arial" w:eastAsia="Arial" w:hAnsi="Arial"/>
                <w:sz w:val="18"/>
                <w:szCs w:val="18"/>
                <w:color w:val="auto"/>
              </w:rPr>
              <w:t>Payment-in-kind interest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668,268</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274" w:right="239" w:bottom="1440" w:gutter="0" w:footer="0" w:header="0"/>
        </w:sectPr>
      </w:pPr>
    </w:p>
    <w:bookmarkStart w:id="122" w:name="page123"/>
    <w:bookmarkEnd w:id="122"/>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Point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Current</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Above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87"/>
              </w:rPr>
              <w:t>Value</w:t>
            </w:r>
            <w:r>
              <w:rPr>
                <w:rFonts w:ascii="Arial" w:cs="Arial" w:eastAsia="Arial" w:hAnsi="Arial"/>
                <w:sz w:val="22"/>
                <w:szCs w:val="22"/>
                <w:b w:val="1"/>
                <w:bCs w:val="1"/>
                <w:color w:val="auto"/>
                <w:w w:val="87"/>
                <w:vertAlign w:val="superscript"/>
              </w:rPr>
              <w:t>(\2)</w:t>
            </w:r>
          </w:p>
        </w:tc>
        <w:tc>
          <w:tcPr>
            <w:tcW w:w="0" w:type="dxa"/>
            <w:vAlign w:val="bottom"/>
          </w:tcPr>
          <w:p>
            <w:pPr>
              <w:spacing w:after="0"/>
              <w:rPr>
                <w:sz w:val="1"/>
                <w:szCs w:val="1"/>
                <w:color w:val="auto"/>
              </w:rPr>
            </w:pPr>
          </w:p>
        </w:tc>
      </w:tr>
      <w:tr>
        <w:trPr>
          <w:trHeight w:val="176"/>
        </w:trPr>
        <w:tc>
          <w:tcPr>
            <w:tcW w:w="4100" w:type="dxa"/>
            <w:vAlign w:val="bottom"/>
            <w:gridSpan w:val="3"/>
            <w:vMerge w:val="continue"/>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Maturity</w:t>
            </w:r>
          </w:p>
        </w:tc>
        <w:tc>
          <w:tcPr>
            <w:tcW w:w="640" w:type="dxa"/>
            <w:vAlign w:val="bottom"/>
          </w:tcPr>
          <w:p>
            <w:pPr>
              <w:spacing w:after="0"/>
              <w:rPr>
                <w:sz w:val="15"/>
                <w:szCs w:val="15"/>
                <w:color w:val="auto"/>
              </w:rPr>
            </w:pPr>
          </w:p>
        </w:tc>
        <w:tc>
          <w:tcPr>
            <w:tcW w:w="13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0"/>
              </w:rPr>
              <w:t>Industry</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Coupon</w:t>
            </w:r>
          </w:p>
        </w:tc>
        <w:tc>
          <w:tcPr>
            <w:tcW w:w="700" w:type="dxa"/>
            <w:vAlign w:val="bottom"/>
            <w:gridSpan w:val="2"/>
          </w:tcPr>
          <w:p>
            <w:pPr>
              <w:jc w:val="right"/>
              <w:ind w:right="160"/>
              <w:spacing w:after="0" w:line="176" w:lineRule="exact"/>
              <w:rPr>
                <w:sz w:val="20"/>
                <w:szCs w:val="20"/>
                <w:color w:val="auto"/>
              </w:rPr>
            </w:pPr>
            <w:r>
              <w:rPr>
                <w:rFonts w:ascii="Arial" w:cs="Arial" w:eastAsia="Arial" w:hAnsi="Arial"/>
                <w:sz w:val="13"/>
                <w:szCs w:val="13"/>
                <w:b w:val="1"/>
                <w:bCs w:val="1"/>
                <w:color w:val="auto"/>
              </w:rPr>
              <w:t>Index</w:t>
            </w:r>
            <w:r>
              <w:rPr>
                <w:rFonts w:ascii="Arial" w:cs="Arial" w:eastAsia="Arial" w:hAnsi="Arial"/>
                <w:sz w:val="20"/>
                <w:szCs w:val="20"/>
                <w:b w:val="1"/>
                <w:bCs w:val="1"/>
                <w:color w:val="auto"/>
                <w:vertAlign w:val="superscript"/>
              </w:rPr>
              <w:t>(3)</w:t>
            </w:r>
          </w:p>
        </w:tc>
        <w:tc>
          <w:tcPr>
            <w:tcW w:w="160" w:type="dxa"/>
            <w:vAlign w:val="bottom"/>
          </w:tcPr>
          <w:p>
            <w:pPr>
              <w:spacing w:after="0"/>
              <w:rPr>
                <w:sz w:val="15"/>
                <w:szCs w:val="15"/>
                <w:color w:val="auto"/>
              </w:rPr>
            </w:pPr>
          </w:p>
        </w:tc>
        <w:tc>
          <w:tcPr>
            <w:tcW w:w="7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4"/>
          </w:tcPr>
          <w:p>
            <w:pPr>
              <w:ind w:left="1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5"/>
                <w:szCs w:val="15"/>
                <w:color w:val="auto"/>
              </w:rPr>
            </w:pPr>
          </w:p>
        </w:tc>
        <w:tc>
          <w:tcPr>
            <w:tcW w:w="7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0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Subordinated Debt / Corporate Notes—21.2%</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DVANSTAR</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11/30/2015</w:t>
            </w:r>
          </w:p>
        </w:tc>
        <w:tc>
          <w:tcPr>
            <w:tcW w:w="19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12.20%*</w:t>
            </w:r>
          </w:p>
        </w:tc>
        <w:tc>
          <w:tcPr>
            <w:tcW w:w="7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L+700</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6"/>
              </w:rPr>
              <w:t>14,580,690</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6"/>
              </w:rPr>
              <w:t>14,580,690</w:t>
            </w:r>
          </w:p>
        </w:tc>
        <w:tc>
          <w:tcPr>
            <w:tcW w:w="10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14,580,690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FFINION</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03/01/2012</w:t>
            </w:r>
          </w:p>
        </w:tc>
        <w:tc>
          <w:tcPr>
            <w:tcW w:w="198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CONSUMER PRODUCTS</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11.68%*</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L+625</w:t>
            </w: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18,500,000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18,106,103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17,760,000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tcPr>
          <w:p>
            <w:pPr>
              <w:spacing w:after="0" w:line="138"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ERFORMANCE</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80" w:type="dxa"/>
            <w:vAlign w:val="bottom"/>
            <w:gridSpan w:val="3"/>
          </w:tcPr>
          <w:p>
            <w:pPr>
              <w:jc w:val="center"/>
              <w:ind w:right="160"/>
              <w:spacing w:after="0" w:line="138" w:lineRule="exact"/>
              <w:rPr>
                <w:sz w:val="20"/>
                <w:szCs w:val="20"/>
                <w:color w:val="auto"/>
              </w:rPr>
            </w:pPr>
            <w:r>
              <w:rPr>
                <w:rFonts w:ascii="Arial" w:cs="Arial" w:eastAsia="Arial" w:hAnsi="Arial"/>
                <w:sz w:val="14"/>
                <w:szCs w:val="14"/>
                <w:color w:val="auto"/>
                <w:w w:val="93"/>
              </w:rPr>
              <w:t>LEISURE, AMUSEMENT,</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07/02/2014</w:t>
            </w:r>
          </w:p>
        </w:tc>
        <w:tc>
          <w:tcPr>
            <w:tcW w:w="19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3"/>
              </w:rPr>
              <w:t>MOTION PICTURES &amp;</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14.25%*</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3,837,578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3,592,573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3,837,578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95"/>
              </w:rPr>
              <w:t>ENTERTAINMENT</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R</w:t>
            </w:r>
            <w:r>
              <w:rPr>
                <w:rFonts w:ascii="Arial" w:cs="Arial" w:eastAsia="Arial" w:hAnsi="Arial"/>
                <w:sz w:val="9"/>
                <w:szCs w:val="9"/>
                <w:color w:val="auto"/>
              </w:rPr>
              <w:t>EALOGY</w:t>
            </w:r>
            <w:r>
              <w:rPr>
                <w:rFonts w:ascii="Arial" w:cs="Arial" w:eastAsia="Arial" w:hAnsi="Arial"/>
                <w:sz w:val="11"/>
                <w:szCs w:val="11"/>
                <w:color w:val="auto"/>
              </w:rPr>
              <w:t xml:space="preserve"> C</w:t>
            </w:r>
            <w:r>
              <w:rPr>
                <w:rFonts w:ascii="Arial" w:cs="Arial" w:eastAsia="Arial" w:hAnsi="Arial"/>
                <w:sz w:val="9"/>
                <w:szCs w:val="9"/>
                <w:color w:val="auto"/>
              </w:rPr>
              <w:t>ORP</w:t>
            </w:r>
            <w:r>
              <w:rPr>
                <w:rFonts w:ascii="Arial" w:cs="Arial" w:eastAsia="Arial" w:hAnsi="Arial"/>
                <w:sz w:val="11"/>
                <w:szCs w:val="11"/>
                <w:color w:val="auto"/>
              </w:rPr>
              <w:t>.</w:t>
            </w:r>
            <w:r>
              <w:rPr>
                <w:rFonts w:ascii="Arial" w:cs="Arial" w:eastAsia="Arial" w:hAnsi="Arial"/>
                <w:sz w:val="17"/>
                <w:szCs w:val="17"/>
                <w:color w:val="auto"/>
                <w:vertAlign w:val="superscript"/>
              </w:rPr>
              <w:t>(5)</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04/15/2015</w:t>
            </w:r>
          </w:p>
        </w:tc>
        <w:tc>
          <w:tcPr>
            <w:tcW w:w="198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7"/>
              </w:rPr>
              <w:t>BUILDINGS &amp; REAL</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12.38%</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28,000,000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26,117,780</w:t>
            </w: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21,140,000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800"/>
              <w:spacing w:after="0" w:line="149" w:lineRule="exact"/>
              <w:rPr>
                <w:sz w:val="20"/>
                <w:szCs w:val="20"/>
                <w:color w:val="auto"/>
              </w:rPr>
            </w:pPr>
            <w:r>
              <w:rPr>
                <w:rFonts w:ascii="Arial" w:cs="Arial" w:eastAsia="Arial" w:hAnsi="Arial"/>
                <w:sz w:val="14"/>
                <w:szCs w:val="14"/>
                <w:color w:val="auto"/>
                <w:w w:val="84"/>
              </w:rPr>
              <w:t>ESTATE</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 / Corporate Notes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6"/>
              </w:rPr>
              <w:t>64,918,268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6"/>
              </w:rPr>
              <w:t>62,397,146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4"/>
          </w:tcPr>
          <w:p>
            <w:pPr>
              <w:jc w:val="right"/>
              <w:ind w:right="20"/>
              <w:spacing w:after="0" w:line="155" w:lineRule="exact"/>
              <w:rPr>
                <w:sz w:val="20"/>
                <w:szCs w:val="20"/>
                <w:color w:val="auto"/>
              </w:rPr>
            </w:pPr>
            <w:r>
              <w:rPr>
                <w:rFonts w:ascii="Arial" w:cs="Arial" w:eastAsia="Arial" w:hAnsi="Arial"/>
                <w:sz w:val="14"/>
                <w:szCs w:val="14"/>
                <w:color w:val="auto"/>
              </w:rPr>
              <w:t>57,318,268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common equity**—2.6%</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VSS-AHC H</w:t>
            </w:r>
            <w:r>
              <w:rPr>
                <w:rFonts w:ascii="Arial" w:cs="Arial" w:eastAsia="Arial" w:hAnsi="Arial"/>
                <w:sz w:val="11"/>
                <w:szCs w:val="11"/>
                <w:color w:val="auto"/>
              </w:rPr>
              <w:t>OLDINGS</w:t>
            </w:r>
            <w:r>
              <w:rPr>
                <w:rFonts w:ascii="Arial" w:cs="Arial" w:eastAsia="Arial" w:hAnsi="Arial"/>
                <w:sz w:val="14"/>
                <w:szCs w:val="14"/>
                <w:color w:val="auto"/>
              </w:rPr>
              <w:t>, L.L.C.</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98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3,269,685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tcPr>
          <w:p>
            <w:pPr>
              <w:spacing w:after="0" w:line="138"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ERFORMANCE</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1980" w:type="dxa"/>
            <w:vAlign w:val="bottom"/>
            <w:gridSpan w:val="3"/>
          </w:tcPr>
          <w:p>
            <w:pPr>
              <w:jc w:val="center"/>
              <w:ind w:right="160"/>
              <w:spacing w:after="0" w:line="138" w:lineRule="exact"/>
              <w:rPr>
                <w:sz w:val="20"/>
                <w:szCs w:val="20"/>
                <w:color w:val="auto"/>
              </w:rPr>
            </w:pPr>
            <w:r>
              <w:rPr>
                <w:rFonts w:ascii="Arial" w:cs="Arial" w:eastAsia="Arial" w:hAnsi="Arial"/>
                <w:sz w:val="14"/>
                <w:szCs w:val="14"/>
                <w:color w:val="auto"/>
                <w:w w:val="93"/>
              </w:rPr>
              <w:t>LEISURE, AMUSEMENT,</w:t>
            </w:r>
          </w:p>
        </w:tc>
        <w:tc>
          <w:tcPr>
            <w:tcW w:w="92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37,500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3,750,000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3,750,000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3"/>
              </w:rPr>
              <w:t>MOTION PICTURES &amp;</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95"/>
              </w:rPr>
              <w:t>ENTERTAINMENT</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40,500</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6,750,000</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7,019,685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Debt—25.0%</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tcPr>
          <w:p>
            <w:pPr>
              <w:spacing w:after="0" w:line="138"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ERFORMANCE</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07/02/2014</w:t>
            </w:r>
          </w:p>
        </w:tc>
        <w:tc>
          <w:tcPr>
            <w:tcW w:w="1980" w:type="dxa"/>
            <w:vAlign w:val="bottom"/>
            <w:gridSpan w:val="3"/>
          </w:tcPr>
          <w:p>
            <w:pPr>
              <w:jc w:val="center"/>
              <w:ind w:right="160"/>
              <w:spacing w:after="0" w:line="138" w:lineRule="exact"/>
              <w:rPr>
                <w:sz w:val="20"/>
                <w:szCs w:val="20"/>
                <w:color w:val="auto"/>
              </w:rPr>
            </w:pPr>
            <w:r>
              <w:rPr>
                <w:rFonts w:ascii="Arial" w:cs="Arial" w:eastAsia="Arial" w:hAnsi="Arial"/>
                <w:sz w:val="14"/>
                <w:szCs w:val="14"/>
                <w:color w:val="auto"/>
                <w:w w:val="93"/>
              </w:rPr>
              <w:t>LEISURE, AMUSEMENT,</w:t>
            </w: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11.11%</w:t>
            </w:r>
          </w:p>
        </w:tc>
        <w:tc>
          <w:tcPr>
            <w:tcW w:w="70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L+575</w:t>
            </w:r>
          </w:p>
        </w:tc>
        <w:tc>
          <w:tcPr>
            <w:tcW w:w="160" w:type="dxa"/>
            <w:vAlign w:val="bottom"/>
          </w:tcPr>
          <w:p>
            <w:pPr>
              <w:spacing w:after="0"/>
              <w:rPr>
                <w:sz w:val="11"/>
                <w:szCs w:val="11"/>
                <w:color w:val="auto"/>
              </w:rPr>
            </w:pPr>
          </w:p>
        </w:tc>
        <w:tc>
          <w:tcPr>
            <w:tcW w:w="70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8,750,000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8,750,000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8,750,000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3"/>
              </w:rPr>
              <w:t>MOTION PICTURES &amp;</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95"/>
              </w:rPr>
              <w:t>ENTERTAINMENT</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w:t>
            </w:r>
            <w:r>
              <w:rPr>
                <w:rFonts w:ascii="Arial" w:cs="Arial" w:eastAsia="Arial" w:hAnsi="Arial"/>
                <w:sz w:val="11"/>
                <w:szCs w:val="11"/>
                <w:color w:val="auto"/>
              </w:rPr>
              <w:t>UESTEX</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11/04/2014</w:t>
            </w:r>
          </w:p>
        </w:tc>
        <w:tc>
          <w:tcPr>
            <w:tcW w:w="198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12.08%</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L+650</w:t>
            </w: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gridSpan w:val="2"/>
          </w:tcPr>
          <w:p>
            <w:pPr>
              <w:spacing w:after="0" w:line="176" w:lineRule="exact"/>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AINT</w:t>
            </w:r>
            <w:r>
              <w:rPr>
                <w:rFonts w:ascii="Arial" w:cs="Arial" w:eastAsia="Arial" w:hAnsi="Arial"/>
                <w:sz w:val="13"/>
                <w:szCs w:val="13"/>
                <w:color w:val="auto"/>
              </w:rPr>
              <w:t xml:space="preserve"> A</w:t>
            </w:r>
            <w:r>
              <w:rPr>
                <w:rFonts w:ascii="Arial" w:cs="Arial" w:eastAsia="Arial" w:hAnsi="Arial"/>
                <w:sz w:val="10"/>
                <w:szCs w:val="10"/>
                <w:color w:val="auto"/>
              </w:rPr>
              <w:t>CQUISITION</w:t>
            </w:r>
            <w:r>
              <w:rPr>
                <w:rFonts w:ascii="Arial" w:cs="Arial" w:eastAsia="Arial" w:hAnsi="Arial"/>
                <w:sz w:val="13"/>
                <w:szCs w:val="13"/>
                <w:color w:val="auto"/>
              </w:rPr>
              <w:t xml:space="preserve"> C</w:t>
            </w:r>
            <w:r>
              <w:rPr>
                <w:rFonts w:ascii="Arial" w:cs="Arial" w:eastAsia="Arial" w:hAnsi="Arial"/>
                <w:sz w:val="10"/>
                <w:szCs w:val="10"/>
                <w:color w:val="auto"/>
              </w:rPr>
              <w:t>ORP</w:t>
            </w:r>
            <w:r>
              <w:rPr>
                <w:rFonts w:ascii="Arial" w:cs="Arial" w:eastAsia="Arial" w:hAnsi="Arial"/>
                <w:sz w:val="13"/>
                <w:szCs w:val="13"/>
                <w:color w:val="auto"/>
              </w:rPr>
              <w:t>.</w:t>
            </w:r>
            <w:r>
              <w:rPr>
                <w:rFonts w:ascii="Arial" w:cs="Arial" w:eastAsia="Arial" w:hAnsi="Arial"/>
                <w:sz w:val="20"/>
                <w:szCs w:val="20"/>
                <w:color w:val="auto"/>
                <w:vertAlign w:val="superscript"/>
              </w:rPr>
              <w:t>(5)</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05/15/2015</w:t>
            </w:r>
          </w:p>
        </w:tc>
        <w:tc>
          <w:tcPr>
            <w:tcW w:w="1980" w:type="dxa"/>
            <w:vAlign w:val="bottom"/>
            <w:gridSpan w:val="3"/>
          </w:tcPr>
          <w:p>
            <w:pPr>
              <w:jc w:val="center"/>
              <w:ind w:right="160"/>
              <w:spacing w:after="0"/>
              <w:rPr>
                <w:sz w:val="20"/>
                <w:szCs w:val="20"/>
                <w:color w:val="auto"/>
              </w:rPr>
            </w:pPr>
            <w:r>
              <w:rPr>
                <w:rFonts w:ascii="Arial" w:cs="Arial" w:eastAsia="Arial" w:hAnsi="Arial"/>
                <w:sz w:val="14"/>
                <w:szCs w:val="14"/>
                <w:color w:val="auto"/>
                <w:w w:val="91"/>
              </w:rPr>
              <w:t>TRANSPORTATION</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13.31%</w:t>
            </w:r>
          </w:p>
        </w:tc>
        <w:tc>
          <w:tcPr>
            <w:tcW w:w="700" w:type="dxa"/>
            <w:vAlign w:val="bottom"/>
            <w:gridSpan w:val="2"/>
          </w:tcPr>
          <w:p>
            <w:pPr>
              <w:ind w:left="240"/>
              <w:spacing w:after="0"/>
              <w:rPr>
                <w:sz w:val="20"/>
                <w:szCs w:val="20"/>
                <w:color w:val="auto"/>
              </w:rPr>
            </w:pPr>
            <w:r>
              <w:rPr>
                <w:rFonts w:ascii="Arial" w:cs="Arial" w:eastAsia="Arial" w:hAnsi="Arial"/>
                <w:sz w:val="14"/>
                <w:szCs w:val="14"/>
                <w:color w:val="auto"/>
              </w:rPr>
              <w:t>L+775</w:t>
            </w:r>
          </w:p>
        </w:tc>
        <w:tc>
          <w:tcPr>
            <w:tcW w:w="16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w w:val="96"/>
              </w:rPr>
              <w:t>10,000,000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9,932,321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4"/>
                <w:szCs w:val="14"/>
                <w:color w:val="auto"/>
              </w:rPr>
              <w:t>6,800,000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AINT</w:t>
            </w:r>
            <w:r>
              <w:rPr>
                <w:rFonts w:ascii="Arial" w:cs="Arial" w:eastAsia="Arial" w:hAnsi="Arial"/>
                <w:sz w:val="13"/>
                <w:szCs w:val="13"/>
                <w:color w:val="auto"/>
              </w:rPr>
              <w:t xml:space="preserve"> A</w:t>
            </w:r>
            <w:r>
              <w:rPr>
                <w:rFonts w:ascii="Arial" w:cs="Arial" w:eastAsia="Arial" w:hAnsi="Arial"/>
                <w:sz w:val="10"/>
                <w:szCs w:val="10"/>
                <w:color w:val="auto"/>
              </w:rPr>
              <w:t>CQUISITION</w:t>
            </w:r>
            <w:r>
              <w:rPr>
                <w:rFonts w:ascii="Arial" w:cs="Arial" w:eastAsia="Arial" w:hAnsi="Arial"/>
                <w:sz w:val="13"/>
                <w:szCs w:val="13"/>
                <w:color w:val="auto"/>
              </w:rPr>
              <w:t xml:space="preserve"> C</w:t>
            </w:r>
            <w:r>
              <w:rPr>
                <w:rFonts w:ascii="Arial" w:cs="Arial" w:eastAsia="Arial" w:hAnsi="Arial"/>
                <w:sz w:val="10"/>
                <w:szCs w:val="10"/>
                <w:color w:val="auto"/>
              </w:rPr>
              <w:t>ORP</w:t>
            </w:r>
            <w:r>
              <w:rPr>
                <w:rFonts w:ascii="Arial" w:cs="Arial" w:eastAsia="Arial" w:hAnsi="Arial"/>
                <w:sz w:val="13"/>
                <w:szCs w:val="13"/>
                <w:color w:val="auto"/>
              </w:rPr>
              <w:t>.</w:t>
            </w:r>
            <w:r>
              <w:rPr>
                <w:rFonts w:ascii="Arial" w:cs="Arial" w:eastAsia="Arial" w:hAnsi="Arial"/>
                <w:sz w:val="20"/>
                <w:szCs w:val="20"/>
                <w:color w:val="auto"/>
                <w:vertAlign w:val="superscript"/>
              </w:rPr>
              <w:t>(5)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05/15/2017</w:t>
            </w:r>
          </w:p>
        </w:tc>
        <w:tc>
          <w:tcPr>
            <w:tcW w:w="1980" w:type="dxa"/>
            <w:vAlign w:val="bottom"/>
            <w:gridSpan w:val="3"/>
            <w:shd w:val="clear" w:color="auto" w:fill="CCEEFF"/>
          </w:tcPr>
          <w:p>
            <w:pPr>
              <w:jc w:val="center"/>
              <w:ind w:right="160"/>
              <w:spacing w:after="0"/>
              <w:rPr>
                <w:sz w:val="20"/>
                <w:szCs w:val="20"/>
                <w:color w:val="auto"/>
              </w:rPr>
            </w:pPr>
            <w:r>
              <w:rPr>
                <w:rFonts w:ascii="Arial" w:cs="Arial" w:eastAsia="Arial" w:hAnsi="Arial"/>
                <w:sz w:val="14"/>
                <w:szCs w:val="14"/>
                <w:color w:val="auto"/>
                <w:w w:val="91"/>
              </w:rPr>
              <w:t>TRANSPORTATION</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12.50%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19,000,000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16,198,167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12,730,000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gridSpan w:val="2"/>
          </w:tcPr>
          <w:p>
            <w:pPr>
              <w:spacing w:after="0" w:line="138" w:lineRule="exact"/>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PECIALIZED</w:t>
            </w:r>
            <w:r>
              <w:rPr>
                <w:rFonts w:ascii="Arial" w:cs="Arial" w:eastAsia="Arial" w:hAnsi="Arial"/>
                <w:sz w:val="14"/>
                <w:szCs w:val="14"/>
                <w:color w:val="auto"/>
              </w:rPr>
              <w:t xml:space="preserve"> T</w:t>
            </w:r>
            <w:r>
              <w:rPr>
                <w:rFonts w:ascii="Arial" w:cs="Arial" w:eastAsia="Arial" w:hAnsi="Arial"/>
                <w:sz w:val="11"/>
                <w:szCs w:val="11"/>
                <w:color w:val="auto"/>
              </w:rPr>
              <w:t>ECHNOLOGY</w:t>
            </w:r>
            <w:r>
              <w:rPr>
                <w:rFonts w:ascii="Arial" w:cs="Arial" w:eastAsia="Arial" w:hAnsi="Arial"/>
                <w:sz w:val="14"/>
                <w:szCs w:val="14"/>
                <w:color w:val="auto"/>
              </w:rPr>
              <w:t xml:space="preserve"> R</w:t>
            </w:r>
            <w:r>
              <w:rPr>
                <w:rFonts w:ascii="Arial" w:cs="Arial" w:eastAsia="Arial" w:hAnsi="Arial"/>
                <w:sz w:val="11"/>
                <w:szCs w:val="11"/>
                <w:color w:val="auto"/>
              </w:rPr>
              <w:t>ESOURCES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12/15//</w:t>
            </w:r>
          </w:p>
        </w:tc>
        <w:tc>
          <w:tcPr>
            <w:tcW w:w="1980" w:type="dxa"/>
            <w:vAlign w:val="bottom"/>
            <w:gridSpan w:val="3"/>
          </w:tcPr>
          <w:p>
            <w:pPr>
              <w:jc w:val="center"/>
              <w:ind w:right="160"/>
              <w:spacing w:after="0" w:line="138" w:lineRule="exact"/>
              <w:rPr>
                <w:sz w:val="20"/>
                <w:szCs w:val="20"/>
                <w:color w:val="auto"/>
              </w:rPr>
            </w:pPr>
            <w:r>
              <w:rPr>
                <w:rFonts w:ascii="Arial" w:cs="Arial" w:eastAsia="Arial" w:hAnsi="Arial"/>
                <w:sz w:val="14"/>
                <w:szCs w:val="14"/>
                <w:color w:val="auto"/>
                <w:w w:val="93"/>
              </w:rPr>
              <w:t>CHEMICAL, PLASTICS</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2014</w:t>
            </w:r>
          </w:p>
        </w:tc>
        <w:tc>
          <w:tcPr>
            <w:tcW w:w="198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92"/>
              </w:rPr>
              <w:t>&amp; RUBBER</w:t>
            </w:r>
          </w:p>
        </w:tc>
        <w:tc>
          <w:tcPr>
            <w:tcW w:w="9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12.13%</w:t>
            </w:r>
          </w:p>
        </w:tc>
        <w:tc>
          <w:tcPr>
            <w:tcW w:w="7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L+700</w:t>
            </w:r>
          </w:p>
        </w:tc>
        <w:tc>
          <w:tcPr>
            <w:tcW w:w="160" w:type="dxa"/>
            <w:vAlign w:val="bottom"/>
          </w:tcPr>
          <w:p>
            <w:pPr>
              <w:spacing w:after="0"/>
              <w:rPr>
                <w:sz w:val="13"/>
                <w:szCs w:val="13"/>
                <w:color w:val="auto"/>
              </w:rPr>
            </w:pPr>
          </w:p>
        </w:tc>
        <w:tc>
          <w:tcPr>
            <w:tcW w:w="700" w:type="dxa"/>
            <w:vAlign w:val="bottom"/>
            <w:gridSpan w:val="3"/>
          </w:tcPr>
          <w:p>
            <w:pPr>
              <w:jc w:val="right"/>
              <w:spacing w:after="0" w:line="159" w:lineRule="exact"/>
              <w:rPr>
                <w:sz w:val="20"/>
                <w:szCs w:val="20"/>
                <w:color w:val="auto"/>
              </w:rPr>
            </w:pPr>
            <w:r>
              <w:rPr>
                <w:rFonts w:ascii="Arial" w:cs="Arial" w:eastAsia="Arial" w:hAnsi="Arial"/>
                <w:sz w:val="14"/>
                <w:szCs w:val="14"/>
                <w:color w:val="auto"/>
                <w:w w:val="96"/>
              </w:rPr>
              <w:t>17,500,000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tcPr>
          <w:p>
            <w:pPr>
              <w:jc w:val="right"/>
              <w:spacing w:after="0" w:line="159" w:lineRule="exact"/>
              <w:rPr>
                <w:sz w:val="20"/>
                <w:szCs w:val="20"/>
                <w:color w:val="auto"/>
              </w:rPr>
            </w:pPr>
            <w:r>
              <w:rPr>
                <w:rFonts w:ascii="Arial" w:cs="Arial" w:eastAsia="Arial" w:hAnsi="Arial"/>
                <w:sz w:val="14"/>
                <w:szCs w:val="14"/>
                <w:color w:val="auto"/>
                <w:w w:val="96"/>
              </w:rPr>
              <w:t>17,493,750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4"/>
          </w:tcPr>
          <w:p>
            <w:pPr>
              <w:jc w:val="right"/>
              <w:ind w:right="20"/>
              <w:spacing w:after="0" w:line="159" w:lineRule="exact"/>
              <w:rPr>
                <w:sz w:val="20"/>
                <w:szCs w:val="20"/>
                <w:color w:val="auto"/>
              </w:rPr>
            </w:pPr>
            <w:r>
              <w:rPr>
                <w:rFonts w:ascii="Arial" w:cs="Arial" w:eastAsia="Arial" w:hAnsi="Arial"/>
                <w:sz w:val="14"/>
                <w:szCs w:val="14"/>
                <w:color w:val="auto"/>
              </w:rPr>
              <w:t>17,237,500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w:t>
            </w:r>
            <w:r>
              <w:rPr>
                <w:rFonts w:ascii="Arial" w:cs="Arial" w:eastAsia="Arial" w:hAnsi="Arial"/>
                <w:sz w:val="11"/>
                <w:szCs w:val="11"/>
                <w:color w:val="auto"/>
              </w:rPr>
              <w:t>RANS</w:t>
            </w:r>
            <w:r>
              <w:rPr>
                <w:rFonts w:ascii="Arial" w:cs="Arial" w:eastAsia="Arial" w:hAnsi="Arial"/>
                <w:sz w:val="14"/>
                <w:szCs w:val="14"/>
                <w:color w:val="auto"/>
              </w:rPr>
              <w:t>F</w:t>
            </w:r>
            <w:r>
              <w:rPr>
                <w:rFonts w:ascii="Arial" w:cs="Arial" w:eastAsia="Arial" w:hAnsi="Arial"/>
                <w:sz w:val="11"/>
                <w:szCs w:val="11"/>
                <w:color w:val="auto"/>
              </w:rPr>
              <w:t>IRST</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06/15/2015</w:t>
            </w:r>
          </w:p>
        </w:tc>
        <w:tc>
          <w:tcPr>
            <w:tcW w:w="198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9"/>
              </w:rPr>
              <w:t>BUSINESS SERVICES</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11.30%*</w:t>
            </w: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L+600</w:t>
            </w: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13,000,000</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12,886,250</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12,431,250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6"/>
              </w:rPr>
              <w:t>78,250,000</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6"/>
              </w:rPr>
              <w:t>75,260,488</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67,748,750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274" w:right="239" w:bottom="1440" w:gutter="0" w:footer="0" w:header="0"/>
        </w:sectPr>
      </w:pPr>
    </w:p>
    <w:bookmarkStart w:id="123" w:name="page124"/>
    <w:bookmarkEnd w:id="123"/>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Basis Point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Spread</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Current</w:t>
            </w:r>
          </w:p>
        </w:tc>
        <w:tc>
          <w:tcPr>
            <w:tcW w:w="34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Above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75"/>
              </w:rPr>
              <w:t>Value</w:t>
            </w:r>
            <w:r>
              <w:rPr>
                <w:rFonts w:ascii="Arial" w:cs="Arial" w:eastAsia="Arial" w:hAnsi="Arial"/>
                <w:sz w:val="22"/>
                <w:szCs w:val="22"/>
                <w:b w:val="1"/>
                <w:bCs w:val="1"/>
                <w:color w:val="auto"/>
                <w:w w:val="75"/>
                <w:vertAlign w:val="superscript"/>
              </w:rPr>
              <w:t>(2)</w:t>
            </w:r>
          </w:p>
        </w:tc>
        <w:tc>
          <w:tcPr>
            <w:tcW w:w="0" w:type="dxa"/>
            <w:vAlign w:val="bottom"/>
          </w:tcPr>
          <w:p>
            <w:pPr>
              <w:spacing w:after="0"/>
              <w:rPr>
                <w:sz w:val="1"/>
                <w:szCs w:val="1"/>
                <w:color w:val="auto"/>
              </w:rPr>
            </w:pPr>
          </w:p>
        </w:tc>
      </w:tr>
      <w:tr>
        <w:trPr>
          <w:trHeight w:val="176"/>
        </w:trPr>
        <w:tc>
          <w:tcPr>
            <w:tcW w:w="3500" w:type="dxa"/>
            <w:vAlign w:val="bottom"/>
            <w:gridSpan w:val="3"/>
            <w:vMerge w:val="continue"/>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w:t>
            </w:r>
          </w:p>
        </w:tc>
        <w:tc>
          <w:tcPr>
            <w:tcW w:w="780" w:type="dxa"/>
            <w:vAlign w:val="bottom"/>
          </w:tcPr>
          <w:p>
            <w:pPr>
              <w:spacing w:after="0"/>
              <w:rPr>
                <w:sz w:val="15"/>
                <w:szCs w:val="15"/>
                <w:color w:val="auto"/>
              </w:rPr>
            </w:pPr>
          </w:p>
        </w:tc>
        <w:tc>
          <w:tcPr>
            <w:tcW w:w="15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0"/>
              </w:rPr>
              <w:t>Industry</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0"/>
              </w:rPr>
              <w:t>Coupon</w:t>
            </w:r>
          </w:p>
        </w:tc>
        <w:tc>
          <w:tcPr>
            <w:tcW w:w="340" w:type="dxa"/>
            <w:vAlign w:val="bottom"/>
          </w:tcPr>
          <w:p>
            <w:pPr>
              <w:spacing w:after="0"/>
              <w:rPr>
                <w:sz w:val="15"/>
                <w:szCs w:val="15"/>
                <w:color w:val="auto"/>
              </w:rPr>
            </w:pPr>
          </w:p>
        </w:tc>
        <w:tc>
          <w:tcPr>
            <w:tcW w:w="88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400" w:type="dxa"/>
            <w:vAlign w:val="bottom"/>
          </w:tcPr>
          <w:p>
            <w:pPr>
              <w:spacing w:after="0"/>
              <w:rPr>
                <w:sz w:val="15"/>
                <w:szCs w:val="15"/>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Par</w:t>
            </w:r>
          </w:p>
        </w:tc>
        <w:tc>
          <w:tcPr>
            <w:tcW w:w="380" w:type="dxa"/>
            <w:vAlign w:val="bottom"/>
          </w:tcPr>
          <w:p>
            <w:pPr>
              <w:spacing w:after="0"/>
              <w:rPr>
                <w:sz w:val="15"/>
                <w:szCs w:val="15"/>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Cost</w:t>
            </w:r>
          </w:p>
        </w:tc>
        <w:tc>
          <w:tcPr>
            <w:tcW w:w="3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4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Debt—58.8%</w:t>
            </w: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B</w:t>
            </w:r>
            <w:r>
              <w:rPr>
                <w:rFonts w:ascii="Arial" w:cs="Arial" w:eastAsia="Arial" w:hAnsi="Arial"/>
                <w:sz w:val="11"/>
                <w:szCs w:val="11"/>
                <w:color w:val="auto"/>
              </w:rPr>
              <w:t>ERRY</w:t>
            </w:r>
            <w:r>
              <w:rPr>
                <w:rFonts w:ascii="Arial" w:cs="Arial" w:eastAsia="Arial" w:hAnsi="Arial"/>
                <w:sz w:val="14"/>
                <w:szCs w:val="14"/>
                <w:color w:val="auto"/>
              </w:rPr>
              <w:t xml:space="preserve"> P</w:t>
            </w:r>
            <w:r>
              <w:rPr>
                <w:rFonts w:ascii="Arial" w:cs="Arial" w:eastAsia="Arial" w:hAnsi="Arial"/>
                <w:sz w:val="11"/>
                <w:szCs w:val="11"/>
                <w:color w:val="auto"/>
              </w:rPr>
              <w:t>LASTICS</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04/03/2015</w:t>
            </w:r>
          </w:p>
        </w:tc>
        <w:tc>
          <w:tcPr>
            <w:tcW w:w="230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w w:val="92"/>
              </w:rPr>
              <w:t>CONTAINERS, PACKAGING</w:t>
            </w:r>
          </w:p>
        </w:tc>
        <w:tc>
          <w:tcPr>
            <w:tcW w:w="560" w:type="dxa"/>
            <w:vAlign w:val="bottom"/>
          </w:tcPr>
          <w:p>
            <w:pPr>
              <w:spacing w:after="0"/>
              <w:rPr>
                <w:sz w:val="19"/>
                <w:szCs w:val="19"/>
                <w:color w:val="auto"/>
              </w:rPr>
            </w:pPr>
          </w:p>
        </w:tc>
        <w:tc>
          <w:tcPr>
            <w:tcW w:w="340" w:type="dxa"/>
            <w:vAlign w:val="bottom"/>
          </w:tcPr>
          <w:p>
            <w:pPr>
              <w:jc w:val="right"/>
              <w:ind w:right="178"/>
              <w:spacing w:after="0"/>
              <w:rPr>
                <w:sz w:val="20"/>
                <w:szCs w:val="20"/>
                <w:color w:val="auto"/>
              </w:rPr>
            </w:pPr>
            <w:r>
              <w:rPr>
                <w:rFonts w:ascii="Arial" w:cs="Arial" w:eastAsia="Arial" w:hAnsi="Arial"/>
                <w:sz w:val="12"/>
                <w:szCs w:val="12"/>
                <w:color w:val="auto"/>
                <w:w w:val="74"/>
              </w:rPr>
              <w:t>%</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L+200</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7,462,500</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7,462,500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7,274,602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gridSpan w:val="3"/>
            <w:vMerge w:val="continue"/>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3"/>
          </w:tcPr>
          <w:p>
            <w:pPr>
              <w:jc w:val="center"/>
              <w:ind w:right="200"/>
              <w:spacing w:after="0"/>
              <w:rPr>
                <w:sz w:val="20"/>
                <w:szCs w:val="20"/>
                <w:color w:val="auto"/>
              </w:rPr>
            </w:pPr>
            <w:r>
              <w:rPr>
                <w:rFonts w:ascii="Arial" w:cs="Arial" w:eastAsia="Arial" w:hAnsi="Arial"/>
                <w:sz w:val="14"/>
                <w:szCs w:val="14"/>
                <w:color w:val="auto"/>
                <w:w w:val="96"/>
              </w:rPr>
              <w:t>&amp; GLASS</w:t>
            </w:r>
          </w:p>
        </w:tc>
        <w:tc>
          <w:tcPr>
            <w:tcW w:w="560" w:type="dxa"/>
            <w:vAlign w:val="bottom"/>
          </w:tcPr>
          <w:p>
            <w:pPr>
              <w:jc w:val="right"/>
              <w:spacing w:after="0"/>
              <w:rPr>
                <w:sz w:val="20"/>
                <w:szCs w:val="20"/>
                <w:color w:val="auto"/>
              </w:rPr>
            </w:pPr>
            <w:r>
              <w:rPr>
                <w:rFonts w:ascii="Arial" w:cs="Arial" w:eastAsia="Arial" w:hAnsi="Arial"/>
                <w:sz w:val="14"/>
                <w:szCs w:val="14"/>
                <w:color w:val="auto"/>
              </w:rPr>
              <w:t>7.34</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w:t>
            </w:r>
            <w:r>
              <w:rPr>
                <w:rFonts w:ascii="Arial" w:cs="Arial" w:eastAsia="Arial" w:hAnsi="Arial"/>
                <w:sz w:val="11"/>
                <w:szCs w:val="11"/>
                <w:color w:val="auto"/>
              </w:rPr>
              <w:t>URLINGTON</w:t>
            </w:r>
            <w:r>
              <w:rPr>
                <w:rFonts w:ascii="Arial" w:cs="Arial" w:eastAsia="Arial" w:hAnsi="Arial"/>
                <w:sz w:val="14"/>
                <w:szCs w:val="14"/>
                <w:color w:val="auto"/>
              </w:rPr>
              <w:t xml:space="preserve"> C</w:t>
            </w:r>
            <w:r>
              <w:rPr>
                <w:rFonts w:ascii="Arial" w:cs="Arial" w:eastAsia="Arial" w:hAnsi="Arial"/>
                <w:sz w:val="11"/>
                <w:szCs w:val="11"/>
                <w:color w:val="auto"/>
              </w:rPr>
              <w:t>OAT</w:t>
            </w:r>
            <w:r>
              <w:rPr>
                <w:rFonts w:ascii="Arial" w:cs="Arial" w:eastAsia="Arial" w:hAnsi="Arial"/>
                <w:sz w:val="14"/>
                <w:szCs w:val="14"/>
                <w:color w:val="auto"/>
              </w:rPr>
              <w:t xml:space="preserve"> F</w:t>
            </w:r>
            <w:r>
              <w:rPr>
                <w:rFonts w:ascii="Arial" w:cs="Arial" w:eastAsia="Arial" w:hAnsi="Arial"/>
                <w:sz w:val="11"/>
                <w:szCs w:val="11"/>
                <w:color w:val="auto"/>
              </w:rPr>
              <w:t>ACTORY</w:t>
            </w:r>
            <w:r>
              <w:rPr>
                <w:rFonts w:ascii="Arial" w:cs="Arial" w:eastAsia="Arial" w:hAnsi="Arial"/>
                <w:sz w:val="14"/>
                <w:szCs w:val="14"/>
                <w:color w:val="auto"/>
              </w:rPr>
              <w:t xml:space="preserve"> W</w:t>
            </w:r>
            <w:r>
              <w:rPr>
                <w:rFonts w:ascii="Arial" w:cs="Arial" w:eastAsia="Arial" w:hAnsi="Arial"/>
                <w:sz w:val="11"/>
                <w:szCs w:val="11"/>
                <w:color w:val="auto"/>
              </w:rPr>
              <w:t>AREHOUSE</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05/28/2013</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RETAIL STORE</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7.76%</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7,896,473</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7,887,537</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7,571,975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HARTER</w:t>
            </w:r>
            <w:r>
              <w:rPr>
                <w:rFonts w:ascii="Arial" w:cs="Arial" w:eastAsia="Arial" w:hAnsi="Arial"/>
                <w:sz w:val="14"/>
                <w:szCs w:val="14"/>
                <w:color w:val="auto"/>
              </w:rPr>
              <w:t xml:space="preserve"> C</w:t>
            </w:r>
            <w:r>
              <w:rPr>
                <w:rFonts w:ascii="Arial" w:cs="Arial" w:eastAsia="Arial" w:hAnsi="Arial"/>
                <w:sz w:val="11"/>
                <w:szCs w:val="11"/>
                <w:color w:val="auto"/>
              </w:rPr>
              <w:t>OMMUNICATIONS</w:t>
            </w:r>
            <w:r>
              <w:rPr>
                <w:rFonts w:ascii="Arial" w:cs="Arial" w:eastAsia="Arial" w:hAnsi="Arial"/>
                <w:sz w:val="14"/>
                <w:szCs w:val="14"/>
                <w:color w:val="auto"/>
              </w:rPr>
              <w:t xml:space="preserve"> O</w:t>
            </w:r>
            <w:r>
              <w:rPr>
                <w:rFonts w:ascii="Arial" w:cs="Arial" w:eastAsia="Arial" w:hAnsi="Arial"/>
                <w:sz w:val="11"/>
                <w:szCs w:val="11"/>
                <w:color w:val="auto"/>
              </w:rPr>
              <w:t>PERATING</w:t>
            </w:r>
            <w:r>
              <w:rPr>
                <w:rFonts w:ascii="Arial" w:cs="Arial" w:eastAsia="Arial" w:hAnsi="Arial"/>
                <w:sz w:val="14"/>
                <w:szCs w:val="14"/>
                <w:color w:val="auto"/>
              </w:rPr>
              <w:t>, L.L.C.</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03/06/2014</w:t>
            </w: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5"/>
              </w:rPr>
              <w:t>CABLE TELEVISION</w:t>
            </w:r>
          </w:p>
        </w:tc>
        <w:tc>
          <w:tcPr>
            <w:tcW w:w="9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7.13%</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L+200</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15,000,000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14,992,740</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14,468,310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OHR</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01/31/2013</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78"/>
              <w:spacing w:after="0"/>
              <w:rPr>
                <w:sz w:val="20"/>
                <w:szCs w:val="20"/>
                <w:color w:val="auto"/>
              </w:rPr>
            </w:pPr>
            <w:r>
              <w:rPr>
                <w:rFonts w:ascii="Arial" w:cs="Arial" w:eastAsia="Arial" w:hAnsi="Arial"/>
                <w:sz w:val="12"/>
                <w:szCs w:val="12"/>
                <w:color w:val="auto"/>
                <w:w w:val="74"/>
              </w:rPr>
              <w:t>%</w:t>
            </w:r>
          </w:p>
        </w:tc>
        <w:tc>
          <w:tcPr>
            <w:tcW w:w="8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L+250</w:t>
            </w:r>
          </w:p>
        </w:tc>
        <w:tc>
          <w:tcPr>
            <w:tcW w:w="10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2,985,000</w:t>
            </w:r>
          </w:p>
        </w:tc>
        <w:tc>
          <w:tcPr>
            <w:tcW w:w="10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2,985,000</w:t>
            </w:r>
          </w:p>
        </w:tc>
        <w:tc>
          <w:tcPr>
            <w:tcW w:w="9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2,388,000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2300" w:type="dxa"/>
            <w:vAlign w:val="bottom"/>
            <w:gridSpan w:val="3"/>
            <w:vMerge w:val="restart"/>
            <w:shd w:val="clear" w:color="auto" w:fill="CCEEFF"/>
          </w:tcPr>
          <w:p>
            <w:pPr>
              <w:jc w:val="center"/>
              <w:ind w:right="200"/>
              <w:spacing w:after="0"/>
              <w:rPr>
                <w:sz w:val="20"/>
                <w:szCs w:val="20"/>
                <w:color w:val="auto"/>
              </w:rPr>
            </w:pPr>
            <w:r>
              <w:rPr>
                <w:rFonts w:ascii="Arial" w:cs="Arial" w:eastAsia="Arial" w:hAnsi="Arial"/>
                <w:sz w:val="14"/>
                <w:szCs w:val="14"/>
                <w:color w:val="auto"/>
                <w:w w:val="92"/>
              </w:rPr>
              <w:t>HEALTH CARE,</w:t>
            </w:r>
          </w:p>
        </w:tc>
        <w:tc>
          <w:tcPr>
            <w:tcW w:w="560" w:type="dxa"/>
            <w:vAlign w:val="bottom"/>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020" w:type="dxa"/>
            <w:vAlign w:val="bottom"/>
            <w:gridSpan w:val="3"/>
            <w:vMerge w:val="continue"/>
            <w:shd w:val="clear" w:color="auto" w:fill="CCEEFF"/>
          </w:tcPr>
          <w:p>
            <w:pPr>
              <w:spacing w:after="0"/>
              <w:rPr>
                <w:sz w:val="11"/>
                <w:szCs w:val="11"/>
                <w:color w:val="auto"/>
              </w:rPr>
            </w:pPr>
          </w:p>
        </w:tc>
        <w:tc>
          <w:tcPr>
            <w:tcW w:w="1040" w:type="dxa"/>
            <w:vAlign w:val="bottom"/>
            <w:gridSpan w:val="3"/>
            <w:vMerge w:val="continue"/>
            <w:shd w:val="clear" w:color="auto" w:fill="CCEEFF"/>
          </w:tcPr>
          <w:p>
            <w:pPr>
              <w:spacing w:after="0"/>
              <w:rPr>
                <w:sz w:val="11"/>
                <w:szCs w:val="11"/>
                <w:color w:val="auto"/>
              </w:rPr>
            </w:pPr>
          </w:p>
        </w:tc>
        <w:tc>
          <w:tcPr>
            <w:tcW w:w="94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300" w:type="dxa"/>
            <w:vAlign w:val="bottom"/>
            <w:gridSpan w:val="3"/>
            <w:vMerge w:val="continue"/>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4"/>
              </w:rPr>
              <w:t>EDUCATION &amp; CHILDCARE</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FR B</w:t>
            </w:r>
            <w:r>
              <w:rPr>
                <w:rFonts w:ascii="Arial" w:cs="Arial" w:eastAsia="Arial" w:hAnsi="Arial"/>
                <w:sz w:val="11"/>
                <w:szCs w:val="11"/>
                <w:color w:val="auto"/>
              </w:rPr>
              <w:t>RAND</w:t>
            </w:r>
            <w:r>
              <w:rPr>
                <w:rFonts w:ascii="Arial" w:cs="Arial" w:eastAsia="Arial" w:hAnsi="Arial"/>
                <w:sz w:val="14"/>
                <w:szCs w:val="14"/>
                <w:color w:val="auto"/>
              </w:rPr>
              <w:t xml:space="preserve"> A</w:t>
            </w:r>
            <w:r>
              <w:rPr>
                <w:rFonts w:ascii="Arial" w:cs="Arial" w:eastAsia="Arial" w:hAnsi="Arial"/>
                <w:sz w:val="11"/>
                <w:szCs w:val="11"/>
                <w:color w:val="auto"/>
              </w:rPr>
              <w:t>CQUISITION</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02/07/2014</w:t>
            </w: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5"/>
              </w:rPr>
              <w:t>ENERGY / UTILITIES</w:t>
            </w:r>
          </w:p>
        </w:tc>
        <w:tc>
          <w:tcPr>
            <w:tcW w:w="9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7.53%</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1,990,000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1,990,000</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1,887,183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ATEHOUSE</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xml:space="preserve"> O</w:t>
            </w:r>
            <w:r>
              <w:rPr>
                <w:rFonts w:ascii="Arial" w:cs="Arial" w:eastAsia="Arial" w:hAnsi="Arial"/>
                <w:sz w:val="11"/>
                <w:szCs w:val="11"/>
                <w:color w:val="auto"/>
              </w:rPr>
              <w:t>PERATING</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08/28/2014</w:t>
            </w:r>
          </w:p>
        </w:tc>
        <w:tc>
          <w:tcPr>
            <w:tcW w:w="7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980"/>
              <w:spacing w:after="0" w:line="149" w:lineRule="exact"/>
              <w:rPr>
                <w:sz w:val="20"/>
                <w:szCs w:val="20"/>
                <w:color w:val="auto"/>
              </w:rPr>
            </w:pPr>
            <w:r>
              <w:rPr>
                <w:rFonts w:ascii="Arial" w:cs="Arial" w:eastAsia="Arial" w:hAnsi="Arial"/>
                <w:sz w:val="14"/>
                <w:szCs w:val="14"/>
                <w:color w:val="auto"/>
              </w:rPr>
              <w:t>MEDIA</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7.47%</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L+200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7,000,000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7,000,000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6,405,000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ENERAL</w:t>
            </w:r>
            <w:r>
              <w:rPr>
                <w:rFonts w:ascii="Arial" w:cs="Arial" w:eastAsia="Arial" w:hAnsi="Arial"/>
                <w:sz w:val="14"/>
                <w:szCs w:val="14"/>
                <w:color w:val="auto"/>
              </w:rPr>
              <w:t xml:space="preserve"> N</w:t>
            </w:r>
            <w:r>
              <w:rPr>
                <w:rFonts w:ascii="Arial" w:cs="Arial" w:eastAsia="Arial" w:hAnsi="Arial"/>
                <w:sz w:val="11"/>
                <w:szCs w:val="11"/>
                <w:color w:val="auto"/>
              </w:rPr>
              <w:t>UTRITION</w:t>
            </w:r>
            <w:r>
              <w:rPr>
                <w:rFonts w:ascii="Arial" w:cs="Arial" w:eastAsia="Arial" w:hAnsi="Arial"/>
                <w:sz w:val="14"/>
                <w:szCs w:val="14"/>
                <w:color w:val="auto"/>
              </w:rPr>
              <w:t xml:space="preserve"> C</w:t>
            </w:r>
            <w:r>
              <w:rPr>
                <w:rFonts w:ascii="Arial" w:cs="Arial" w:eastAsia="Arial" w:hAnsi="Arial"/>
                <w:sz w:val="11"/>
                <w:szCs w:val="11"/>
                <w:color w:val="auto"/>
              </w:rPr>
              <w:t>ENTERS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09/16/2013</w:t>
            </w: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2"/>
              </w:rPr>
              <w:t>RETAIL STORE</w:t>
            </w:r>
          </w:p>
        </w:tc>
        <w:tc>
          <w:tcPr>
            <w:tcW w:w="9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7.61%</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6,483,750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6,487,788</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6,147,405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REATWIDE</w:t>
            </w:r>
            <w:r>
              <w:rPr>
                <w:rFonts w:ascii="Arial" w:cs="Arial" w:eastAsia="Arial" w:hAnsi="Arial"/>
                <w:sz w:val="14"/>
                <w:szCs w:val="14"/>
                <w:color w:val="auto"/>
              </w:rPr>
              <w:t xml:space="preserve"> L</w:t>
            </w:r>
            <w:r>
              <w:rPr>
                <w:rFonts w:ascii="Arial" w:cs="Arial" w:eastAsia="Arial" w:hAnsi="Arial"/>
                <w:sz w:val="11"/>
                <w:szCs w:val="11"/>
                <w:color w:val="auto"/>
              </w:rPr>
              <w:t>OGISTICS</w:t>
            </w:r>
            <w:r>
              <w:rPr>
                <w:rFonts w:ascii="Arial" w:cs="Arial" w:eastAsia="Arial" w:hAnsi="Arial"/>
                <w:sz w:val="14"/>
                <w:szCs w:val="14"/>
                <w:color w:val="auto"/>
              </w:rPr>
              <w:t xml:space="preserve"> S</w:t>
            </w:r>
            <w:r>
              <w:rPr>
                <w:rFonts w:ascii="Arial" w:cs="Arial" w:eastAsia="Arial" w:hAnsi="Arial"/>
                <w:sz w:val="11"/>
                <w:szCs w:val="11"/>
                <w:color w:val="auto"/>
              </w:rPr>
              <w:t>ERVICES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12/19/2013</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CARGO TRANSPORT</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8.70%</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L+350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6,947,500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6,947,500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6,079,062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ANLEY</w:t>
            </w:r>
            <w:r>
              <w:rPr>
                <w:rFonts w:ascii="Arial" w:cs="Arial" w:eastAsia="Arial" w:hAnsi="Arial"/>
                <w:sz w:val="14"/>
                <w:szCs w:val="14"/>
                <w:color w:val="auto"/>
              </w:rPr>
              <w:t>-W</w:t>
            </w:r>
            <w:r>
              <w:rPr>
                <w:rFonts w:ascii="Arial" w:cs="Arial" w:eastAsia="Arial" w:hAnsi="Arial"/>
                <w:sz w:val="11"/>
                <w:szCs w:val="11"/>
                <w:color w:val="auto"/>
              </w:rPr>
              <w:t>OOD</w:t>
            </w:r>
            <w:r>
              <w:rPr>
                <w:rFonts w:ascii="Arial" w:cs="Arial" w:eastAsia="Arial" w:hAnsi="Arial"/>
                <w:sz w:val="14"/>
                <w:szCs w:val="14"/>
                <w:color w:val="auto"/>
              </w:rPr>
              <w:t>, L.L.C.</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03/08/2014</w:t>
            </w: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6"/>
              </w:rPr>
              <w:t>OTHER MEDIA</w:t>
            </w:r>
          </w:p>
        </w:tc>
        <w:tc>
          <w:tcPr>
            <w:tcW w:w="9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7.60%</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9,000,000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9,000,000</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7,845,003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AWKER</w:t>
            </w:r>
            <w:r>
              <w:rPr>
                <w:rFonts w:ascii="Arial" w:cs="Arial" w:eastAsia="Arial" w:hAnsi="Arial"/>
                <w:sz w:val="14"/>
                <w:szCs w:val="14"/>
                <w:color w:val="auto"/>
              </w:rPr>
              <w:t xml:space="preserve"> B</w:t>
            </w:r>
            <w:r>
              <w:rPr>
                <w:rFonts w:ascii="Arial" w:cs="Arial" w:eastAsia="Arial" w:hAnsi="Arial"/>
                <w:sz w:val="11"/>
                <w:szCs w:val="11"/>
                <w:color w:val="auto"/>
              </w:rPr>
              <w:t>EECHCRAFT</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03/28/2014</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AEROSPACE/DEFENSE</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7.21%</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L+200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1,990,780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1,990,780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1,930,226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EALTH</w:t>
            </w:r>
            <w:r>
              <w:rPr>
                <w:rFonts w:ascii="Arial" w:cs="Arial" w:eastAsia="Arial" w:hAnsi="Arial"/>
                <w:sz w:val="14"/>
                <w:szCs w:val="14"/>
                <w:color w:val="auto"/>
              </w:rPr>
              <w:t xml:space="preserve"> M</w:t>
            </w:r>
            <w:r>
              <w:rPr>
                <w:rFonts w:ascii="Arial" w:cs="Arial" w:eastAsia="Arial" w:hAnsi="Arial"/>
                <w:sz w:val="11"/>
                <w:szCs w:val="11"/>
                <w:color w:val="auto"/>
              </w:rPr>
              <w:t>ANAGEMENT</w:t>
            </w:r>
            <w:r>
              <w:rPr>
                <w:rFonts w:ascii="Arial" w:cs="Arial" w:eastAsia="Arial" w:hAnsi="Arial"/>
                <w:sz w:val="14"/>
                <w:szCs w:val="14"/>
                <w:color w:val="auto"/>
              </w:rPr>
              <w:t xml:space="preserve"> A</w:t>
            </w:r>
            <w:r>
              <w:rPr>
                <w:rFonts w:ascii="Arial" w:cs="Arial" w:eastAsia="Arial" w:hAnsi="Arial"/>
                <w:sz w:val="11"/>
                <w:szCs w:val="11"/>
                <w:color w:val="auto"/>
              </w:rPr>
              <w:t>SSOCIATES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02/28/2014</w:t>
            </w:r>
          </w:p>
        </w:tc>
        <w:tc>
          <w:tcPr>
            <w:tcW w:w="230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w w:val="92"/>
              </w:rPr>
              <w:t>HEALTH CARE,</w:t>
            </w:r>
          </w:p>
        </w:tc>
        <w:tc>
          <w:tcPr>
            <w:tcW w:w="560" w:type="dxa"/>
            <w:vAlign w:val="bottom"/>
          </w:tcPr>
          <w:p>
            <w:pPr>
              <w:spacing w:after="0"/>
              <w:rPr>
                <w:sz w:val="14"/>
                <w:szCs w:val="14"/>
                <w:color w:val="auto"/>
              </w:rPr>
            </w:pPr>
          </w:p>
        </w:tc>
        <w:tc>
          <w:tcPr>
            <w:tcW w:w="340" w:type="dxa"/>
            <w:vAlign w:val="bottom"/>
          </w:tcPr>
          <w:p>
            <w:pPr>
              <w:jc w:val="right"/>
              <w:ind w:right="178"/>
              <w:spacing w:after="0"/>
              <w:rPr>
                <w:sz w:val="20"/>
                <w:szCs w:val="20"/>
                <w:color w:val="auto"/>
              </w:rPr>
            </w:pPr>
            <w:r>
              <w:rPr>
                <w:rFonts w:ascii="Arial" w:cs="Arial" w:eastAsia="Arial" w:hAnsi="Arial"/>
                <w:sz w:val="12"/>
                <w:szCs w:val="12"/>
                <w:color w:val="auto"/>
                <w:w w:val="74"/>
              </w:rPr>
              <w:t>%</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L+175</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9,950,000</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9,950,000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9,441,615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gridSpan w:val="3"/>
            <w:vMerge w:val="continue"/>
          </w:tcPr>
          <w:p>
            <w:pPr>
              <w:spacing w:after="0"/>
              <w:rPr>
                <w:sz w:val="2"/>
                <w:szCs w:val="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6.95</w:t>
            </w: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00" w:type="dxa"/>
            <w:vAlign w:val="bottom"/>
            <w:gridSpan w:val="3"/>
          </w:tcPr>
          <w:p>
            <w:pPr>
              <w:jc w:val="center"/>
              <w:ind w:right="200"/>
              <w:spacing w:after="0" w:line="159" w:lineRule="exact"/>
              <w:rPr>
                <w:sz w:val="20"/>
                <w:szCs w:val="20"/>
                <w:color w:val="auto"/>
              </w:rPr>
            </w:pPr>
            <w:r>
              <w:rPr>
                <w:rFonts w:ascii="Arial" w:cs="Arial" w:eastAsia="Arial" w:hAnsi="Arial"/>
                <w:sz w:val="14"/>
                <w:szCs w:val="14"/>
                <w:color w:val="auto"/>
                <w:w w:val="94"/>
              </w:rPr>
              <w:t>EDUCATION &amp; CHILDCARE</w:t>
            </w:r>
          </w:p>
        </w:tc>
        <w:tc>
          <w:tcPr>
            <w:tcW w:w="5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UGHES</w:t>
            </w:r>
            <w:r>
              <w:rPr>
                <w:rFonts w:ascii="Arial" w:cs="Arial" w:eastAsia="Arial" w:hAnsi="Arial"/>
                <w:sz w:val="14"/>
                <w:szCs w:val="14"/>
                <w:color w:val="auto"/>
              </w:rPr>
              <w:t xml:space="preserve"> N</w:t>
            </w:r>
            <w:r>
              <w:rPr>
                <w:rFonts w:ascii="Arial" w:cs="Arial" w:eastAsia="Arial" w:hAnsi="Arial"/>
                <w:sz w:val="11"/>
                <w:szCs w:val="11"/>
                <w:color w:val="auto"/>
              </w:rPr>
              <w:t>ETWORK</w:t>
            </w:r>
            <w:r>
              <w:rPr>
                <w:rFonts w:ascii="Arial" w:cs="Arial" w:eastAsia="Arial" w:hAnsi="Arial"/>
                <w:sz w:val="14"/>
                <w:szCs w:val="14"/>
                <w:color w:val="auto"/>
              </w:rPr>
              <w:t xml:space="preserve"> S</w:t>
            </w:r>
            <w:r>
              <w:rPr>
                <w:rFonts w:ascii="Arial" w:cs="Arial" w:eastAsia="Arial" w:hAnsi="Arial"/>
                <w:sz w:val="11"/>
                <w:szCs w:val="11"/>
                <w:color w:val="auto"/>
              </w:rPr>
              <w:t>YSTEMS</w:t>
            </w:r>
            <w:r>
              <w:rPr>
                <w:rFonts w:ascii="Arial" w:cs="Arial" w:eastAsia="Arial" w:hAnsi="Arial"/>
                <w:sz w:val="14"/>
                <w:szCs w:val="14"/>
                <w:color w:val="auto"/>
              </w:rPr>
              <w:t>, L.L.C.</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04/15/2014</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TELECOMMUNICATIONS</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8.06%</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L+250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5,000,000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5,000,000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4,625,000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J</w:t>
            </w:r>
            <w:r>
              <w:rPr>
                <w:rFonts w:ascii="Arial" w:cs="Arial" w:eastAsia="Arial" w:hAnsi="Arial"/>
                <w:sz w:val="11"/>
                <w:szCs w:val="11"/>
                <w:color w:val="auto"/>
              </w:rPr>
              <w:t>ACUZZI</w:t>
            </w:r>
            <w:r>
              <w:rPr>
                <w:rFonts w:ascii="Arial" w:cs="Arial" w:eastAsia="Arial" w:hAnsi="Arial"/>
                <w:sz w:val="14"/>
                <w:szCs w:val="14"/>
                <w:color w:val="auto"/>
              </w:rPr>
              <w:t xml:space="preserve"> B</w:t>
            </w:r>
            <w:r>
              <w:rPr>
                <w:rFonts w:ascii="Arial" w:cs="Arial" w:eastAsia="Arial" w:hAnsi="Arial"/>
                <w:sz w:val="11"/>
                <w:szCs w:val="11"/>
                <w:color w:val="auto"/>
              </w:rPr>
              <w:t>RANDS</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02/07/2014</w:t>
            </w:r>
          </w:p>
        </w:tc>
        <w:tc>
          <w:tcPr>
            <w:tcW w:w="230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w w:val="92"/>
              </w:rPr>
              <w:t>HOME &amp; OFFICE</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7.44</w:t>
            </w:r>
          </w:p>
        </w:tc>
        <w:tc>
          <w:tcPr>
            <w:tcW w:w="340" w:type="dxa"/>
            <w:vAlign w:val="bottom"/>
          </w:tcPr>
          <w:p>
            <w:pPr>
              <w:jc w:val="right"/>
              <w:ind w:right="178"/>
              <w:spacing w:after="0"/>
              <w:rPr>
                <w:sz w:val="20"/>
                <w:szCs w:val="20"/>
                <w:color w:val="auto"/>
              </w:rPr>
            </w:pPr>
            <w:r>
              <w:rPr>
                <w:rFonts w:ascii="Arial" w:cs="Arial" w:eastAsia="Arial" w:hAnsi="Arial"/>
                <w:sz w:val="12"/>
                <w:szCs w:val="12"/>
                <w:color w:val="auto"/>
                <w:w w:val="74"/>
              </w:rPr>
              <w:t>%</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9,963,514</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9,963,514</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8,947,235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gridSpan w:val="3"/>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3"/>
              </w:rPr>
              <w:t>FURNISHINGS,</w:t>
            </w: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2"/>
              </w:rPr>
              <w:t>HOUSEWARES &amp;</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DURABLES</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EVEL</w:t>
            </w:r>
            <w:r>
              <w:rPr>
                <w:rFonts w:ascii="Arial" w:cs="Arial" w:eastAsia="Arial" w:hAnsi="Arial"/>
                <w:sz w:val="14"/>
                <w:szCs w:val="14"/>
                <w:color w:val="auto"/>
              </w:rPr>
              <w:t xml:space="preserve"> 3 F</w:t>
            </w:r>
            <w:r>
              <w:rPr>
                <w:rFonts w:ascii="Arial" w:cs="Arial" w:eastAsia="Arial" w:hAnsi="Arial"/>
                <w:sz w:val="11"/>
                <w:szCs w:val="11"/>
                <w:color w:val="auto"/>
              </w:rPr>
              <w:t>INANCING</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03/13/2014</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TELECOMMUNICATIONS</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7.61%</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2,000,000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2,000,000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1,939,642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EVLAD</w:t>
            </w:r>
            <w:r>
              <w:rPr>
                <w:rFonts w:ascii="Arial" w:cs="Arial" w:eastAsia="Arial" w:hAnsi="Arial"/>
                <w:sz w:val="14"/>
                <w:szCs w:val="14"/>
                <w:color w:val="auto"/>
              </w:rPr>
              <w:t>, L.L.C.</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03/08/2014</w:t>
            </w: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1"/>
              </w:rPr>
              <w:t>CONSUMER PRODUCTS</w:t>
            </w:r>
          </w:p>
        </w:tc>
        <w:tc>
          <w:tcPr>
            <w:tcW w:w="9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7.58%</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4,842,920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4,842,920</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3,357,757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ONGVIEW</w:t>
            </w:r>
            <w:r>
              <w:rPr>
                <w:rFonts w:ascii="Arial" w:cs="Arial" w:eastAsia="Arial" w:hAnsi="Arial"/>
                <w:sz w:val="14"/>
                <w:szCs w:val="14"/>
                <w:color w:val="auto"/>
              </w:rPr>
              <w:t xml:space="preserve"> P</w:t>
            </w:r>
            <w:r>
              <w:rPr>
                <w:rFonts w:ascii="Arial" w:cs="Arial" w:eastAsia="Arial" w:hAnsi="Arial"/>
                <w:sz w:val="11"/>
                <w:szCs w:val="11"/>
                <w:color w:val="auto"/>
              </w:rPr>
              <w:t>OWER</w:t>
            </w:r>
            <w:r>
              <w:rPr>
                <w:rFonts w:ascii="Arial" w:cs="Arial" w:eastAsia="Arial" w:hAnsi="Arial"/>
                <w:sz w:val="14"/>
                <w:szCs w:val="14"/>
                <w:color w:val="auto"/>
              </w:rPr>
              <w:t>, L.L.C.</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02/28/2014</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UTILITIES</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7.56%</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2,020,000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2,020,000</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1,939,200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gridSpan w:val="2"/>
          </w:tcPr>
          <w:p>
            <w:pPr>
              <w:spacing w:after="0" w:line="176" w:lineRule="exact"/>
              <w:rPr>
                <w:sz w:val="20"/>
                <w:szCs w:val="20"/>
                <w:color w:val="auto"/>
              </w:rPr>
            </w:pPr>
            <w:r>
              <w:rPr>
                <w:rFonts w:ascii="Arial" w:cs="Arial" w:eastAsia="Arial" w:hAnsi="Arial"/>
                <w:sz w:val="13"/>
                <w:szCs w:val="13"/>
                <w:color w:val="auto"/>
              </w:rPr>
              <w:t>L</w:t>
            </w:r>
            <w:r>
              <w:rPr>
                <w:rFonts w:ascii="Arial" w:cs="Arial" w:eastAsia="Arial" w:hAnsi="Arial"/>
                <w:sz w:val="10"/>
                <w:szCs w:val="10"/>
                <w:color w:val="auto"/>
              </w:rPr>
              <w:t>ONGVIEW</w:t>
            </w:r>
            <w:r>
              <w:rPr>
                <w:rFonts w:ascii="Arial" w:cs="Arial" w:eastAsia="Arial" w:hAnsi="Arial"/>
                <w:sz w:val="13"/>
                <w:szCs w:val="13"/>
                <w:color w:val="auto"/>
              </w:rPr>
              <w:t xml:space="preserve"> P</w:t>
            </w:r>
            <w:r>
              <w:rPr>
                <w:rFonts w:ascii="Arial" w:cs="Arial" w:eastAsia="Arial" w:hAnsi="Arial"/>
                <w:sz w:val="10"/>
                <w:szCs w:val="10"/>
                <w:color w:val="auto"/>
              </w:rPr>
              <w:t>OWER</w:t>
            </w:r>
            <w:r>
              <w:rPr>
                <w:rFonts w:ascii="Arial" w:cs="Arial" w:eastAsia="Arial" w:hAnsi="Arial"/>
                <w:sz w:val="13"/>
                <w:szCs w:val="13"/>
                <w:color w:val="auto"/>
              </w:rPr>
              <w:t>, L.L.C.</w:t>
            </w:r>
            <w:r>
              <w:rPr>
                <w:rFonts w:ascii="Arial" w:cs="Arial" w:eastAsia="Arial" w:hAnsi="Arial"/>
                <w:sz w:val="20"/>
                <w:szCs w:val="20"/>
                <w:color w:val="auto"/>
                <w:vertAlign w:val="superscript"/>
              </w:rPr>
              <w:t>(4)</w:t>
            </w: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02/28/2014</w:t>
            </w:r>
          </w:p>
        </w:tc>
        <w:tc>
          <w:tcPr>
            <w:tcW w:w="2300" w:type="dxa"/>
            <w:vAlign w:val="bottom"/>
            <w:gridSpan w:val="3"/>
          </w:tcPr>
          <w:p>
            <w:pPr>
              <w:jc w:val="center"/>
              <w:ind w:right="200"/>
              <w:spacing w:after="0"/>
              <w:rPr>
                <w:sz w:val="20"/>
                <w:szCs w:val="20"/>
                <w:color w:val="auto"/>
              </w:rPr>
            </w:pPr>
            <w:r>
              <w:rPr>
                <w:rFonts w:ascii="Arial" w:cs="Arial" w:eastAsia="Arial" w:hAnsi="Arial"/>
                <w:sz w:val="14"/>
                <w:szCs w:val="14"/>
                <w:color w:val="auto"/>
                <w:w w:val="94"/>
              </w:rPr>
              <w:t>UTILITIES</w:t>
            </w: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980,000</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980,000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940,800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ACH</w:t>
            </w:r>
            <w:r>
              <w:rPr>
                <w:rFonts w:ascii="Arial" w:cs="Arial" w:eastAsia="Arial" w:hAnsi="Arial"/>
                <w:sz w:val="14"/>
                <w:szCs w:val="14"/>
                <w:color w:val="auto"/>
              </w:rPr>
              <w:t xml:space="preserve"> G</w:t>
            </w:r>
            <w:r>
              <w:rPr>
                <w:rFonts w:ascii="Arial" w:cs="Arial" w:eastAsia="Arial" w:hAnsi="Arial"/>
                <w:sz w:val="11"/>
                <w:szCs w:val="11"/>
                <w:color w:val="auto"/>
              </w:rPr>
              <w:t>EN</w:t>
            </w:r>
            <w:r>
              <w:rPr>
                <w:rFonts w:ascii="Arial" w:cs="Arial" w:eastAsia="Arial" w:hAnsi="Arial"/>
                <w:sz w:val="14"/>
                <w:szCs w:val="14"/>
                <w:color w:val="auto"/>
              </w:rPr>
              <w:t>, L.L.C.</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02/22/2014</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UTILITIES</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7.34%</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L+200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3,972,813</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3,971,545</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3,845,683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ATTRESS</w:t>
            </w:r>
            <w:r>
              <w:rPr>
                <w:rFonts w:ascii="Arial" w:cs="Arial" w:eastAsia="Arial" w:hAnsi="Arial"/>
                <w:sz w:val="14"/>
                <w:szCs w:val="14"/>
                <w:color w:val="auto"/>
              </w:rPr>
              <w:t xml:space="preserve"> H</w:t>
            </w:r>
            <w:r>
              <w:rPr>
                <w:rFonts w:ascii="Arial" w:cs="Arial" w:eastAsia="Arial" w:hAnsi="Arial"/>
                <w:sz w:val="11"/>
                <w:szCs w:val="11"/>
                <w:color w:val="auto"/>
              </w:rPr>
              <w:t>OLDING</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01/18/2014</w:t>
            </w:r>
          </w:p>
        </w:tc>
        <w:tc>
          <w:tcPr>
            <w:tcW w:w="230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HOME &amp; OFFICE</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7.61</w:t>
            </w:r>
          </w:p>
        </w:tc>
        <w:tc>
          <w:tcPr>
            <w:tcW w:w="340" w:type="dxa"/>
            <w:vAlign w:val="bottom"/>
          </w:tcPr>
          <w:p>
            <w:pPr>
              <w:jc w:val="right"/>
              <w:ind w:right="178"/>
              <w:spacing w:after="0"/>
              <w:rPr>
                <w:sz w:val="20"/>
                <w:szCs w:val="20"/>
                <w:color w:val="auto"/>
              </w:rPr>
            </w:pPr>
            <w:r>
              <w:rPr>
                <w:rFonts w:ascii="Arial" w:cs="Arial" w:eastAsia="Arial" w:hAnsi="Arial"/>
                <w:sz w:val="12"/>
                <w:szCs w:val="12"/>
                <w:color w:val="auto"/>
                <w:w w:val="74"/>
              </w:rPr>
              <w:t>%</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3,990,000</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3,990,000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3,740,625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3"/>
              </w:rPr>
              <w:t>FURNISHINGS,</w:t>
            </w: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2"/>
              </w:rPr>
              <w:t>HOUSEWARES &amp;</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DURABLES</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C</w:t>
            </w:r>
            <w:r>
              <w:rPr>
                <w:rFonts w:ascii="Arial" w:cs="Arial" w:eastAsia="Arial" w:hAnsi="Arial"/>
                <w:sz w:val="14"/>
                <w:szCs w:val="14"/>
                <w:color w:val="auto"/>
              </w:rPr>
              <w:t>J</w:t>
            </w:r>
            <w:r>
              <w:rPr>
                <w:rFonts w:ascii="Arial" w:cs="Arial" w:eastAsia="Arial" w:hAnsi="Arial"/>
                <w:sz w:val="11"/>
                <w:szCs w:val="11"/>
                <w:color w:val="auto"/>
              </w:rPr>
              <w:t>UNKIN</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01/31/2014</w:t>
            </w:r>
          </w:p>
        </w:tc>
        <w:tc>
          <w:tcPr>
            <w:tcW w:w="23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OIL &amp; GAS</w:t>
            </w:r>
          </w:p>
        </w:tc>
        <w:tc>
          <w:tcPr>
            <w:tcW w:w="9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7.45%</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L+225</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982,525</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982,525</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965,331</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274" w:right="239" w:bottom="1440" w:gutter="0" w:footer="0" w:header="0"/>
        </w:sectPr>
      </w:pPr>
    </w:p>
    <w:bookmarkStart w:id="124" w:name="page125"/>
    <w:bookmarkEnd w:id="124"/>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Basis Point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Spread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Current</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Above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(2)</w:t>
            </w:r>
          </w:p>
        </w:tc>
        <w:tc>
          <w:tcPr>
            <w:tcW w:w="0" w:type="dxa"/>
            <w:vAlign w:val="bottom"/>
          </w:tcPr>
          <w:p>
            <w:pPr>
              <w:spacing w:after="0"/>
              <w:rPr>
                <w:sz w:val="1"/>
                <w:szCs w:val="1"/>
                <w:color w:val="auto"/>
              </w:rPr>
            </w:pPr>
          </w:p>
        </w:tc>
      </w:tr>
      <w:tr>
        <w:trPr>
          <w:trHeight w:val="176"/>
        </w:trPr>
        <w:tc>
          <w:tcPr>
            <w:tcW w:w="3080" w:type="dxa"/>
            <w:vAlign w:val="bottom"/>
            <w:gridSpan w:val="3"/>
            <w:vMerge w:val="continue"/>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Maturity</w:t>
            </w:r>
          </w:p>
        </w:tc>
        <w:tc>
          <w:tcPr>
            <w:tcW w:w="740" w:type="dxa"/>
            <w:vAlign w:val="bottom"/>
          </w:tcPr>
          <w:p>
            <w:pPr>
              <w:spacing w:after="0"/>
              <w:rPr>
                <w:sz w:val="15"/>
                <w:szCs w:val="15"/>
                <w:color w:val="auto"/>
              </w:rPr>
            </w:pPr>
          </w:p>
        </w:tc>
        <w:tc>
          <w:tcPr>
            <w:tcW w:w="146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4"/>
              </w:rPr>
              <w:t>Industry</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Coupon</w:t>
            </w:r>
          </w:p>
        </w:tc>
        <w:tc>
          <w:tcPr>
            <w:tcW w:w="1000" w:type="dxa"/>
            <w:vAlign w:val="bottom"/>
            <w:gridSpan w:val="2"/>
          </w:tcPr>
          <w:p>
            <w:pPr>
              <w:jc w:val="center"/>
              <w:ind w:right="2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160" w:type="dxa"/>
            <w:vAlign w:val="bottom"/>
          </w:tcPr>
          <w:p>
            <w:pPr>
              <w:spacing w:after="0"/>
              <w:rPr>
                <w:sz w:val="15"/>
                <w:szCs w:val="15"/>
                <w:color w:val="auto"/>
              </w:rPr>
            </w:pPr>
          </w:p>
        </w:tc>
        <w:tc>
          <w:tcPr>
            <w:tcW w:w="760" w:type="dxa"/>
            <w:vAlign w:val="bottom"/>
          </w:tcPr>
          <w:p>
            <w:pPr>
              <w:jc w:val="right"/>
              <w:ind w:right="292"/>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Debt—(continued)</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ITCHELL</w:t>
            </w:r>
            <w:r>
              <w:rPr>
                <w:rFonts w:ascii="Arial" w:cs="Arial" w:eastAsia="Arial" w:hAnsi="Arial"/>
                <w:sz w:val="14"/>
                <w:szCs w:val="14"/>
                <w:color w:val="auto"/>
              </w:rPr>
              <w:t xml:space="preserve"> I</w:t>
            </w:r>
            <w:r>
              <w:rPr>
                <w:rFonts w:ascii="Arial" w:cs="Arial" w:eastAsia="Arial" w:hAnsi="Arial"/>
                <w:sz w:val="11"/>
                <w:szCs w:val="11"/>
                <w:color w:val="auto"/>
              </w:rPr>
              <w:t>NTERNATIONAL</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03/28/2014</w:t>
            </w:r>
          </w:p>
        </w:tc>
        <w:tc>
          <w:tcPr>
            <w:tcW w:w="220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9"/>
              </w:rPr>
              <w:t>BUSINESS SERVICES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7.20%</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L+200</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3,980,000</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3,980,000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3,835,725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w:t>
            </w:r>
            <w:r>
              <w:rPr>
                <w:rFonts w:ascii="Arial" w:cs="Arial" w:eastAsia="Arial" w:hAnsi="Arial"/>
                <w:sz w:val="11"/>
                <w:szCs w:val="11"/>
                <w:color w:val="auto"/>
              </w:rPr>
              <w:t>ATIONAL</w:t>
            </w:r>
            <w:r>
              <w:rPr>
                <w:rFonts w:ascii="Arial" w:cs="Arial" w:eastAsia="Arial" w:hAnsi="Arial"/>
                <w:sz w:val="14"/>
                <w:szCs w:val="14"/>
                <w:color w:val="auto"/>
              </w:rPr>
              <w:t xml:space="preserve"> B</w:t>
            </w:r>
            <w:r>
              <w:rPr>
                <w:rFonts w:ascii="Arial" w:cs="Arial" w:eastAsia="Arial" w:hAnsi="Arial"/>
                <w:sz w:val="11"/>
                <w:szCs w:val="11"/>
                <w:color w:val="auto"/>
              </w:rPr>
              <w:t>EDDING</w:t>
            </w:r>
            <w:r>
              <w:rPr>
                <w:rFonts w:ascii="Arial" w:cs="Arial" w:eastAsia="Arial" w:hAnsi="Arial"/>
                <w:sz w:val="14"/>
                <w:szCs w:val="14"/>
                <w:color w:val="auto"/>
              </w:rPr>
              <w:t xml:space="preserve"> C</w:t>
            </w:r>
            <w:r>
              <w:rPr>
                <w:rFonts w:ascii="Arial" w:cs="Arial" w:eastAsia="Arial" w:hAnsi="Arial"/>
                <w:sz w:val="11"/>
                <w:szCs w:val="11"/>
                <w:color w:val="auto"/>
              </w:rPr>
              <w:t>O</w:t>
            </w:r>
            <w:r>
              <w:rPr>
                <w:rFonts w:ascii="Arial" w:cs="Arial" w:eastAsia="Arial" w:hAnsi="Arial"/>
                <w:sz w:val="14"/>
                <w:szCs w:val="14"/>
                <w:color w:val="auto"/>
              </w:rPr>
              <w:t>., L.L.C.</w:t>
            </w: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line="152" w:lineRule="exact"/>
              <w:rPr>
                <w:sz w:val="20"/>
                <w:szCs w:val="20"/>
                <w:color w:val="auto"/>
              </w:rPr>
            </w:pPr>
            <w:r>
              <w:rPr>
                <w:rFonts w:ascii="Arial" w:cs="Arial" w:eastAsia="Arial" w:hAnsi="Arial"/>
                <w:sz w:val="14"/>
                <w:szCs w:val="14"/>
                <w:color w:val="auto"/>
              </w:rPr>
              <w:t>08/31/2011</w:t>
            </w:r>
          </w:p>
        </w:tc>
        <w:tc>
          <w:tcPr>
            <w:tcW w:w="2200" w:type="dxa"/>
            <w:vAlign w:val="bottom"/>
            <w:gridSpan w:val="3"/>
            <w:shd w:val="clear" w:color="auto" w:fill="CCEEFF"/>
          </w:tcPr>
          <w:p>
            <w:pPr>
              <w:jc w:val="center"/>
              <w:ind w:right="200"/>
              <w:spacing w:after="0" w:line="152" w:lineRule="exact"/>
              <w:rPr>
                <w:sz w:val="20"/>
                <w:szCs w:val="20"/>
                <w:color w:val="auto"/>
              </w:rPr>
            </w:pPr>
            <w:r>
              <w:rPr>
                <w:rFonts w:ascii="Arial" w:cs="Arial" w:eastAsia="Arial" w:hAnsi="Arial"/>
                <w:sz w:val="14"/>
                <w:szCs w:val="14"/>
                <w:color w:val="auto"/>
                <w:w w:val="94"/>
              </w:rPr>
              <w:t>HOME &amp; OFFICE</w:t>
            </w:r>
          </w:p>
        </w:tc>
        <w:tc>
          <w:tcPr>
            <w:tcW w:w="960" w:type="dxa"/>
            <w:vAlign w:val="bottom"/>
            <w:gridSpan w:val="2"/>
            <w:shd w:val="clear" w:color="auto" w:fill="CCEEFF"/>
          </w:tcPr>
          <w:p>
            <w:pPr>
              <w:jc w:val="right"/>
              <w:ind w:right="260"/>
              <w:spacing w:after="0" w:line="152" w:lineRule="exact"/>
              <w:rPr>
                <w:sz w:val="20"/>
                <w:szCs w:val="20"/>
                <w:color w:val="auto"/>
              </w:rPr>
            </w:pPr>
            <w:r>
              <w:rPr>
                <w:rFonts w:ascii="Arial" w:cs="Arial" w:eastAsia="Arial" w:hAnsi="Arial"/>
                <w:sz w:val="14"/>
                <w:szCs w:val="14"/>
                <w:color w:val="auto"/>
              </w:rPr>
              <w:t>7.43%</w:t>
            </w:r>
          </w:p>
        </w:tc>
        <w:tc>
          <w:tcPr>
            <w:tcW w:w="1000" w:type="dxa"/>
            <w:vAlign w:val="bottom"/>
            <w:gridSpan w:val="2"/>
            <w:shd w:val="clear" w:color="auto" w:fill="CCEEFF"/>
          </w:tcPr>
          <w:p>
            <w:pPr>
              <w:ind w:left="420"/>
              <w:spacing w:after="0" w:line="152" w:lineRule="exact"/>
              <w:rPr>
                <w:sz w:val="20"/>
                <w:szCs w:val="20"/>
                <w:color w:val="auto"/>
              </w:rPr>
            </w:pPr>
            <w:r>
              <w:rPr>
                <w:rFonts w:ascii="Arial" w:cs="Arial" w:eastAsia="Arial" w:hAnsi="Arial"/>
                <w:sz w:val="14"/>
                <w:szCs w:val="14"/>
                <w:color w:val="auto"/>
              </w:rPr>
              <w:t>L+200</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6,965,000</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2" w:lineRule="exact"/>
              <w:rPr>
                <w:sz w:val="20"/>
                <w:szCs w:val="20"/>
                <w:color w:val="auto"/>
              </w:rPr>
            </w:pPr>
            <w:r>
              <w:rPr>
                <w:rFonts w:ascii="Arial" w:cs="Arial" w:eastAsia="Arial" w:hAnsi="Arial"/>
                <w:sz w:val="14"/>
                <w:szCs w:val="14"/>
                <w:color w:val="auto"/>
              </w:rPr>
              <w:t>6,971,653</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6,668,988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FURNISHINGS,</w:t>
            </w: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HOUSEWARES &amp;</w:t>
            </w: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5"/>
              </w:rPr>
              <w:t>DURABLES</w:t>
            </w: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ENTON</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02/01/2013</w:t>
            </w:r>
          </w:p>
        </w:tc>
        <w:tc>
          <w:tcPr>
            <w:tcW w:w="22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4"/>
              </w:rPr>
              <w:t>OTHER MEDIA</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7.59%</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L+225</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4,975,000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4,975,000</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4,716,922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HILOSOPHY</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03/16/2014</w:t>
            </w:r>
          </w:p>
        </w:tc>
        <w:tc>
          <w:tcPr>
            <w:tcW w:w="22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CONSUMER PRODUCTS</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7.36%</w:t>
            </w:r>
          </w:p>
        </w:tc>
        <w:tc>
          <w:tcPr>
            <w:tcW w:w="1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L+200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1,493,333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1,493,333</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ROQUEST</w:t>
            </w:r>
            <w:r>
              <w:rPr>
                <w:rFonts w:ascii="Arial" w:cs="Arial" w:eastAsia="Arial" w:hAnsi="Arial"/>
                <w:sz w:val="14"/>
                <w:szCs w:val="14"/>
                <w:color w:val="auto"/>
              </w:rPr>
              <w:t xml:space="preserve"> CSA, L.L.C.</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02/09/2014</w:t>
            </w:r>
          </w:p>
        </w:tc>
        <w:tc>
          <w:tcPr>
            <w:tcW w:w="22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2"/>
              </w:rPr>
              <w:t>EDUCATION</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8.20%</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L+300</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955,833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955,833</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936,716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w:t>
            </w:r>
            <w:r>
              <w:rPr>
                <w:rFonts w:ascii="Arial" w:cs="Arial" w:eastAsia="Arial" w:hAnsi="Arial"/>
                <w:sz w:val="11"/>
                <w:szCs w:val="11"/>
                <w:color w:val="auto"/>
              </w:rPr>
              <w:t>UESTEX</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05/04/2014</w:t>
            </w:r>
          </w:p>
        </w:tc>
        <w:tc>
          <w:tcPr>
            <w:tcW w:w="22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OTHER MEDIA</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8.56%</w:t>
            </w:r>
          </w:p>
        </w:tc>
        <w:tc>
          <w:tcPr>
            <w:tcW w:w="1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L+300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4,974,167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4,974,167</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4,839,742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EADER</w:t>
            </w: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xml:space="preserve"> D</w:t>
            </w:r>
            <w:r>
              <w:rPr>
                <w:rFonts w:ascii="Arial" w:cs="Arial" w:eastAsia="Arial" w:hAnsi="Arial"/>
                <w:sz w:val="11"/>
                <w:szCs w:val="11"/>
                <w:color w:val="auto"/>
              </w:rPr>
              <w:t>IGEST</w:t>
            </w:r>
            <w:r>
              <w:rPr>
                <w:rFonts w:ascii="Arial" w:cs="Arial" w:eastAsia="Arial" w:hAnsi="Arial"/>
                <w:sz w:val="14"/>
                <w:szCs w:val="14"/>
                <w:color w:val="auto"/>
              </w:rPr>
              <w:t xml:space="preserve"> A</w:t>
            </w:r>
            <w:r>
              <w:rPr>
                <w:rFonts w:ascii="Arial" w:cs="Arial" w:eastAsia="Arial" w:hAnsi="Arial"/>
                <w:sz w:val="11"/>
                <w:szCs w:val="11"/>
                <w:color w:val="auto"/>
              </w:rPr>
              <w:t>SSOCIATION</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03/02/2014</w:t>
            </w:r>
          </w:p>
        </w:tc>
        <w:tc>
          <w:tcPr>
            <w:tcW w:w="22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4"/>
              </w:rPr>
              <w:t>PRINTING &amp; PUBLISHING</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7.43%</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L+200</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995,006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995,006</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940,281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EXNORD</w:t>
            </w:r>
            <w:r>
              <w:rPr>
                <w:rFonts w:ascii="Arial" w:cs="Arial" w:eastAsia="Arial" w:hAnsi="Arial"/>
                <w:sz w:val="14"/>
                <w:szCs w:val="14"/>
                <w:color w:val="auto"/>
              </w:rPr>
              <w:t>, L.L.C.</w:t>
            </w: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0" w:type="dxa"/>
            <w:vAlign w:val="bottom"/>
            <w:gridSpan w:val="3"/>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94"/>
              </w:rPr>
              <w:t>MANUFACTURING/</w:t>
            </w: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07/19/2013</w:t>
            </w:r>
          </w:p>
        </w:tc>
        <w:tc>
          <w:tcPr>
            <w:tcW w:w="2200" w:type="dxa"/>
            <w:vAlign w:val="bottom"/>
            <w:gridSpan w:val="3"/>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93"/>
              </w:rPr>
              <w:t>BASIC INDUSTRIES</w:t>
            </w:r>
          </w:p>
        </w:tc>
        <w:tc>
          <w:tcPr>
            <w:tcW w:w="9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7.64%</w:t>
            </w:r>
          </w:p>
        </w:tc>
        <w:tc>
          <w:tcPr>
            <w:tcW w:w="10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L+225</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4,937,500</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4,937,500</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4,835,664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ITEL</w:t>
            </w:r>
            <w:r>
              <w:rPr>
                <w:rFonts w:ascii="Arial" w:cs="Arial" w:eastAsia="Arial" w:hAnsi="Arial"/>
                <w:sz w:val="14"/>
                <w:szCs w:val="14"/>
                <w:color w:val="auto"/>
              </w:rPr>
              <w:t>, L.L.C.</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01/30/2014</w:t>
            </w:r>
          </w:p>
        </w:tc>
        <w:tc>
          <w:tcPr>
            <w:tcW w:w="220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9"/>
              </w:rPr>
              <w:t>BUSINESS SERVICES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7.78%</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L+250</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2,867,302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2,867,302</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2,680,927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w:t>
            </w:r>
            <w:r>
              <w:rPr>
                <w:rFonts w:ascii="Arial" w:cs="Arial" w:eastAsia="Arial" w:hAnsi="Arial"/>
                <w:sz w:val="11"/>
                <w:szCs w:val="11"/>
                <w:color w:val="auto"/>
              </w:rPr>
              <w:t>NIVISION</w:t>
            </w:r>
            <w:r>
              <w:rPr>
                <w:rFonts w:ascii="Arial" w:cs="Arial" w:eastAsia="Arial" w:hAnsi="Arial"/>
                <w:sz w:val="14"/>
                <w:szCs w:val="14"/>
                <w:color w:val="auto"/>
              </w:rPr>
              <w:t xml:space="preserve"> C</w:t>
            </w:r>
            <w:r>
              <w:rPr>
                <w:rFonts w:ascii="Arial" w:cs="Arial" w:eastAsia="Arial" w:hAnsi="Arial"/>
                <w:sz w:val="11"/>
                <w:szCs w:val="11"/>
                <w:color w:val="auto"/>
              </w:rPr>
              <w:t>OMMUNICATIONS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0" w:type="dxa"/>
            <w:vAlign w:val="bottom"/>
            <w:gridSpan w:val="3"/>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95"/>
              </w:rPr>
              <w:t>BROADCASTING &amp;</w:t>
            </w: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09/29/2014</w:t>
            </w:r>
          </w:p>
        </w:tc>
        <w:tc>
          <w:tcPr>
            <w:tcW w:w="2200" w:type="dxa"/>
            <w:vAlign w:val="bottom"/>
            <w:gridSpan w:val="3"/>
            <w:shd w:val="clear" w:color="auto" w:fill="CCEEFF"/>
          </w:tcPr>
          <w:p>
            <w:pPr>
              <w:jc w:val="center"/>
              <w:ind w:right="200"/>
              <w:spacing w:after="0" w:line="159" w:lineRule="exact"/>
              <w:rPr>
                <w:sz w:val="20"/>
                <w:szCs w:val="20"/>
                <w:color w:val="auto"/>
              </w:rPr>
            </w:pPr>
            <w:r>
              <w:rPr>
                <w:rFonts w:ascii="Arial" w:cs="Arial" w:eastAsia="Arial" w:hAnsi="Arial"/>
                <w:sz w:val="14"/>
                <w:szCs w:val="14"/>
                <w:color w:val="auto"/>
                <w:w w:val="94"/>
              </w:rPr>
              <w:t>ENTERTAINMENT</w:t>
            </w:r>
          </w:p>
        </w:tc>
        <w:tc>
          <w:tcPr>
            <w:tcW w:w="9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7.57%</w:t>
            </w:r>
          </w:p>
        </w:tc>
        <w:tc>
          <w:tcPr>
            <w:tcW w:w="10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L+225</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14,093,960</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14,093,960</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13,389,262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1"/>
                <w:szCs w:val="11"/>
                <w:color w:val="auto"/>
              </w:rPr>
              <w:t>U</w:t>
            </w:r>
            <w:r>
              <w:rPr>
                <w:rFonts w:ascii="Arial" w:cs="Arial" w:eastAsia="Arial" w:hAnsi="Arial"/>
                <w:sz w:val="9"/>
                <w:szCs w:val="9"/>
                <w:color w:val="auto"/>
              </w:rPr>
              <w:t>NIVISION</w:t>
            </w:r>
            <w:r>
              <w:rPr>
                <w:rFonts w:ascii="Arial" w:cs="Arial" w:eastAsia="Arial" w:hAnsi="Arial"/>
                <w:sz w:val="11"/>
                <w:szCs w:val="11"/>
                <w:color w:val="auto"/>
              </w:rPr>
              <w:t xml:space="preserve"> C</w:t>
            </w:r>
            <w:r>
              <w:rPr>
                <w:rFonts w:ascii="Arial" w:cs="Arial" w:eastAsia="Arial" w:hAnsi="Arial"/>
                <w:sz w:val="9"/>
                <w:szCs w:val="9"/>
                <w:color w:val="auto"/>
              </w:rPr>
              <w:t>OMMUNICATIONS</w:t>
            </w:r>
            <w:r>
              <w:rPr>
                <w:rFonts w:ascii="Arial" w:cs="Arial" w:eastAsia="Arial" w:hAnsi="Arial"/>
                <w:sz w:val="11"/>
                <w:szCs w:val="11"/>
                <w:color w:val="auto"/>
              </w:rPr>
              <w:t>, I</w:t>
            </w:r>
            <w:r>
              <w:rPr>
                <w:rFonts w:ascii="Arial" w:cs="Arial" w:eastAsia="Arial" w:hAnsi="Arial"/>
                <w:sz w:val="9"/>
                <w:szCs w:val="9"/>
                <w:color w:val="auto"/>
              </w:rPr>
              <w:t>NC</w:t>
            </w:r>
            <w:r>
              <w:rPr>
                <w:rFonts w:ascii="Arial" w:cs="Arial" w:eastAsia="Arial" w:hAnsi="Arial"/>
                <w:sz w:val="11"/>
                <w:szCs w:val="11"/>
                <w:color w:val="auto"/>
              </w:rPr>
              <w:t>.</w:t>
            </w:r>
            <w:r>
              <w:rPr>
                <w:rFonts w:ascii="Arial" w:cs="Arial" w:eastAsia="Arial" w:hAnsi="Arial"/>
                <w:sz w:val="17"/>
                <w:szCs w:val="17"/>
                <w:color w:val="auto"/>
                <w:vertAlign w:val="superscript"/>
              </w:rPr>
              <w:t>(4)</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09/29/2014</w:t>
            </w:r>
          </w:p>
        </w:tc>
        <w:tc>
          <w:tcPr>
            <w:tcW w:w="22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5"/>
              </w:rPr>
              <w:t>BROADCASTING &amp;</w:t>
            </w: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906,040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906,040</w:t>
            </w:r>
          </w:p>
        </w:tc>
        <w:tc>
          <w:tcPr>
            <w:tcW w:w="160" w:type="dxa"/>
            <w:vAlign w:val="bottom"/>
          </w:tcPr>
          <w:p>
            <w:pPr>
              <w:spacing w:after="0"/>
              <w:rPr>
                <w:sz w:val="12"/>
                <w:szCs w:val="12"/>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860,738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4"/>
              </w:rPr>
              <w:t>ENTERTAINMENT</w:t>
            </w:r>
          </w:p>
        </w:tc>
        <w:tc>
          <w:tcPr>
            <w:tcW w:w="9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w:t>
            </w:r>
            <w:r>
              <w:rPr>
                <w:rFonts w:ascii="Arial" w:cs="Arial" w:eastAsia="Arial" w:hAnsi="Arial"/>
                <w:sz w:val="11"/>
                <w:szCs w:val="11"/>
                <w:color w:val="auto"/>
              </w:rPr>
              <w:t>ALASSIS</w:t>
            </w:r>
            <w:r>
              <w:rPr>
                <w:rFonts w:ascii="Arial" w:cs="Arial" w:eastAsia="Arial" w:hAnsi="Arial"/>
                <w:sz w:val="14"/>
                <w:szCs w:val="14"/>
                <w:color w:val="auto"/>
              </w:rPr>
              <w:t xml:space="preserve"> C</w:t>
            </w:r>
            <w:r>
              <w:rPr>
                <w:rFonts w:ascii="Arial" w:cs="Arial" w:eastAsia="Arial" w:hAnsi="Arial"/>
                <w:sz w:val="11"/>
                <w:szCs w:val="11"/>
                <w:color w:val="auto"/>
              </w:rPr>
              <w:t>OMMUNICATIONS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03/02/2014</w:t>
            </w:r>
          </w:p>
        </w:tc>
        <w:tc>
          <w:tcPr>
            <w:tcW w:w="22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PRINTING &amp; PUBLISHING</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6.95%</w:t>
            </w:r>
          </w:p>
        </w:tc>
        <w:tc>
          <w:tcPr>
            <w:tcW w:w="1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L+175</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7,061,899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7,061,899</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6,549,911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gridSpan w:val="2"/>
          </w:tcPr>
          <w:p>
            <w:pPr>
              <w:spacing w:after="0" w:line="176" w:lineRule="exact"/>
              <w:rPr>
                <w:sz w:val="20"/>
                <w:szCs w:val="20"/>
                <w:color w:val="auto"/>
              </w:rPr>
            </w:pPr>
            <w:r>
              <w:rPr>
                <w:rFonts w:ascii="Arial" w:cs="Arial" w:eastAsia="Arial" w:hAnsi="Arial"/>
                <w:sz w:val="13"/>
                <w:szCs w:val="13"/>
                <w:color w:val="auto"/>
              </w:rPr>
              <w:t>V</w:t>
            </w:r>
            <w:r>
              <w:rPr>
                <w:rFonts w:ascii="Arial" w:cs="Arial" w:eastAsia="Arial" w:hAnsi="Arial"/>
                <w:sz w:val="10"/>
                <w:szCs w:val="10"/>
                <w:color w:val="auto"/>
              </w:rPr>
              <w:t>ALASSIS</w:t>
            </w:r>
            <w:r>
              <w:rPr>
                <w:rFonts w:ascii="Arial" w:cs="Arial" w:eastAsia="Arial" w:hAnsi="Arial"/>
                <w:sz w:val="13"/>
                <w:szCs w:val="13"/>
                <w:color w:val="auto"/>
              </w:rPr>
              <w:t xml:space="preserve"> C</w:t>
            </w:r>
            <w:r>
              <w:rPr>
                <w:rFonts w:ascii="Arial" w:cs="Arial" w:eastAsia="Arial" w:hAnsi="Arial"/>
                <w:sz w:val="10"/>
                <w:szCs w:val="10"/>
                <w:color w:val="auto"/>
              </w:rPr>
              <w:t>OMMUNICATIONS</w:t>
            </w:r>
            <w:r>
              <w:rPr>
                <w:rFonts w:ascii="Arial" w:cs="Arial" w:eastAsia="Arial" w:hAnsi="Arial"/>
                <w:sz w:val="13"/>
                <w:szCs w:val="13"/>
                <w:color w:val="auto"/>
              </w:rPr>
              <w:t>, I</w:t>
            </w:r>
            <w:r>
              <w:rPr>
                <w:rFonts w:ascii="Arial" w:cs="Arial" w:eastAsia="Arial" w:hAnsi="Arial"/>
                <w:sz w:val="10"/>
                <w:szCs w:val="10"/>
                <w:color w:val="auto"/>
              </w:rPr>
              <w:t>NC</w:t>
            </w:r>
            <w:r>
              <w:rPr>
                <w:rFonts w:ascii="Arial" w:cs="Arial" w:eastAsia="Arial" w:hAnsi="Arial"/>
                <w:sz w:val="13"/>
                <w:szCs w:val="13"/>
                <w:color w:val="auto"/>
              </w:rPr>
              <w:t>.</w:t>
            </w:r>
            <w:r>
              <w:rPr>
                <w:rFonts w:ascii="Arial" w:cs="Arial" w:eastAsia="Arial" w:hAnsi="Arial"/>
                <w:sz w:val="20"/>
                <w:szCs w:val="20"/>
                <w:color w:val="auto"/>
                <w:vertAlign w:val="superscript"/>
              </w:rPr>
              <w:t>(4)</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03/02/2014</w:t>
            </w:r>
          </w:p>
        </w:tc>
        <w:tc>
          <w:tcPr>
            <w:tcW w:w="2200" w:type="dxa"/>
            <w:vAlign w:val="bottom"/>
            <w:gridSpan w:val="3"/>
          </w:tcPr>
          <w:p>
            <w:pPr>
              <w:jc w:val="center"/>
              <w:ind w:right="200"/>
              <w:spacing w:after="0"/>
              <w:rPr>
                <w:sz w:val="20"/>
                <w:szCs w:val="20"/>
                <w:color w:val="auto"/>
              </w:rPr>
            </w:pPr>
            <w:r>
              <w:rPr>
                <w:rFonts w:ascii="Arial" w:cs="Arial" w:eastAsia="Arial" w:hAnsi="Arial"/>
                <w:sz w:val="14"/>
                <w:szCs w:val="14"/>
                <w:color w:val="auto"/>
                <w:w w:val="94"/>
              </w:rPr>
              <w:t>PRINTING &amp; PUBLISHING</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2,103,908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2,103,908</w:t>
            </w:r>
          </w:p>
        </w:tc>
        <w:tc>
          <w:tcPr>
            <w:tcW w:w="16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1,951,375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w:t>
            </w:r>
            <w:r>
              <w:rPr>
                <w:rFonts w:ascii="Arial" w:cs="Arial" w:eastAsia="Arial" w:hAnsi="Arial"/>
                <w:sz w:val="11"/>
                <w:szCs w:val="11"/>
                <w:color w:val="auto"/>
              </w:rPr>
              <w:t>ESTERN</w:t>
            </w:r>
            <w:r>
              <w:rPr>
                <w:rFonts w:ascii="Arial" w:cs="Arial" w:eastAsia="Arial" w:hAnsi="Arial"/>
                <w:sz w:val="14"/>
                <w:szCs w:val="14"/>
                <w:color w:val="auto"/>
              </w:rPr>
              <w:t xml:space="preserve"> R</w:t>
            </w:r>
            <w:r>
              <w:rPr>
                <w:rFonts w:ascii="Arial" w:cs="Arial" w:eastAsia="Arial" w:hAnsi="Arial"/>
                <w:sz w:val="11"/>
                <w:szCs w:val="11"/>
                <w:color w:val="auto"/>
              </w:rPr>
              <w:t>EFINING</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05/30/2014</w:t>
            </w:r>
          </w:p>
        </w:tc>
        <w:tc>
          <w:tcPr>
            <w:tcW w:w="220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8"/>
              </w:rPr>
              <w:t>OIL &amp; GAS</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6.88%</w:t>
            </w:r>
          </w:p>
        </w:tc>
        <w:tc>
          <w:tcPr>
            <w:tcW w:w="1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L+175</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3,714,286</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3,714,286</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3,640,000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170,481,009</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170,474,236</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158,929,905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 107.6%</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314,881,870</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291,016,608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274" w:right="239" w:bottom="1440" w:gutter="0" w:footer="0" w:header="0"/>
        </w:sectPr>
      </w:pPr>
    </w:p>
    <w:bookmarkStart w:id="125" w:name="page126"/>
    <w:bookmarkEnd w:id="125"/>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Current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Above</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4540" w:type="dxa"/>
            <w:vAlign w:val="bottom"/>
            <w:gridSpan w:val="4"/>
            <w:vMerge w:val="continue"/>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Maturity</w:t>
            </w:r>
          </w:p>
        </w:tc>
        <w:tc>
          <w:tcPr>
            <w:tcW w:w="15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6"/>
              </w:rPr>
              <w:t>Industry   Coupon</w:t>
            </w:r>
          </w:p>
        </w:tc>
        <w:tc>
          <w:tcPr>
            <w:tcW w:w="6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20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5"/>
                <w:szCs w:val="15"/>
                <w:color w:val="auto"/>
              </w:rPr>
            </w:pPr>
          </w:p>
        </w:tc>
        <w:tc>
          <w:tcPr>
            <w:tcW w:w="980" w:type="dxa"/>
            <w:vAlign w:val="bottom"/>
          </w:tcPr>
          <w:p>
            <w:pPr>
              <w:jc w:val="right"/>
              <w:ind w:right="28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equivalents—95.4%</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U.S. T</w:t>
            </w:r>
            <w:r>
              <w:rPr>
                <w:rFonts w:ascii="Arial" w:cs="Arial" w:eastAsia="Arial" w:hAnsi="Arial"/>
                <w:sz w:val="14"/>
                <w:szCs w:val="14"/>
                <w:color w:val="auto"/>
              </w:rPr>
              <w:t>REASURY</w:t>
            </w:r>
            <w:r>
              <w:rPr>
                <w:rFonts w:ascii="Arial" w:cs="Arial" w:eastAsia="Arial" w:hAnsi="Arial"/>
                <w:sz w:val="18"/>
                <w:szCs w:val="18"/>
                <w:color w:val="auto"/>
              </w:rPr>
              <w:t xml:space="preserve"> B</w:t>
            </w:r>
            <w:r>
              <w:rPr>
                <w:rFonts w:ascii="Arial" w:cs="Arial" w:eastAsia="Arial" w:hAnsi="Arial"/>
                <w:sz w:val="14"/>
                <w:szCs w:val="14"/>
                <w:color w:val="auto"/>
              </w:rPr>
              <w:t>ILL</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12/27/2007</w:t>
            </w:r>
          </w:p>
        </w:tc>
        <w:tc>
          <w:tcPr>
            <w:tcW w:w="1540" w:type="dxa"/>
            <w:vAlign w:val="bottom"/>
            <w:gridSpan w:val="4"/>
          </w:tcPr>
          <w:p>
            <w:pPr>
              <w:jc w:val="right"/>
              <w:ind w:right="200"/>
              <w:spacing w:after="0"/>
              <w:rPr>
                <w:sz w:val="20"/>
                <w:szCs w:val="20"/>
                <w:color w:val="auto"/>
              </w:rPr>
            </w:pPr>
            <w:r>
              <w:rPr>
                <w:rFonts w:ascii="Arial" w:cs="Arial" w:eastAsia="Arial" w:hAnsi="Arial"/>
                <w:sz w:val="18"/>
                <w:szCs w:val="18"/>
                <w:color w:val="auto"/>
              </w:rPr>
              <w:t>3.64%</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$255,000,000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6"/>
              </w:rPr>
              <w:t>$252,759,931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$ 252,703,215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ONEY MARKET</w:t>
            </w:r>
            <w:r>
              <w:rPr>
                <w:rFonts w:ascii="Arial" w:cs="Arial" w:eastAsia="Arial" w:hAnsi="Arial"/>
                <w:sz w:val="18"/>
                <w:szCs w:val="18"/>
                <w:color w:val="auto"/>
              </w:rPr>
              <w:t>—</w:t>
            </w:r>
            <w:r>
              <w:rPr>
                <w:rFonts w:ascii="Arial" w:cs="Arial" w:eastAsia="Arial" w:hAnsi="Arial"/>
                <w:sz w:val="14"/>
                <w:szCs w:val="14"/>
                <w:color w:val="auto"/>
              </w:rPr>
              <w:t>MUTUAL FUNDS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5,256,420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5,256,420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5,256,420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cash equivalents</w:t>
            </w: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gridSpan w:val="4"/>
            <w:vMerge w:val="continue"/>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260,256,420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258,016,351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257,959,635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investments and cash equivalents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572,898,221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$ 548,976,243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 in excess of other assets—(103.0%)</w:t>
            </w: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gridSpan w:val="4"/>
            <w:vMerge w:val="continue"/>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6"/>
              </w:rPr>
              <w:t>(278,583,149)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assets—100.0%</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$ 270,393,094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160" w:hanging="332"/>
        <w:spacing w:after="0" w:line="259"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do not “control” and are not an “affiliate” of any of our portfolio companies, each as defined in the 1940 Act. In general, under the 1940 Act, we would be presumed to “control” a portfolio company if we owned 25% or more of its voting securities and would be deemed to be an “affiliate” of a portfolio company if we owned 5% or more of its voting securities.</w:t>
      </w:r>
    </w:p>
    <w:p>
      <w:pPr>
        <w:spacing w:after="0" w:line="59" w:lineRule="exact"/>
        <w:rPr>
          <w:rFonts w:ascii="Arial" w:cs="Arial" w:eastAsia="Arial" w:hAnsi="Arial"/>
          <w:sz w:val="18"/>
          <w:szCs w:val="18"/>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Valued based on our accounting policy. (See note 2)</w:t>
      </w:r>
    </w:p>
    <w:p>
      <w:pPr>
        <w:spacing w:after="0" w:line="90" w:lineRule="exact"/>
        <w:rPr>
          <w:rFonts w:ascii="Arial" w:cs="Arial" w:eastAsia="Arial" w:hAnsi="Arial"/>
          <w:sz w:val="18"/>
          <w:szCs w:val="18"/>
          <w:color w:val="auto"/>
        </w:rPr>
      </w:pPr>
    </w:p>
    <w:p>
      <w:pPr>
        <w:ind w:left="340" w:right="100" w:hanging="332"/>
        <w:spacing w:after="0" w:line="268"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 or, “L”).</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purchases of securities with delayed draws. These securities do not have a basis point spread above index.</w:t>
      </w:r>
    </w:p>
    <w:p>
      <w:pPr>
        <w:spacing w:after="0" w:line="90" w:lineRule="exact"/>
        <w:rPr>
          <w:rFonts w:ascii="Arial" w:cs="Arial" w:eastAsia="Arial" w:hAnsi="Arial"/>
          <w:sz w:val="18"/>
          <w:szCs w:val="18"/>
          <w:color w:val="auto"/>
        </w:rPr>
      </w:pPr>
    </w:p>
    <w:p>
      <w:pPr>
        <w:ind w:left="340" w:right="660" w:hanging="332"/>
        <w:spacing w:after="0" w:line="268"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Security is exempt from registration under Rule 144A of the Securities Act of 1933. The security may be resold in transactions that are exempt from registration, normally to qualified institutional buyers.</w:t>
      </w:r>
    </w:p>
    <w:p>
      <w:pPr>
        <w:spacing w:after="0" w:line="51" w:lineRule="exact"/>
        <w:rPr>
          <w:sz w:val="20"/>
          <w:szCs w:val="20"/>
          <w:color w:val="auto"/>
        </w:rPr>
      </w:pPr>
    </w:p>
    <w:p>
      <w:pPr>
        <w:ind w:right="7980" w:firstLine="52"/>
        <w:spacing w:after="0" w:line="362" w:lineRule="auto"/>
        <w:tabs>
          <w:tab w:leader="none" w:pos="338"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Coupon payable in cash or payment in kind. ** Non-income producing.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274" w:right="239" w:bottom="1440" w:gutter="0" w:footer="0" w:header="0"/>
        </w:sectPr>
      </w:pPr>
    </w:p>
    <w:bookmarkStart w:id="126" w:name="page127"/>
    <w:bookmarkEnd w:id="126"/>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PennantPark Investment Corporation (“PennantPark” or “Company”)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first lien secured debt and equity investments. As of September 30, 2007 PennantPark Investment had sold and issued 21,068,772 shares of its common stock, with gross proceeds of $316.0 million. Before the completion of its initial public offering on April 24, 2007, PennantPark Investment had limited operations other than the sale and issuance of 80,000 shares of common stock at an aggregate purchase price of $1.2 million to PennantPark Investment Advisers, LLC (the “Investment Adviser” or “PennantPark Investment Advisers”) and the purchase of first lien secured debt.</w:t>
      </w:r>
    </w:p>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selling 20,000,000 shares of its common stock, resulting in net proceeds of approximately $279.6 million. Also on April 24, PennantPark Investment closed a private placement of common stock pursuant to Regulation D under the Securities Act of 1933. This private placement of 320,000 shares was made to officers, directors, the Investment Adviser and managers of the Investment Adviser, for $15 per share, resulting in net proceeds of approximately $4.8 million. On May 21, the underwriters of the initial public offering exercised their over-allotment option to them under the Underwriting Agreement. The Underwriters elected to purchase 625,000 shares of our common stock, resulting in net proceeds of $8.8 million.</w:t>
      </w:r>
    </w:p>
    <w:p>
      <w:pPr>
        <w:spacing w:after="0" w:line="144"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consolidated financial statements include the accounts of PennantPark Investment and its wholly owned special purpose subsidiary, Pennant SPV Company, LLC (“Pennant SPV”) a Delaware corporation. On April 24, 2007, Pennant SPV transferred all of its assets to PennantPark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(“GAAP”) requires management to make estimates and assumptions that affect the reported amount of assets and liabilities at the date of the consolidated financial statements and the reported amounts of income and expenses during the reported period. Actual results could differ from these estimates.</w:t>
      </w:r>
    </w:p>
    <w:p>
      <w:pPr>
        <w:spacing w:after="0" w:line="10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10-K and Article 6 or 10 of Regulation S-X, as appropriate. In accordance with Article 6-09 of Regulation S-X under the Exchange Act, we are providing a Statement of Changes in Net Assets in lieu of a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900" w:right="80" w:hanging="446"/>
        <w:spacing w:after="0" w:line="290"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Security transactions are recorded on a trade-date basis.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securities with maturities greater than 60 days generally are valued by an independent pricing service or at the bid prices from at least two broker/dealers (if available, otherwise by a principal market maker or a primary market dealer). We expect that there will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274" w:right="239" w:bottom="1440" w:gutter="0" w:footer="0" w:header="0"/>
        </w:sectPr>
      </w:pPr>
    </w:p>
    <w:bookmarkStart w:id="127" w:name="page128"/>
    <w:bookmarkEnd w:id="127"/>
    <w:p>
      <w:pPr>
        <w:ind w:left="920"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With respect to investments for which there is no readily available market value, valuation methods may include comparisons of financial ratios of the portfolio companies that issued such private securities to peer companies that are public. 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3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to be inaccurate, our board of directors undertakes a multi-step valuation process each quarter, as described below:</w:t>
      </w:r>
    </w:p>
    <w:p>
      <w:pPr>
        <w:spacing w:after="0" w:line="51" w:lineRule="exact"/>
        <w:rPr>
          <w:sz w:val="20"/>
          <w:szCs w:val="20"/>
          <w:color w:val="auto"/>
        </w:rPr>
      </w:pPr>
    </w:p>
    <w:p>
      <w:pPr>
        <w:ind w:left="900" w:right="44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board of directors also engages one or more independent valuation firms to conduct independent appraisals of our investments for which market quotations are not readily available or are readily available but believed to be inaccurate.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60" w:hanging="446"/>
        <w:spacing w:after="0" w:line="332"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8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the Investment Adviser, the respective independent valuation firms and the audit committee.</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types of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59"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Investments purchased within 60 days of maturity are valued at cost plus accreted discount, or minus amortized premium, which approximates value.</w:t>
      </w:r>
    </w:p>
    <w:p>
      <w:pPr>
        <w:spacing w:after="0" w:line="124" w:lineRule="exact"/>
        <w:rPr>
          <w:rFonts w:ascii="Arial" w:cs="Arial" w:eastAsia="Arial" w:hAnsi="Arial"/>
          <w:sz w:val="15"/>
          <w:szCs w:val="15"/>
          <w:color w:val="auto"/>
        </w:rPr>
      </w:pPr>
    </w:p>
    <w:p>
      <w:pPr>
        <w:ind w:left="900" w:hanging="446"/>
        <w:spacing w:after="0" w:line="255"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61" w:lineRule="exact"/>
        <w:rPr>
          <w:rFonts w:ascii="Arial" w:cs="Arial" w:eastAsia="Arial" w:hAnsi="Arial"/>
          <w:sz w:val="18"/>
          <w:szCs w:val="18"/>
          <w:color w:val="auto"/>
        </w:rPr>
      </w:pPr>
    </w:p>
    <w:p>
      <w:pPr>
        <w:ind w:left="900" w:right="340" w:hanging="446"/>
        <w:spacing w:after="0" w:line="259"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record interest income on an accrual basis to the extent that we expect to collect such amounts. For loans and debt securities with contractual payment-in-kind, or “PIK,” interest, which represents contractual interest accrued and added to the loan balance that generally becomes due at maturity, we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280" w:right="259" w:bottom="1440" w:gutter="0" w:footer="0" w:header="0"/>
        </w:sectPr>
      </w:pPr>
    </w:p>
    <w:bookmarkStart w:id="128" w:name="page129"/>
    <w:bookmarkEnd w:id="128"/>
    <w:p>
      <w:pPr>
        <w:ind w:left="920"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will generally not accrue PIK interest if the portfolio company valuation indicates that such PIK interest is not collectible. We do not accrue as a receivable interest on loans and debt securities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the ex-dividend date.</w:t>
      </w:r>
    </w:p>
    <w:p>
      <w:pPr>
        <w:spacing w:after="0" w:line="75" w:lineRule="exact"/>
        <w:rPr>
          <w:sz w:val="20"/>
          <w:szCs w:val="20"/>
          <w:color w:val="auto"/>
        </w:rPr>
      </w:pPr>
    </w:p>
    <w:p>
      <w:pPr>
        <w:ind w:left="900" w:right="80" w:hanging="446"/>
        <w:spacing w:after="0" w:line="287"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Before May 1, 2007 PennantPark Investment was taxed as a corporation under Subchapter C of the Internal Revenue Code of 1986, as amended (the “Code”), and subject to corporate-level federal, state and local taxes. Starting May 1, 2007 PennantPark Investment intends to comply with the requirements of Subchapter M of the Code, and expects to be subject to tax as a regulated investment company, or “RIC”. As a corporation, PennantPark Investment accounted for income taxes using the asset liability method prescribed by FASB Statement No. 109, “Accounting for Income Taxes.” Under this method, income taxes were provided for amounts currently payable and for amounts deferred as tax assets and liabilities based on differences between the financial statement carrying amounts and the tax bases of existing assets and liabilities. Federal, state and local taxes of $105,880 were accrued and included in PennantPark Investment’s statement of operations. Based upon PennantPark Investment’s qualification and election to be subject to tax as a RIC as of its next taxable year-end, we do not anticipate any material taxes in the future. The Company will recognize in its financial statements the effect of a tax position when it is more likely than not, based on the technical merits, that the position will be sustained upon examination.</w:t>
      </w:r>
    </w:p>
    <w:p>
      <w:pPr>
        <w:spacing w:after="0" w:line="41" w:lineRule="exact"/>
        <w:rPr>
          <w:rFonts w:ascii="Arial" w:cs="Arial" w:eastAsia="Arial" w:hAnsi="Arial"/>
          <w:sz w:val="16"/>
          <w:szCs w:val="16"/>
          <w:color w:val="auto"/>
        </w:rPr>
      </w:pPr>
    </w:p>
    <w:p>
      <w:pPr>
        <w:ind w:left="900" w:right="80" w:hanging="446"/>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59" w:lineRule="exact"/>
        <w:rPr>
          <w:rFonts w:ascii="Arial" w:cs="Arial" w:eastAsia="Arial" w:hAnsi="Arial"/>
          <w:sz w:val="18"/>
          <w:szCs w:val="18"/>
          <w:color w:val="auto"/>
        </w:rPr>
      </w:pPr>
    </w:p>
    <w:p>
      <w:pPr>
        <w:ind w:left="900" w:right="20" w:hanging="446"/>
        <w:spacing w:after="0" w:line="291"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 September 2006, the Financial Accounting Standards Board issued Statement of Financial Accounting Standards (“SFAS”) 157, Fair Value Measurements,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At this time, PennantPark Investment is in the process of reviewing the Standard against its valuation policies to determine future applicability.</w:t>
      </w:r>
    </w:p>
    <w:p>
      <w:pPr>
        <w:spacing w:after="0" w:line="39"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 February 2007, the FASB issued Statement No. 159, The Fair Value Option for Financial Assets and Financial Liabilities—Including an Amendment of FASB Statement No. 115. 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This statement is effective for fiscal years beginning November 15, 2007, and interim periods within those fiscal years. The Company does not expect the adoption of this statement to have a significant effect on the Company’s consolidated financial position or its result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PennantPark Investment has entered into an Investment Management Agreement with PennantPark Investment Advisers under which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280" w:right="239" w:bottom="1440" w:gutter="0" w:footer="0" w:header="0"/>
        </w:sectPr>
      </w:pPr>
    </w:p>
    <w:bookmarkStart w:id="129" w:name="page130"/>
    <w:bookmarkEnd w:id="129"/>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base management fee is calculated at an annual rate of 2.00% on PennantPark Investment’s gross assets (net of U.S. Treasury Bills (“adjusted gross assets”)) (See note 9). Although the base management fee is 2.00% of adjusted gross assets, the Investment Adviser has agreed to waive a portion of the base management fee such that the base management fee will equal 1.50% from the consummation of the initial public offering through September 30, 2007; 1.75% from October 1, 2007 through March 31, 2008; and 2.00% thereafter. For the period from the commencement of operations to the consummation of the initial public offering there were no Management Fees. For services rendered under our Investment Management Agreement during the period commencing from the closing of the initial public offering through and including the first six months of operations, the base management fee is payable monthly in arrears. For services rendered under our Investment Management Agreement after that time, the base management fee will be payable quarterly in arrears. For the first quarter of operations, the base management fee was calculated based on the initial value of adjusted gross assets. Subsequently, the base management fee is calculated based on the average value of adjusted gross assets at the end of the two most recently completed calendar quarters, and appropriately adjusted for any share issuances or repurchases during the current calendar quarter. Base investment advisory fees for any partial month or quarter are appropriately pro rated. For the period from the consummation of the initial public offering to September 30, 2007, the Investment Adviser received $1.9 million in base management fee.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our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 in 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127" w:lineRule="exact"/>
        <w:rPr>
          <w:sz w:val="20"/>
          <w:szCs w:val="20"/>
          <w:color w:val="auto"/>
        </w:rPr>
      </w:pPr>
    </w:p>
    <w:p>
      <w:pPr>
        <w:ind w:right="20" w:firstLine="464"/>
        <w:spacing w:after="0" w:line="294" w:lineRule="auto"/>
        <w:tabs>
          <w:tab w:leader="none" w:pos="705"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our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will be calculated for a period of shorter than twelve calendar months to take into account any realized capital gains computed net of all realized capital losses and unrealized capital depreciation from inception.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280" w:right="239" w:bottom="1440" w:gutter="0" w:footer="0" w:header="0"/>
        </w:sectPr>
      </w:pPr>
    </w:p>
    <w:bookmarkStart w:id="130" w:name="page131"/>
    <w:bookmarkEnd w:id="13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period from January 11, 2007 (inception) to September 30, 2007, the Investment Adviser did not receive an Incentive Fee.</w:t>
      </w:r>
    </w:p>
    <w:p>
      <w:pPr>
        <w:spacing w:after="0" w:line="17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under which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our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consolidated statement of operations. For the period from January 11, 2007 (inception) through September 30, 2007, the Investment Adviser was reimbursed approximately $490,000 from the Company, including expenses it incurred on behalf of the Administrator for services described above.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ORGANIZATIONAL AND OFFERING EXPENSES</w:t>
      </w:r>
    </w:p>
    <w:p>
      <w:pPr>
        <w:spacing w:after="0" w:line="96"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A portion of the net proceeds of the Company’s initial public offering was used for organizational, offering and other expenses. Organizational expenses were treated as expenses incurred. Offering costs of $21,309,375 were charged to net assets after the completion of the initial public offering on April 24, 2007.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ASSET VALUE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30, 2007, PennantPark Investment’s total net assets and net asset value per share were $270,393,094 and $12.83,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per share net decrease in net assets resulting from operations:</w:t>
      </w:r>
    </w:p>
    <w:p>
      <w:pPr>
        <w:spacing w:after="0" w:line="207" w:lineRule="exact"/>
        <w:rPr>
          <w:sz w:val="20"/>
          <w:szCs w:val="20"/>
          <w:color w:val="auto"/>
        </w:rPr>
      </w:pPr>
    </w:p>
    <w:p>
      <w:pPr>
        <w:jc w:val="center"/>
        <w:ind w:left="10200"/>
        <w:spacing w:after="0"/>
        <w:rPr>
          <w:sz w:val="20"/>
          <w:szCs w:val="20"/>
          <w:color w:val="auto"/>
        </w:rPr>
      </w:pPr>
      <w:r>
        <w:rPr>
          <w:rFonts w:ascii="Arial" w:cs="Arial" w:eastAsia="Arial" w:hAnsi="Arial"/>
          <w:sz w:val="14"/>
          <w:szCs w:val="14"/>
          <w:b w:val="1"/>
          <w:bCs w:val="1"/>
          <w:color w:val="auto"/>
        </w:rPr>
        <w:t>Period from</w:t>
      </w:r>
    </w:p>
    <w:p>
      <w:pPr>
        <w:jc w:val="center"/>
        <w:ind w:left="10200"/>
        <w:spacing w:after="0" w:line="223" w:lineRule="auto"/>
        <w:rPr>
          <w:sz w:val="20"/>
          <w:szCs w:val="20"/>
          <w:color w:val="auto"/>
        </w:rPr>
      </w:pPr>
      <w:r>
        <w:rPr>
          <w:rFonts w:ascii="Arial" w:cs="Arial" w:eastAsia="Arial" w:hAnsi="Arial"/>
          <w:sz w:val="14"/>
          <w:szCs w:val="14"/>
          <w:b w:val="1"/>
          <w:bCs w:val="1"/>
          <w:color w:val="auto"/>
        </w:rPr>
        <w:t>January 11, 2007</w:t>
      </w:r>
    </w:p>
    <w:p>
      <w:pPr>
        <w:jc w:val="center"/>
        <w:ind w:left="10200"/>
        <w:spacing w:after="0" w:line="222" w:lineRule="auto"/>
        <w:rPr>
          <w:sz w:val="20"/>
          <w:szCs w:val="20"/>
          <w:color w:val="auto"/>
        </w:rPr>
      </w:pPr>
      <w:r>
        <w:rPr>
          <w:rFonts w:ascii="Arial" w:cs="Arial" w:eastAsia="Arial" w:hAnsi="Arial"/>
          <w:sz w:val="14"/>
          <w:szCs w:val="14"/>
          <w:b w:val="1"/>
          <w:bCs w:val="1"/>
          <w:color w:val="auto"/>
        </w:rPr>
        <w:t>(inception)</w:t>
      </w:r>
    </w:p>
    <w:p>
      <w:pPr>
        <w:jc w:val="center"/>
        <w:ind w:left="10200"/>
        <w:spacing w:after="0" w:line="221" w:lineRule="auto"/>
        <w:rPr>
          <w:sz w:val="20"/>
          <w:szCs w:val="20"/>
          <w:color w:val="auto"/>
        </w:rPr>
      </w:pPr>
      <w:r>
        <w:rPr>
          <w:rFonts w:ascii="Arial" w:cs="Arial" w:eastAsia="Arial" w:hAnsi="Arial"/>
          <w:sz w:val="14"/>
          <w:szCs w:val="14"/>
          <w:b w:val="1"/>
          <w:bCs w:val="1"/>
          <w:color w:val="auto"/>
        </w:rPr>
        <w:t>through</w:t>
      </w:r>
    </w:p>
    <w:p>
      <w:pPr>
        <w:jc w:val="center"/>
        <w:ind w:left="10200"/>
        <w:spacing w:after="0" w:line="222" w:lineRule="auto"/>
        <w:rPr>
          <w:sz w:val="20"/>
          <w:szCs w:val="20"/>
          <w:color w:val="auto"/>
        </w:rPr>
      </w:pPr>
      <w:r>
        <w:rPr>
          <w:rFonts w:ascii="Arial" w:cs="Arial" w:eastAsia="Arial" w:hAnsi="Arial"/>
          <w:sz w:val="14"/>
          <w:szCs w:val="14"/>
          <w:b w:val="1"/>
          <w:bCs w:val="1"/>
          <w:color w:val="auto"/>
        </w:rPr>
        <w:t>September 30,</w:t>
      </w:r>
    </w:p>
    <w:p>
      <w:pPr>
        <w:jc w:val="center"/>
        <w:ind w:left="10200"/>
        <w:spacing w:after="0" w:line="219" w:lineRule="auto"/>
        <w:rPr>
          <w:sz w:val="20"/>
          <w:szCs w:val="20"/>
          <w:color w:val="auto"/>
        </w:rPr>
      </w:pPr>
      <w:r>
        <w:rPr>
          <w:rFonts w:ascii="Arial" w:cs="Arial" w:eastAsia="Arial" w:hAnsi="Arial"/>
          <w:sz w:val="14"/>
          <w:szCs w:val="14"/>
          <w:b w:val="1"/>
          <w:bCs w:val="1"/>
          <w:color w:val="auto"/>
        </w:rPr>
        <w:t>2007</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54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w w:val="88"/>
              </w:rPr>
              <w:t>Numerator for net decrease in net assets per share resulting from operations:</w:t>
            </w:r>
          </w:p>
        </w:tc>
        <w:tc>
          <w:tcPr>
            <w:tcW w:w="49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w w:val="94"/>
              </w:rPr>
              <w:t>(16,699,251)</w:t>
            </w: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Denominator for basic weighted average shares:*</w:t>
            </w: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20,936,149</w:t>
            </w: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Basic net decrease in net assets per share resulting from operations:</w:t>
            </w:r>
          </w:p>
        </w:tc>
        <w:tc>
          <w:tcPr>
            <w:tcW w:w="4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(0.80)</w:t>
            </w:r>
          </w:p>
        </w:tc>
      </w:tr>
      <w:tr>
        <w:trPr>
          <w:trHeight w:val="108"/>
        </w:trPr>
        <w:tc>
          <w:tcPr>
            <w:tcW w:w="2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30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35"/>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5180" w:type="dxa"/>
            <w:vAlign w:val="bottom"/>
            <w:gridSpan w:val="2"/>
          </w:tcPr>
          <w:p>
            <w:pPr>
              <w:ind w:left="180"/>
              <w:spacing w:after="0"/>
              <w:rPr>
                <w:sz w:val="20"/>
                <w:szCs w:val="20"/>
                <w:color w:val="auto"/>
              </w:rPr>
            </w:pPr>
            <w:r>
              <w:rPr>
                <w:rFonts w:ascii="Arial" w:cs="Arial" w:eastAsia="Arial" w:hAnsi="Arial"/>
                <w:sz w:val="18"/>
                <w:szCs w:val="18"/>
                <w:color w:val="auto"/>
              </w:rPr>
              <w:t>Since completion of IPO on April 24, 2007</w:t>
            </w:r>
          </w:p>
        </w:tc>
        <w:tc>
          <w:tcPr>
            <w:tcW w:w="4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960" w:type="dxa"/>
            <w:vAlign w:val="bottom"/>
            <w:gridSpan w:val="2"/>
          </w:tcPr>
          <w:p>
            <w:pPr>
              <w:jc w:val="right"/>
              <w:ind w:right="4540"/>
              <w:spacing w:after="0"/>
              <w:rPr>
                <w:sz w:val="20"/>
                <w:szCs w:val="20"/>
                <w:color w:val="auto"/>
              </w:rPr>
            </w:pPr>
            <w:r>
              <w:rPr>
                <w:rFonts w:ascii="Arial" w:cs="Arial" w:eastAsia="Arial" w:hAnsi="Arial"/>
                <w:sz w:val="18"/>
                <w:szCs w:val="18"/>
                <w:color w:val="auto"/>
              </w:rPr>
              <w:t>F-15</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 INVESTMENTS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Investments consisted of subordinated debt/corporate notes, common equity, second lien secured debt, and first lien secured debt, as of September 30, 2007. The table below describes investments by industry classification and enumerates the percentage, by market value, of the total portfolio assets (excluding cash equivalents) in such industries as of September 30, 2007.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Percentage at Market</w:t>
            </w:r>
          </w:p>
        </w:tc>
        <w:tc>
          <w:tcPr>
            <w:tcW w:w="0" w:type="dxa"/>
            <w:vAlign w:val="bottom"/>
          </w:tcPr>
          <w:p>
            <w:pPr>
              <w:spacing w:after="0"/>
              <w:rPr>
                <w:sz w:val="1"/>
                <w:szCs w:val="1"/>
                <w:color w:val="auto"/>
              </w:rPr>
            </w:pPr>
          </w:p>
        </w:tc>
      </w:tr>
      <w:tr>
        <w:trPr>
          <w:trHeight w:val="161"/>
        </w:trPr>
        <w:tc>
          <w:tcPr>
            <w:tcW w:w="1002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Other Media</w:t>
            </w:r>
          </w:p>
        </w:tc>
        <w:tc>
          <w:tcPr>
            <w:tcW w:w="8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&amp; Real Estate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&amp; Office Furnishings, Housewares, &amp; Durable Consumer Products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 Plastics &amp; Rubber</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Leisure, Amusement, Motion Pictures, Entertainment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Broadcasting &amp; Entertainment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Cable Television</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Store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Healthcare, Education &amp; Childcare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&amp; Publishing</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Containers, Packaging &amp; Glass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Utilities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Industries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Oil &amp; Gas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020" w:type="dxa"/>
            <w:vAlign w:val="bottom"/>
            <w:gridSpan w:val="3"/>
            <w:vMerge w:val="continue"/>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For the period from inception through April 30, 2007, the Company was taxed as a corporation. As such federal, state and local taxes of $105,880 were accrued and included in PennantPark Investment’s statement of operations. Based upon PennantPark Investment’s expected qualification and election to be subject to tax as RIC as of its next taxable year-end, the company does not anticipate paying any corporate level taxes in the future.</w:t>
      </w:r>
    </w:p>
    <w:p>
      <w:pPr>
        <w:spacing w:after="0" w:line="107" w:lineRule="exact"/>
        <w:rPr>
          <w:sz w:val="20"/>
          <w:szCs w:val="20"/>
          <w:color w:val="auto"/>
        </w:rPr>
      </w:pPr>
    </w:p>
    <w:p>
      <w:pPr>
        <w:jc w:val="both"/>
        <w:ind w:right="280" w:firstLine="456"/>
        <w:spacing w:after="0" w:line="323" w:lineRule="auto"/>
        <w:rPr>
          <w:sz w:val="20"/>
          <w:szCs w:val="20"/>
          <w:color w:val="auto"/>
        </w:rPr>
      </w:pPr>
      <w:r>
        <w:rPr>
          <w:rFonts w:ascii="Arial" w:cs="Arial" w:eastAsia="Arial" w:hAnsi="Arial"/>
          <w:sz w:val="15"/>
          <w:szCs w:val="15"/>
          <w:color w:val="auto"/>
        </w:rPr>
        <w:t>As a regulated investment company (“RIC”) under Subchapter M of the Internal Revenue Code, the Company’s income generally will not be subject to taxation to the extent such income is distributed to stockholders. However, certain of the Company’s investments may be owned by wholly owned subsidiaries that are subject to corporate level federal, state, and local income tax in their respective jurisdictions. Deferred tax assets and liabilities are measured using the enacted tax rates expected to apply to the taxable income in the years in which those temporary differences are expected to be recovered or settled.</w:t>
      </w:r>
    </w:p>
    <w:p>
      <w:pPr>
        <w:spacing w:after="0" w:line="9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Since consummation of the initial public offering, through September 30, 2007, the Company has declared distributions totaling $0.36 per share. Each year a statement on Form 1099-DIV shall be issued identifying the source of the distribution (i.e., paid from ordinary income, paid from net capital gains on the sale of securities, and/or a return of paid-in-capital surplus which is a nontaxable distribution). To the extent the Company’s taxable earnings fall below the total amount of its distributions for that fiscal year, a portion of those distributions may be deemed a tax return of capital to the Company’s stockholders. For the fiscal years ended September 30,</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274" w:right="239" w:bottom="1440" w:gutter="0" w:footer="0" w:header="0"/>
        </w:sectPr>
      </w:pPr>
    </w:p>
    <w:bookmarkStart w:id="132" w:name="page133"/>
    <w:bookmarkEnd w:id="132"/>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2007 a portion of the distributions to the Company’s stockholders was deemed a return of capital. The determination of the tax attributes of the Company’s distributions is made annually as of the end of the Company’s fiscal year based upon its taxable income for the full year and distributions paid for the full year, therefore a determination made on a quarterly basis may not be representative of the actual tax attributes of its distributions for a full year. If the Company determined the tax attributes of its distributions for the fiscal year ended September 30, 2007, 99.6% would be from taxable net investment income and 0.4% would be a return of capital for stockholders, however there can be no certainty to stockholders that this determination is representative of what the tax attributes of its 2007 distributions to stockholders will actually be.</w:t>
      </w:r>
    </w:p>
    <w:p>
      <w:pPr>
        <w:spacing w:after="0" w:line="3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fiscal year ended September 30, 2007, as a result of permanent book-to-tax differences primarily due to adjustments relating to: federal and state tax expenses, and net earnings derived during the period prior to qualification as a RIC, the Company decreased distributions in excess of net investment income by $72,549, increased accumulated net realized loss by $14,063 and decreased paid-in capital in excess of par value by $58,486. Aggregate stockholders’ equity was not affected by this reclassification. As of September 30, 2007, the cost of investments for federal income tax purposes was $572,898,221 resulting in a gross unrealized appreciation and depreciation of $514,690 and $24,436,668, respectively. The following reconciles net increase in stockholders’ equity resulting from operations to taxable income for the year ended September 30, 2007:</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680" w:type="dxa"/>
            <w:vAlign w:val="bottom"/>
          </w:tcPr>
          <w:p>
            <w:pPr>
              <w:ind w:left="2640"/>
              <w:spacing w:after="0"/>
              <w:rPr>
                <w:sz w:val="20"/>
                <w:szCs w:val="20"/>
                <w:color w:val="auto"/>
              </w:rPr>
            </w:pPr>
            <w:r>
              <w:rPr>
                <w:rFonts w:ascii="Arial" w:cs="Arial" w:eastAsia="Arial" w:hAnsi="Arial"/>
                <w:sz w:val="18"/>
                <w:szCs w:val="18"/>
                <w:color w:val="auto"/>
              </w:rPr>
              <w:t>Net decrease in stockholders’ equity resulting from operations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8"/>
              </w:rPr>
              <w:t>(16,699,251)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 transactions not taxable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23,921,978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income derived during the period prior to qualification as a RIC</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Expenses not currently deductible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deductible expenses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Taxable income before deductions for distributions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7,430,956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Pending investment in longer-term portfolio holdings, PennantPark Investment may invest temporarily in U.S. Treasury Bills (of varying maturities), repurchase agreements, money markets or repo-like treasury securities. These temporary investments with maturities of 90 days or less will be deemed cash equivalents and are included in the Schedule of Investments. At the end of each fiscal quarter, PennantPark Investment typically takes proactive steps to preserve investment flexibility in the next quarter, which is dependent upon the composition of its total assets at quarter end. PennantPark Investment may accomplish this in several ways, including purchasing U.S. Treasury Bills and closing out its positions on a net cash basis after quarter-end or by utilizing repurchase agreements or other balance sheet transactions as it deems appropriate for this purpose. These amounts are excluded from adjusted gross assets for purposes of computing the asset base upon which the management fee is determined. U.S. Treasury Bills with maturities greater than 60 days from the time of purchase are marked-to-market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REPURCHASE AGREEMENTS</w:t>
      </w:r>
    </w:p>
    <w:p>
      <w:pPr>
        <w:spacing w:after="0" w:line="9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at September 30, 2007.</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280"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 FINANCIAL HIGHLIGHTS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860" w:type="dxa"/>
            <w:vAlign w:val="bottom"/>
          </w:tcPr>
          <w:p>
            <w:pPr>
              <w:ind w:left="440"/>
              <w:spacing w:after="0"/>
              <w:rPr>
                <w:sz w:val="20"/>
                <w:szCs w:val="20"/>
                <w:color w:val="auto"/>
              </w:rPr>
            </w:pPr>
            <w:r>
              <w:rPr>
                <w:rFonts w:ascii="Arial" w:cs="Arial" w:eastAsia="Arial" w:hAnsi="Arial"/>
                <w:sz w:val="18"/>
                <w:szCs w:val="18"/>
                <w:color w:val="auto"/>
                <w:w w:val="92"/>
              </w:rPr>
              <w:t>The following is a schedule of financial highlights for the period from January 11, 2007 (inception) through September 30, 2007:</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investment income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Net realized and unrealized loss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line="217" w:lineRule="exact"/>
              <w:rPr>
                <w:sz w:val="20"/>
                <w:szCs w:val="20"/>
                <w:color w:val="auto"/>
              </w:rPr>
            </w:pPr>
            <w:r>
              <w:rPr>
                <w:rFonts w:ascii="Arial" w:cs="Arial" w:eastAsia="Arial" w:hAnsi="Arial"/>
                <w:sz w:val="18"/>
                <w:szCs w:val="18"/>
                <w:color w:val="auto"/>
              </w:rPr>
              <w:t>Distributions to stockholders</w:t>
            </w:r>
            <w:r>
              <w:rPr>
                <w:rFonts w:ascii="Arial" w:cs="Arial" w:eastAsia="Arial" w:hAnsi="Arial"/>
                <w:sz w:val="22"/>
                <w:szCs w:val="22"/>
                <w:color w:val="auto"/>
                <w:vertAlign w:val="superscript"/>
              </w:rPr>
              <w:t>(1)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related to public offerings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80" w:type="dxa"/>
            <w:vAlign w:val="bottom"/>
            <w:gridSpan w:val="2"/>
            <w:vMerge w:val="restart"/>
          </w:tcPr>
          <w:p>
            <w:pPr>
              <w:spacing w:after="0"/>
              <w:rPr>
                <w:sz w:val="20"/>
                <w:szCs w:val="20"/>
                <w:color w:val="auto"/>
              </w:rPr>
            </w:pPr>
            <w:r>
              <w:rPr>
                <w:rFonts w:ascii="Arial" w:cs="Arial" w:eastAsia="Arial" w:hAnsi="Arial"/>
                <w:sz w:val="18"/>
                <w:szCs w:val="18"/>
                <w:color w:val="auto"/>
              </w:rPr>
              <w:t>Per share market value at end of period</w:t>
            </w: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880" w:type="dxa"/>
            <w:vAlign w:val="bottom"/>
            <w:gridSpan w:val="2"/>
            <w:vMerge w:val="continue"/>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13.40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6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Total return</w:t>
            </w:r>
            <w:r>
              <w:rPr>
                <w:rFonts w:ascii="Arial" w:cs="Arial" w:eastAsia="Arial" w:hAnsi="Arial"/>
                <w:sz w:val="22"/>
                <w:szCs w:val="22"/>
                <w:color w:val="auto"/>
                <w:vertAlign w:val="superscript"/>
              </w:rPr>
              <w:t>(2)*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21,068,772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270,393,094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line="217" w:lineRule="exact"/>
              <w:rPr>
                <w:sz w:val="20"/>
                <w:szCs w:val="20"/>
                <w:color w:val="auto"/>
              </w:rPr>
            </w:pPr>
            <w:r>
              <w:rPr>
                <w:rFonts w:ascii="Arial" w:cs="Arial" w:eastAsia="Arial" w:hAnsi="Arial"/>
                <w:sz w:val="18"/>
                <w:szCs w:val="18"/>
                <w:color w:val="auto"/>
              </w:rPr>
              <w:t>Ratio of operating expenses before management fee waiver to average net assets</w:t>
            </w:r>
            <w:r>
              <w:rPr>
                <w:rFonts w:ascii="Arial" w:cs="Arial" w:eastAsia="Arial" w:hAnsi="Arial"/>
                <w:sz w:val="22"/>
                <w:szCs w:val="22"/>
                <w:color w:val="auto"/>
                <w:vertAlign w:val="superscript"/>
              </w:rPr>
              <w:t>(3)*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Ratio of operating expenses after management fee waiver to average net assets</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line="217" w:lineRule="exact"/>
              <w:rPr>
                <w:sz w:val="20"/>
                <w:szCs w:val="20"/>
                <w:color w:val="auto"/>
              </w:rPr>
            </w:pPr>
            <w:r>
              <w:rPr>
                <w:rFonts w:ascii="Arial" w:cs="Arial" w:eastAsia="Arial" w:hAnsi="Arial"/>
                <w:sz w:val="18"/>
                <w:szCs w:val="18"/>
                <w:color w:val="auto"/>
              </w:rPr>
              <w:t>Ratio of credit facility related expenses to average net assets</w:t>
            </w:r>
            <w:r>
              <w:rPr>
                <w:rFonts w:ascii="Arial" w:cs="Arial" w:eastAsia="Arial" w:hAnsi="Arial"/>
                <w:sz w:val="22"/>
                <w:szCs w:val="22"/>
                <w:color w:val="auto"/>
                <w:vertAlign w:val="superscript"/>
              </w:rPr>
              <w:t>(3)*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line="217" w:lineRule="exact"/>
              <w:rPr>
                <w:sz w:val="20"/>
                <w:szCs w:val="20"/>
                <w:color w:val="auto"/>
              </w:rPr>
            </w:pPr>
            <w:r>
              <w:rPr>
                <w:rFonts w:ascii="Arial" w:cs="Arial" w:eastAsia="Arial" w:hAnsi="Arial"/>
                <w:sz w:val="18"/>
                <w:szCs w:val="18"/>
                <w:color w:val="auto"/>
              </w:rPr>
              <w:t>Average debt outstanding</w:t>
            </w:r>
            <w:r>
              <w:rPr>
                <w:rFonts w:ascii="Arial" w:cs="Arial" w:eastAsia="Arial" w:hAnsi="Arial"/>
                <w:sz w:val="22"/>
                <w:szCs w:val="22"/>
                <w:color w:val="auto"/>
                <w:vertAlign w:val="superscript"/>
              </w:rPr>
              <w:t>(3)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817,610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Average debt per share</w:t>
            </w:r>
            <w:r>
              <w:rPr>
                <w:rFonts w:ascii="Arial" w:cs="Arial" w:eastAsia="Arial" w:hAnsi="Arial"/>
                <w:sz w:val="22"/>
                <w:szCs w:val="22"/>
                <w:color w:val="auto"/>
                <w:vertAlign w:val="superscript"/>
              </w:rPr>
              <w:t>(3)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Portfolio turnover ratio</w:t>
            </w:r>
            <w:r>
              <w:rPr>
                <w:rFonts w:ascii="Arial" w:cs="Arial" w:eastAsia="Arial" w:hAnsi="Arial"/>
                <w:sz w:val="22"/>
                <w:szCs w:val="22"/>
                <w:color w:val="auto"/>
                <w:vertAlign w:val="superscript"/>
              </w:rPr>
              <w:t>*</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4" w:lineRule="exact"/>
        <w:rPr>
          <w:sz w:val="20"/>
          <w:szCs w:val="20"/>
          <w:color w:val="auto"/>
        </w:rPr>
      </w:pPr>
    </w:p>
    <w:p>
      <w:pPr>
        <w:ind w:left="460" w:hanging="408"/>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Percentage has not been annualized.</w:t>
      </w:r>
    </w:p>
    <w:p>
      <w:pPr>
        <w:spacing w:after="0" w:line="90" w:lineRule="exact"/>
        <w:rPr>
          <w:sz w:val="20"/>
          <w:szCs w:val="20"/>
          <w:color w:val="auto"/>
        </w:rPr>
      </w:pPr>
    </w:p>
    <w:p>
      <w:pPr>
        <w:ind w:left="460" w:right="120" w:hanging="452"/>
        <w:spacing w:after="0" w:line="268"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spacing w:after="0" w:line="5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reporting period based on stock issuance price of $15.00. It also takes into account distributions, if any, reinvested in accordance with the Company’s dividend reinvestment plan.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Since completion of initial public offering on April 24,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CREDIT FACILITY</w:t>
      </w:r>
    </w:p>
    <w:p>
      <w:pPr>
        <w:spacing w:after="0" w:line="9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On June 25, 2007, PennantPark Investment entered into a Senior Secured Revolving Credit Agreement (the “Credit Agreement”) among PennantPark Investment, various lenders and SunTrust Bank, as administrative agent for the lenders. SunTrust Robinson Humphrey Capital Markets acted as the joint lead arranger and book-runner, and Bear Stearns Corporate Lending Inc. acted as joint lead arranger and syndication agent. As of September 30, there was $10.0 million in outstanding borrowings under the Credit Agreement, with an average interest rate of 6.15%.</w:t>
      </w:r>
    </w:p>
    <w:p>
      <w:pPr>
        <w:spacing w:after="0" w:line="11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Under the Credit Agreement, the lenders agreed to extend credit to PennantPark Investment in an initial aggregate principal or face amount not exceeding $300,000,000 at any one time outstanding. The Credit Agreement is a five-year revolving facility (with a stated maturity date of June 25, 2012) and is secured by substantially all of the assets in PennantPark Investment’s portfolio. Pricing is set at 100 basis points over LIBOR.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274" w:right="239" w:bottom="1440" w:gutter="0" w:footer="0" w:header="0"/>
        </w:sectPr>
      </w:pPr>
    </w:p>
    <w:bookmarkStart w:id="134" w:name="page135"/>
    <w:bookmarkEnd w:id="134"/>
    <w:p>
      <w:pPr>
        <w:ind w:right="80" w:firstLine="456"/>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Credit Agreement contains affirmative and restrictive covenants, including: (a) periodic financial reporting requirements, (b) maintenance of a minimum stockholders’ equity of the greater of (i) 40% of the total assets of PennantPark Investment and its subsidiaries as at the last day of any fiscal quarter and (ii) the sum of (A) $120,000,000 plus (B) 25% of the net proceeds from the sale of equity interests in PennantPark Investment and its subsidiaries after the closing date of the Credit Agreement, (c) maintenance of a ratio of total assets (less total liabilities other than indebtedness) to total indebtedness, in each case of PennantPark Investment, of not less than 2.0:1.0, (d) maintenance of minimum liquidity standards, (e) limitations on the incurrence of additional indebtedness,</w:t>
      </w:r>
    </w:p>
    <w:p>
      <w:pPr>
        <w:spacing w:after="0" w:line="2" w:lineRule="exact"/>
        <w:rPr>
          <w:sz w:val="20"/>
          <w:szCs w:val="20"/>
          <w:color w:val="auto"/>
        </w:rPr>
      </w:pPr>
    </w:p>
    <w:p>
      <w:pPr>
        <w:ind w:firstLine="8"/>
        <w:spacing w:after="0" w:line="287" w:lineRule="auto"/>
        <w:tabs>
          <w:tab w:leader="none" w:pos="219" w:val="left"/>
        </w:tabs>
        <w:numPr>
          <w:ilvl w:val="0"/>
          <w:numId w:val="86"/>
        </w:numPr>
        <w:rPr>
          <w:rFonts w:ascii="Arial" w:cs="Arial" w:eastAsia="Arial" w:hAnsi="Arial"/>
          <w:sz w:val="16"/>
          <w:szCs w:val="16"/>
          <w:color w:val="auto"/>
        </w:rPr>
      </w:pPr>
      <w:r>
        <w:rPr>
          <w:rFonts w:ascii="Arial" w:cs="Arial" w:eastAsia="Arial" w:hAnsi="Arial"/>
          <w:sz w:val="16"/>
          <w:szCs w:val="16"/>
          <w:color w:val="auto"/>
        </w:rPr>
        <w:t>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 stockholders as contemplated to maintain Regulated Investment Company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the Credit Agreement (and the incurrence of certain other permitted debt) will be subject to compliance with a borrowing base that will apply different advance rates to different types of assets in PennantPark Investment’s portfolio. See our Credit Agreement, Exhibit 10.5, to this Report (incorporated by reference), for the definitions of capitalized terms used by us relating to the Credit Agreement but not defined in this note. The Credit Agreement will be used to supplement our equity capital to make additional portfolio investments and for other general corporate purposes.</w:t>
      </w:r>
    </w:p>
    <w:p>
      <w:pPr>
        <w:spacing w:after="0" w:line="12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Separately, Pennant SPV entered into a senior secured credit facility on February 6, 2007 with Bear Stearns Investment Products Inc., as lender. Under the terms of this credit agreement, as amended on March 26, 2007, Bear Stearns Investment Products Inc. agreed to extend credit to Pennant SPV in an aggregate principal of up to $250 million at any one time outstanding. Borrowings under this credit agreement were used to finance investments made by PennantPark Investment prior to the closing of the initial public offering. By its terms this credit agreement matured on the closing date of the initial public offering on April 24, 2007, and accordingly PennantPark Investment caused Pennant SPV to repay the credit facility with Bear Stearns Investment Products Inc. in full.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From time to time, we, the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of results of operations.</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Unfunded debt investments described in the consolidated statement of assets and liabilities represent unfunded delayed draws on investments in first lien secured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280" w:right="27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reviewed the accompanying statement of assets and liabilities of PennantPark Investment Corporation (the “Company”), including the schedule of investments, as of December 31, 2007, and the related statements of operations, changes in net assets and cash flows for the three month period then ended. These financial statements are the responsibility of the Company’s management.</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conducted our review in accordance with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financial statements referred to above for them to be in conformity with U.S. generally accepted accounting principles.</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statement of assets and liabilities of PennantPark Investment Corporation, including the schedule of investments, as of September 30, 2007, and the related consolidated statements of operations, changes in net assets and cash flows for the period from January 11, 2007 (inception) through September 30, 2007; and in our report dated December 12, 2007, we expressed an unqualified opinion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603375" cy="3600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8,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274" w:right="25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7"/>
              </w:rPr>
              <w:t>December 31, 2007</w:t>
            </w: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4"/>
                <w:szCs w:val="14"/>
                <w:color w:val="auto"/>
              </w:rPr>
            </w:pPr>
          </w:p>
        </w:tc>
        <w:tc>
          <w:tcPr>
            <w:tcW w:w="940" w:type="dxa"/>
            <w:vAlign w:val="bottom"/>
          </w:tcPr>
          <w:p>
            <w:pPr>
              <w:jc w:val="right"/>
              <w:ind w:right="294"/>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line="217" w:lineRule="exact"/>
              <w:rPr>
                <w:sz w:val="20"/>
                <w:szCs w:val="20"/>
                <w:color w:val="auto"/>
              </w:rPr>
            </w:pPr>
            <w:r>
              <w:rPr>
                <w:rFonts w:ascii="Arial" w:cs="Arial" w:eastAsia="Arial" w:hAnsi="Arial"/>
                <w:sz w:val="18"/>
                <w:szCs w:val="18"/>
                <w:color w:val="auto"/>
              </w:rPr>
              <w:t>Investments, at fair value (cost—$382,162,705 and $314,881,870 respectively)</w:t>
            </w:r>
            <w:r>
              <w:rPr>
                <w:rFonts w:ascii="Arial" w:cs="Arial" w:eastAsia="Arial" w:hAnsi="Arial"/>
                <w:sz w:val="22"/>
                <w:szCs w:val="22"/>
                <w:color w:val="auto"/>
                <w:vertAlign w:val="superscript"/>
              </w:rPr>
              <w:t>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342,190,612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291,016,608</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 (cost—$81,788,219 and $258,016,351 respectively)</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81,780,690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257,959,635</w:t>
            </w: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Interest receivable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4,263,953</w:t>
            </w: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4,517,850</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1,443,726</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1,513,583</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assets</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429,678,981</w:t>
            </w:r>
          </w:p>
        </w:tc>
        <w:tc>
          <w:tcPr>
            <w:tcW w:w="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555,007,676</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Payable for cash equivalents purchased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79,406,889</w:t>
            </w: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252,759,931</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16,583,921</w:t>
            </w: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Unfunded investments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3,091,264</w:t>
            </w: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3,989,948</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payable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91,500,000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10,000,000</w:t>
            </w: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769,889</w:t>
            </w: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170,989</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689,631</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1,109,793</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liabilities</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175,457,673</w:t>
            </w:r>
          </w:p>
        </w:tc>
        <w:tc>
          <w:tcPr>
            <w:tcW w:w="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284,614,582</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w w:val="92"/>
              </w:rPr>
              <w:t>Common stock, par value $.001 per share, 100,000,000 shares authorized and 21,068,772 shares issued and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100" w:type="dxa"/>
            <w:vAlign w:val="bottom"/>
            <w:gridSpan w:val="2"/>
          </w:tcPr>
          <w:p>
            <w:pPr>
              <w:ind w:left="200"/>
              <w:spacing w:after="0"/>
              <w:rPr>
                <w:sz w:val="20"/>
                <w:szCs w:val="20"/>
                <w:color w:val="auto"/>
              </w:rPr>
            </w:pPr>
            <w:r>
              <w:rPr>
                <w:rFonts w:ascii="Arial" w:cs="Arial" w:eastAsia="Arial" w:hAnsi="Arial"/>
                <w:sz w:val="18"/>
                <w:szCs w:val="18"/>
                <w:color w:val="auto"/>
              </w:rPr>
              <w:t>outstanding</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21,069</w:t>
            </w:r>
          </w:p>
        </w:tc>
        <w:tc>
          <w:tcPr>
            <w:tcW w:w="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21,069</w:t>
            </w:r>
          </w:p>
        </w:tc>
      </w:tr>
      <w:tr>
        <w:trPr>
          <w:trHeight w:val="218"/>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294,586,604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294,586,604</w:t>
            </w: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Distributions in excess of net investment income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(100,020)</w:t>
            </w:r>
          </w:p>
        </w:tc>
        <w:tc>
          <w:tcPr>
            <w:tcW w:w="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(196,769)</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net realized loss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(306,723)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(95,832)</w:t>
            </w:r>
          </w:p>
        </w:tc>
      </w:tr>
      <w:tr>
        <w:trPr>
          <w:trHeight w:val="223"/>
        </w:trPr>
        <w:tc>
          <w:tcPr>
            <w:tcW w:w="20" w:type="dxa"/>
            <w:vAlign w:val="bottom"/>
          </w:tcPr>
          <w:p>
            <w:pPr>
              <w:spacing w:after="0"/>
              <w:rPr>
                <w:sz w:val="19"/>
                <w:szCs w:val="19"/>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Net unrealized depreciation on investments and cash equivalents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(39,979,622)</w:t>
            </w:r>
          </w:p>
        </w:tc>
        <w:tc>
          <w:tcPr>
            <w:tcW w:w="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(23,921,978)</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net assets</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254,221,308</w:t>
            </w: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270,393,094</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10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liabilities and net assets</w:t>
            </w:r>
          </w:p>
        </w:tc>
        <w:tc>
          <w:tcPr>
            <w:tcW w:w="5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429,678,981</w:t>
            </w:r>
          </w:p>
        </w:tc>
        <w:tc>
          <w:tcPr>
            <w:tcW w:w="5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555,007,676</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12.83</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right="300" w:hanging="452"/>
        <w:spacing w:after="0" w:line="268"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None of our portfolio companies is controlled by, or affiliated with, PennantPark Investment Corporation as defined by the Investment Company Act of 1940, as amended (the “1940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274"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Interest</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8,983,636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9,003,608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Base management fee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1,640,365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1,097,107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services expenses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663,690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Professional fees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294,840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Directors’ fees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Insurance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90,790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2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tcPr>
          <w:p>
            <w:pPr>
              <w:ind w:left="860"/>
              <w:spacing w:after="0"/>
              <w:rPr>
                <w:sz w:val="20"/>
                <w:szCs w:val="20"/>
                <w:color w:val="auto"/>
              </w:rPr>
            </w:pPr>
            <w:r>
              <w:rPr>
                <w:rFonts w:ascii="Arial" w:cs="Arial" w:eastAsia="Arial" w:hAnsi="Arial"/>
                <w:sz w:val="18"/>
                <w:szCs w:val="18"/>
                <w:b w:val="1"/>
                <w:bCs w:val="1"/>
                <w:color w:val="auto"/>
              </w:rPr>
              <w:t>Expenses before base management fee waiver</w:t>
            </w:r>
          </w:p>
        </w:tc>
        <w:tc>
          <w:tcPr>
            <w:tcW w:w="2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4,476,776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waiver</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(205,047)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tcPr>
          <w:p>
            <w:pPr>
              <w:ind w:left="860"/>
              <w:spacing w:after="0"/>
              <w:rPr>
                <w:sz w:val="20"/>
                <w:szCs w:val="20"/>
                <w:color w:val="auto"/>
              </w:rPr>
            </w:pPr>
            <w:r>
              <w:rPr>
                <w:rFonts w:ascii="Arial" w:cs="Arial" w:eastAsia="Arial" w:hAnsi="Arial"/>
                <w:sz w:val="18"/>
                <w:szCs w:val="18"/>
                <w:b w:val="1"/>
                <w:bCs w:val="1"/>
                <w:color w:val="auto"/>
              </w:rPr>
              <w:t>Net expenses</w:t>
            </w:r>
          </w:p>
        </w:tc>
        <w:tc>
          <w:tcPr>
            <w:tcW w:w="20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4,271,729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investment income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4,731,879</w:t>
            </w:r>
          </w:p>
        </w:tc>
        <w:tc>
          <w:tcPr>
            <w:tcW w:w="0" w:type="dxa"/>
            <w:vAlign w:val="bottom"/>
          </w:tcPr>
          <w:p>
            <w:pPr>
              <w:spacing w:after="0"/>
              <w:rPr>
                <w:sz w:val="1"/>
                <w:szCs w:val="1"/>
                <w:color w:val="auto"/>
              </w:rPr>
            </w:pPr>
          </w:p>
        </w:tc>
      </w:tr>
      <w:tr>
        <w:trPr>
          <w:trHeight w:val="222"/>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loss on investments and cash equivalents:</w:t>
            </w: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 and cash equivalents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Change in net unrealized depreciation on investments and cash equivalents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(16,057,644)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realized and unrealized loss from investments and cash equivalents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(16,268,535)</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2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20" w:type="dxa"/>
            <w:vAlign w:val="bottom"/>
            <w:gridSpan w:val="2"/>
            <w:vMerge w:val="continue"/>
          </w:tcPr>
          <w:p>
            <w:pPr>
              <w:spacing w:after="0"/>
              <w:rPr>
                <w:sz w:val="19"/>
                <w:szCs w:val="19"/>
                <w:color w:val="auto"/>
              </w:rPr>
            </w:pP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(11,536,656)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 (see note 6)</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274"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NET ASSETS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Three months</w:t>
            </w: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2007 (inception)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net assets from operations: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4,731,879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7,304,496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 and cash equivalents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(210,891)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Net change in unrealized depreciation on investments and cash equivalents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(16,057,644)</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(23,921,978)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(11,536,656)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(16,699,251)</w:t>
            </w:r>
          </w:p>
        </w:tc>
        <w:tc>
          <w:tcPr>
            <w:tcW w:w="0" w:type="dxa"/>
            <w:vAlign w:val="bottom"/>
          </w:tcPr>
          <w:p>
            <w:pPr>
              <w:spacing w:after="0"/>
              <w:rPr>
                <w:sz w:val="1"/>
                <w:szCs w:val="1"/>
                <w:color w:val="auto"/>
              </w:rPr>
            </w:pPr>
          </w:p>
        </w:tc>
      </w:tr>
      <w:tr>
        <w:trPr>
          <w:trHeight w:val="222"/>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Dividends and distributions to Stockholders:</w:t>
            </w:r>
          </w:p>
        </w:tc>
        <w:tc>
          <w:tcPr>
            <w:tcW w:w="1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from net investment income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(4,635,130)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Return of capital</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(28,356)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dividends and distributions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(4,635,130)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(7,573,814)</w:t>
            </w:r>
          </w:p>
        </w:tc>
        <w:tc>
          <w:tcPr>
            <w:tcW w:w="0" w:type="dxa"/>
            <w:vAlign w:val="bottom"/>
          </w:tcPr>
          <w:p>
            <w:pPr>
              <w:spacing w:after="0"/>
              <w:rPr>
                <w:sz w:val="1"/>
                <w:szCs w:val="1"/>
                <w:color w:val="auto"/>
              </w:rPr>
            </w:pPr>
          </w:p>
        </w:tc>
      </w:tr>
      <w:tr>
        <w:trPr>
          <w:trHeight w:val="222"/>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Capital share transactions:</w:t>
            </w:r>
          </w:p>
        </w:tc>
        <w:tc>
          <w:tcPr>
            <w:tcW w:w="1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shares of common stock</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315,375,000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Offering costs related to public share offerings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(21,309,375)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Reinvestment of dividends</w:t>
            </w:r>
          </w:p>
        </w:tc>
        <w:tc>
          <w:tcPr>
            <w:tcW w:w="1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294,666,159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(decrease) increase in net assets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(16,171,786)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270,393,094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Period</w:t>
            </w:r>
          </w:p>
        </w:tc>
        <w:tc>
          <w:tcPr>
            <w:tcW w:w="1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270,393,094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End of Period</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254,221,308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270,393,094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Shares issued from subscriptions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21,025,000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from reinvestment of dividend</w:t>
            </w:r>
          </w:p>
        </w:tc>
        <w:tc>
          <w:tcPr>
            <w:tcW w:w="1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Total increase in capital shares</w:t>
            </w:r>
          </w:p>
        </w:tc>
        <w:tc>
          <w:tcPr>
            <w:tcW w:w="1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21,068,772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274" w:right="239" w:bottom="1440" w:gutter="0" w:footer="0" w:header="0"/>
        </w:sectPr>
      </w:pPr>
    </w:p>
    <w:bookmarkStart w:id="139" w:name="page140"/>
    <w:bookmarkEnd w:id="139"/>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STATEMENT OF CASH FLOWS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Net decrease in net assets resulting from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(11,536,656)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decrease in net assets resulting from operations to net cash used by operating activities: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ind w:left="860"/>
              <w:spacing w:after="0"/>
              <w:rPr>
                <w:sz w:val="20"/>
                <w:szCs w:val="20"/>
                <w:color w:val="auto"/>
              </w:rPr>
            </w:pPr>
            <w:r>
              <w:rPr>
                <w:rFonts w:ascii="Arial" w:cs="Arial" w:eastAsia="Arial" w:hAnsi="Arial"/>
                <w:sz w:val="18"/>
                <w:szCs w:val="18"/>
                <w:color w:val="auto"/>
              </w:rPr>
              <w:t>Change in net unrealized depreciation on investments and cash equivalents</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16,057,644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realized loss on investments and cash equivalents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(229,966)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investments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(70,955,314)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ind w:left="860"/>
              <w:spacing w:after="0"/>
              <w:rPr>
                <w:sz w:val="20"/>
                <w:szCs w:val="20"/>
                <w:color w:val="auto"/>
              </w:rPr>
            </w:pPr>
            <w:r>
              <w:rPr>
                <w:rFonts w:ascii="Arial" w:cs="Arial" w:eastAsia="Arial" w:hAnsi="Arial"/>
                <w:sz w:val="18"/>
                <w:szCs w:val="18"/>
                <w:color w:val="auto"/>
              </w:rPr>
              <w:t>Payment-in-kind interest</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(586,297)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disposition of investments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4,329,037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ind w:left="860"/>
              <w:spacing w:after="0"/>
              <w:rPr>
                <w:sz w:val="20"/>
                <w:szCs w:val="20"/>
                <w:color w:val="auto"/>
              </w:rPr>
            </w:pPr>
            <w:r>
              <w:rPr>
                <w:rFonts w:ascii="Arial" w:cs="Arial" w:eastAsia="Arial" w:hAnsi="Arial"/>
                <w:sz w:val="18"/>
                <w:szCs w:val="18"/>
                <w:color w:val="auto"/>
              </w:rPr>
              <w:t>Decrease in interest receivable</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253,897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interest payable on credit facility</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598,901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ind w:left="860"/>
              <w:spacing w:after="0"/>
              <w:rPr>
                <w:sz w:val="20"/>
                <w:szCs w:val="20"/>
                <w:color w:val="auto"/>
              </w:rPr>
            </w:pPr>
            <w:r>
              <w:rPr>
                <w:rFonts w:ascii="Arial" w:cs="Arial" w:eastAsia="Arial" w:hAnsi="Arial"/>
                <w:sz w:val="18"/>
                <w:szCs w:val="18"/>
                <w:color w:val="auto"/>
              </w:rPr>
              <w:t>Decrease in prepaid expenses and other assets</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69,857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payables for cash equivalents purchased</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(173,353,042)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ind w:left="860"/>
              <w:spacing w:after="0"/>
              <w:rPr>
                <w:sz w:val="20"/>
                <w:szCs w:val="20"/>
                <w:color w:val="auto"/>
              </w:rPr>
            </w:pPr>
            <w:r>
              <w:rPr>
                <w:rFonts w:ascii="Arial" w:cs="Arial" w:eastAsia="Arial" w:hAnsi="Arial"/>
                <w:sz w:val="18"/>
                <w:szCs w:val="18"/>
                <w:color w:val="auto"/>
              </w:rPr>
              <w:t>Decrease in payables for investments purchased</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(16,583,921)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unfunded investments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(898,684)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ind w:left="860"/>
              <w:spacing w:after="0"/>
              <w:rPr>
                <w:sz w:val="20"/>
                <w:szCs w:val="20"/>
                <w:color w:val="auto"/>
              </w:rPr>
            </w:pPr>
            <w:r>
              <w:rPr>
                <w:rFonts w:ascii="Arial" w:cs="Arial" w:eastAsia="Arial" w:hAnsi="Arial"/>
                <w:sz w:val="18"/>
                <w:szCs w:val="18"/>
                <w:color w:val="auto"/>
              </w:rPr>
              <w:t>Decrease in accrued expenses</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(420,162)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by operating activities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(253,043,815)</w:t>
            </w:r>
          </w:p>
        </w:tc>
        <w:tc>
          <w:tcPr>
            <w:tcW w:w="0" w:type="dxa"/>
            <w:vAlign w:val="bottom"/>
          </w:tcPr>
          <w:p>
            <w:pPr>
              <w:spacing w:after="0"/>
              <w:rPr>
                <w:sz w:val="1"/>
                <w:szCs w:val="1"/>
                <w:color w:val="auto"/>
              </w:rPr>
            </w:pPr>
          </w:p>
        </w:tc>
      </w:tr>
      <w:tr>
        <w:trPr>
          <w:trHeight w:val="222"/>
        </w:trPr>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and distributions to stockholders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(4,635,130)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12)</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140,500,000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(59,000,000)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4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76,864,870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(176,178,945)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257,959,635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81,780,690</w:t>
            </w:r>
          </w:p>
        </w:tc>
        <w:tc>
          <w:tcPr>
            <w:tcW w:w="0" w:type="dxa"/>
            <w:vAlign w:val="bottom"/>
          </w:tcPr>
          <w:p>
            <w:pPr>
              <w:spacing w:after="0"/>
              <w:rPr>
                <w:sz w:val="1"/>
                <w:szCs w:val="1"/>
                <w:color w:val="auto"/>
              </w:rPr>
            </w:pPr>
          </w:p>
        </w:tc>
      </w:tr>
      <w:tr>
        <w:trPr>
          <w:trHeight w:val="20"/>
        </w:trPr>
        <w:tc>
          <w:tcPr>
            <w:tcW w:w="10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paid during the three months ended December 31, 2007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40" w:type="dxa"/>
            <w:vAlign w:val="bottom"/>
            <w:vMerge w:val="restart"/>
          </w:tcPr>
          <w:p>
            <w:pPr>
              <w:ind w:left="860"/>
              <w:spacing w:after="0"/>
              <w:rPr>
                <w:sz w:val="20"/>
                <w:szCs w:val="20"/>
                <w:color w:val="auto"/>
              </w:rPr>
            </w:pPr>
            <w:r>
              <w:rPr>
                <w:rFonts w:ascii="Arial" w:cs="Arial" w:eastAsia="Arial" w:hAnsi="Arial"/>
                <w:sz w:val="18"/>
                <w:szCs w:val="18"/>
                <w:color w:val="auto"/>
              </w:rPr>
              <w:t>Non-cash financing activities consisting of the reinvestment of dividends</w:t>
            </w: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2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274" w:right="23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SCHEDULE OF INVESTMENTS DECEMBER 31, 2007 (UNAUDITED)</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Issuer name</w:t>
      </w:r>
      <w:r>
        <w:rPr>
          <w:rFonts w:ascii="Arial" w:cs="Arial" w:eastAsia="Arial" w:hAnsi="Arial"/>
          <w:sz w:val="22"/>
          <w:szCs w:val="22"/>
          <w:b w:val="1"/>
          <w:bCs w:val="1"/>
          <w:u w:val="single" w:color="auto"/>
          <w:color w:val="auto"/>
          <w:vertAlign w:val="superscript"/>
        </w:rPr>
        <w:t>(1)</w:t>
      </w:r>
    </w:p>
    <w:p>
      <w:pPr>
        <w:spacing w:after="0"/>
        <w:rPr>
          <w:sz w:val="20"/>
          <w:szCs w:val="20"/>
          <w:color w:val="auto"/>
        </w:rPr>
      </w:pPr>
      <w:r>
        <w:rPr>
          <w:rFonts w:ascii="Arial" w:cs="Arial" w:eastAsia="Arial" w:hAnsi="Arial"/>
          <w:sz w:val="12"/>
          <w:szCs w:val="12"/>
          <w:b w:val="1"/>
          <w:bCs w:val="1"/>
          <w:color w:val="auto"/>
        </w:rPr>
        <w:t>Subordinated Debt / Corporate Notes—28.8%</w:t>
      </w:r>
    </w:p>
    <w:p>
      <w:pPr>
        <w:spacing w:after="0" w:line="237" w:lineRule="auto"/>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DVANSTAR</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p>
      <w:pPr>
        <w:spacing w:after="0" w:line="221" w:lineRule="auto"/>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FFINION</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p>
      <w:pPr>
        <w:spacing w:after="0" w:line="222" w:lineRule="auto"/>
        <w:rPr>
          <w:sz w:val="20"/>
          <w:szCs w:val="20"/>
          <w:color w:val="auto"/>
        </w:rPr>
      </w:pPr>
      <w:r>
        <w:rPr>
          <w:rFonts w:ascii="Arial" w:cs="Arial" w:eastAsia="Arial" w:hAnsi="Arial"/>
          <w:sz w:val="14"/>
          <w:szCs w:val="14"/>
          <w:color w:val="auto"/>
        </w:rPr>
        <w:t>I</w:t>
      </w:r>
      <w:r>
        <w:rPr>
          <w:rFonts w:ascii="Arial" w:cs="Arial" w:eastAsia="Arial" w:hAnsi="Arial"/>
          <w:sz w:val="11"/>
          <w:szCs w:val="11"/>
          <w:color w:val="auto"/>
        </w:rPr>
        <w:t>NTERDYNAMICS</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p>
      <w:pPr>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ERFORMANCE</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EALOGY</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r>
        <w:rPr>
          <w:rFonts w:ascii="Arial" w:cs="Arial" w:eastAsia="Arial" w:hAnsi="Arial"/>
          <w:sz w:val="22"/>
          <w:szCs w:val="22"/>
          <w:color w:val="auto"/>
          <w:vertAlign w:val="superscript"/>
        </w:rPr>
        <w:t>(5)</w:t>
      </w:r>
    </w:p>
    <w:p>
      <w:pPr>
        <w:spacing w:after="0" w:line="74" w:lineRule="exact"/>
        <w:rPr>
          <w:sz w:val="20"/>
          <w:szCs w:val="20"/>
          <w:color w:val="auto"/>
        </w:rPr>
      </w:pPr>
    </w:p>
    <w:p>
      <w:pPr>
        <w:ind w:right="440"/>
        <w:spacing w:after="0" w:line="294" w:lineRule="auto"/>
        <w:rPr>
          <w:sz w:val="20"/>
          <w:szCs w:val="20"/>
          <w:color w:val="auto"/>
        </w:rPr>
      </w:pPr>
      <w:r>
        <w:rPr>
          <w:rFonts w:ascii="Arial" w:cs="Arial" w:eastAsia="Arial" w:hAnsi="Arial"/>
          <w:sz w:val="12"/>
          <w:szCs w:val="12"/>
          <w:b w:val="1"/>
          <w:bCs w:val="1"/>
          <w:color w:val="auto"/>
        </w:rPr>
        <w:t>Total Subordinated Debt / Corporate Notes Second Lien secured Debt—44.7%</w:t>
      </w:r>
    </w:p>
    <w:p>
      <w:pPr>
        <w:spacing w:after="0"/>
        <w:rPr>
          <w:sz w:val="20"/>
          <w:szCs w:val="20"/>
          <w:color w:val="auto"/>
        </w:rPr>
      </w:pPr>
      <w:r>
        <w:rPr>
          <w:rFonts w:ascii="Arial" w:cs="Arial" w:eastAsia="Arial" w:hAnsi="Arial"/>
          <w:sz w:val="12"/>
          <w:szCs w:val="12"/>
          <w:color w:val="auto"/>
        </w:rPr>
        <w:t>B</w:t>
      </w:r>
      <w:r>
        <w:rPr>
          <w:rFonts w:ascii="Arial" w:cs="Arial" w:eastAsia="Arial" w:hAnsi="Arial"/>
          <w:sz w:val="10"/>
          <w:szCs w:val="10"/>
          <w:color w:val="auto"/>
        </w:rPr>
        <w:t>RAND ENERGY</w:t>
      </w:r>
      <w:r>
        <w:rPr>
          <w:rFonts w:ascii="Arial" w:cs="Arial" w:eastAsia="Arial" w:hAnsi="Arial"/>
          <w:sz w:val="12"/>
          <w:szCs w:val="12"/>
          <w:color w:val="auto"/>
        </w:rPr>
        <w:t xml:space="preserve"> &amp; </w:t>
      </w:r>
      <w:r>
        <w:rPr>
          <w:rFonts w:ascii="Arial" w:cs="Arial" w:eastAsia="Arial" w:hAnsi="Arial"/>
          <w:sz w:val="10"/>
          <w:szCs w:val="10"/>
          <w:color w:val="auto"/>
        </w:rPr>
        <w:t>INFRASTRUCTURE</w:t>
      </w:r>
      <w:r>
        <w:rPr>
          <w:rFonts w:ascii="Arial" w:cs="Arial" w:eastAsia="Arial" w:hAnsi="Arial"/>
          <w:sz w:val="12"/>
          <w:szCs w:val="12"/>
          <w:color w:val="auto"/>
        </w:rPr>
        <w:t xml:space="preserve"> S</w:t>
      </w:r>
      <w:r>
        <w:rPr>
          <w:rFonts w:ascii="Arial" w:cs="Arial" w:eastAsia="Arial" w:hAnsi="Arial"/>
          <w:sz w:val="10"/>
          <w:szCs w:val="10"/>
          <w:color w:val="auto"/>
        </w:rPr>
        <w:t>ERVICES</w:t>
      </w:r>
      <w:r>
        <w:rPr>
          <w:rFonts w:ascii="Arial" w:cs="Arial" w:eastAsia="Arial" w:hAnsi="Arial"/>
          <w:sz w:val="12"/>
          <w:szCs w:val="12"/>
          <w:color w:val="auto"/>
        </w:rPr>
        <w:t>, I</w:t>
      </w:r>
      <w:r>
        <w:rPr>
          <w:rFonts w:ascii="Arial" w:cs="Arial" w:eastAsia="Arial" w:hAnsi="Arial"/>
          <w:sz w:val="10"/>
          <w:szCs w:val="10"/>
          <w:color w:val="auto"/>
        </w:rPr>
        <w:t>NC</w:t>
      </w:r>
      <w:r>
        <w:rPr>
          <w:rFonts w:ascii="Arial" w:cs="Arial" w:eastAsia="Arial" w:hAnsi="Arial"/>
          <w:sz w:val="12"/>
          <w:szCs w:val="12"/>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B</w:t>
      </w:r>
      <w:r>
        <w:rPr>
          <w:rFonts w:ascii="Arial" w:cs="Arial" w:eastAsia="Arial" w:hAnsi="Arial"/>
          <w:sz w:val="10"/>
          <w:szCs w:val="10"/>
          <w:color w:val="auto"/>
        </w:rPr>
        <w:t>RAND ENERGY</w:t>
      </w:r>
      <w:r>
        <w:rPr>
          <w:rFonts w:ascii="Arial" w:cs="Arial" w:eastAsia="Arial" w:hAnsi="Arial"/>
          <w:sz w:val="12"/>
          <w:szCs w:val="12"/>
          <w:color w:val="auto"/>
        </w:rPr>
        <w:t xml:space="preserve"> &amp; </w:t>
      </w:r>
      <w:r>
        <w:rPr>
          <w:rFonts w:ascii="Arial" w:cs="Arial" w:eastAsia="Arial" w:hAnsi="Arial"/>
          <w:sz w:val="10"/>
          <w:szCs w:val="10"/>
          <w:color w:val="auto"/>
        </w:rPr>
        <w:t>INFRASTRUCTURE</w:t>
      </w:r>
      <w:r>
        <w:rPr>
          <w:rFonts w:ascii="Arial" w:cs="Arial" w:eastAsia="Arial" w:hAnsi="Arial"/>
          <w:sz w:val="12"/>
          <w:szCs w:val="12"/>
          <w:color w:val="auto"/>
        </w:rPr>
        <w:t xml:space="preserve"> S</w:t>
      </w:r>
      <w:r>
        <w:rPr>
          <w:rFonts w:ascii="Arial" w:cs="Arial" w:eastAsia="Arial" w:hAnsi="Arial"/>
          <w:sz w:val="10"/>
          <w:szCs w:val="10"/>
          <w:color w:val="auto"/>
        </w:rPr>
        <w:t>ERVICES</w:t>
      </w:r>
      <w:r>
        <w:rPr>
          <w:rFonts w:ascii="Arial" w:cs="Arial" w:eastAsia="Arial" w:hAnsi="Arial"/>
          <w:sz w:val="12"/>
          <w:szCs w:val="12"/>
          <w:color w:val="auto"/>
        </w:rPr>
        <w:t>, I</w:t>
      </w:r>
      <w:r>
        <w:rPr>
          <w:rFonts w:ascii="Arial" w:cs="Arial" w:eastAsia="Arial" w:hAnsi="Arial"/>
          <w:sz w:val="10"/>
          <w:szCs w:val="10"/>
          <w:color w:val="auto"/>
        </w:rPr>
        <w:t>NC</w:t>
      </w:r>
      <w:r>
        <w:rPr>
          <w:rFonts w:ascii="Arial" w:cs="Arial" w:eastAsia="Arial" w:hAnsi="Arial"/>
          <w:sz w:val="12"/>
          <w:szCs w:val="12"/>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ENERICS</w:t>
      </w:r>
      <w:r>
        <w:rPr>
          <w:rFonts w:ascii="Arial" w:cs="Arial" w:eastAsia="Arial" w:hAnsi="Arial"/>
          <w:sz w:val="14"/>
          <w:szCs w:val="14"/>
          <w:color w:val="auto"/>
        </w:rPr>
        <w:t xml:space="preserve"> I</w:t>
      </w:r>
      <w:r>
        <w:rPr>
          <w:rFonts w:ascii="Arial" w:cs="Arial" w:eastAsia="Arial" w:hAnsi="Arial"/>
          <w:sz w:val="11"/>
          <w:szCs w:val="11"/>
          <w:color w:val="auto"/>
        </w:rPr>
        <w:t>NTERNATIONAL</w:t>
      </w:r>
      <w:r>
        <w:rPr>
          <w:rFonts w:ascii="Arial" w:cs="Arial" w:eastAsia="Arial" w:hAnsi="Arial"/>
          <w:sz w:val="14"/>
          <w:szCs w:val="14"/>
          <w:color w:val="auto"/>
        </w:rPr>
        <w:t xml:space="preserve"> (</w:t>
      </w:r>
      <w:r>
        <w:rPr>
          <w:rFonts w:ascii="Arial" w:cs="Arial" w:eastAsia="Arial" w:hAnsi="Arial"/>
          <w:sz w:val="11"/>
          <w:szCs w:val="11"/>
          <w:color w:val="auto"/>
        </w:rPr>
        <w:t>U</w:t>
      </w: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ERFORMANCE</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Q</w:t>
      </w:r>
      <w:r>
        <w:rPr>
          <w:rFonts w:ascii="Arial" w:cs="Arial" w:eastAsia="Arial" w:hAnsi="Arial"/>
          <w:sz w:val="11"/>
          <w:szCs w:val="11"/>
          <w:color w:val="auto"/>
        </w:rPr>
        <w:t>UESTEX</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p>
      <w:pPr>
        <w:spacing w:after="0" w:line="183" w:lineRule="auto"/>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AINT</w:t>
      </w:r>
      <w:r>
        <w:rPr>
          <w:rFonts w:ascii="Arial" w:cs="Arial" w:eastAsia="Arial" w:hAnsi="Arial"/>
          <w:sz w:val="13"/>
          <w:szCs w:val="13"/>
          <w:color w:val="auto"/>
        </w:rPr>
        <w:t xml:space="preserve"> A</w:t>
      </w:r>
      <w:r>
        <w:rPr>
          <w:rFonts w:ascii="Arial" w:cs="Arial" w:eastAsia="Arial" w:hAnsi="Arial"/>
          <w:sz w:val="10"/>
          <w:szCs w:val="10"/>
          <w:color w:val="auto"/>
        </w:rPr>
        <w:t>CQUISITION</w:t>
      </w:r>
      <w:r>
        <w:rPr>
          <w:rFonts w:ascii="Arial" w:cs="Arial" w:eastAsia="Arial" w:hAnsi="Arial"/>
          <w:sz w:val="13"/>
          <w:szCs w:val="13"/>
          <w:color w:val="auto"/>
        </w:rPr>
        <w:t xml:space="preserve"> C</w:t>
      </w:r>
      <w:r>
        <w:rPr>
          <w:rFonts w:ascii="Arial" w:cs="Arial" w:eastAsia="Arial" w:hAnsi="Arial"/>
          <w:sz w:val="10"/>
          <w:szCs w:val="10"/>
          <w:color w:val="auto"/>
        </w:rPr>
        <w:t>ORP</w:t>
      </w:r>
      <w:r>
        <w:rPr>
          <w:rFonts w:ascii="Arial" w:cs="Arial" w:eastAsia="Arial" w:hAnsi="Arial"/>
          <w:sz w:val="13"/>
          <w:szCs w:val="13"/>
          <w:color w:val="auto"/>
        </w:rPr>
        <w:t>.</w:t>
      </w:r>
      <w:r>
        <w:rPr>
          <w:rFonts w:ascii="Arial" w:cs="Arial" w:eastAsia="Arial" w:hAnsi="Arial"/>
          <w:sz w:val="20"/>
          <w:szCs w:val="20"/>
          <w:color w:val="auto"/>
          <w:vertAlign w:val="superscript"/>
        </w:rPr>
        <w:t>(5)</w:t>
      </w:r>
    </w:p>
    <w:p>
      <w:pPr>
        <w:spacing w:after="0" w:line="181" w:lineRule="auto"/>
        <w:rPr>
          <w:sz w:val="20"/>
          <w:szCs w:val="20"/>
          <w:color w:val="auto"/>
        </w:rPr>
      </w:pPr>
      <w:r>
        <w:rPr>
          <w:rFonts w:ascii="Arial" w:cs="Arial" w:eastAsia="Arial" w:hAnsi="Arial"/>
          <w:sz w:val="13"/>
          <w:szCs w:val="13"/>
          <w:color w:val="auto"/>
        </w:rPr>
        <w:t>S</w:t>
      </w:r>
      <w:r>
        <w:rPr>
          <w:rFonts w:ascii="Arial" w:cs="Arial" w:eastAsia="Arial" w:hAnsi="Arial"/>
          <w:sz w:val="11"/>
          <w:szCs w:val="11"/>
          <w:color w:val="auto"/>
        </w:rPr>
        <w:t>AINT</w:t>
      </w:r>
      <w:r>
        <w:rPr>
          <w:rFonts w:ascii="Arial" w:cs="Arial" w:eastAsia="Arial" w:hAnsi="Arial"/>
          <w:sz w:val="13"/>
          <w:szCs w:val="13"/>
          <w:color w:val="auto"/>
        </w:rPr>
        <w:t xml:space="preserve"> A</w:t>
      </w:r>
      <w:r>
        <w:rPr>
          <w:rFonts w:ascii="Arial" w:cs="Arial" w:eastAsia="Arial" w:hAnsi="Arial"/>
          <w:sz w:val="11"/>
          <w:szCs w:val="11"/>
          <w:color w:val="auto"/>
        </w:rPr>
        <w:t>CQUISITION</w:t>
      </w:r>
      <w:r>
        <w:rPr>
          <w:rFonts w:ascii="Arial" w:cs="Arial" w:eastAsia="Arial" w:hAnsi="Arial"/>
          <w:sz w:val="13"/>
          <w:szCs w:val="13"/>
          <w:color w:val="auto"/>
        </w:rPr>
        <w:t xml:space="preserve"> C</w:t>
      </w:r>
      <w:r>
        <w:rPr>
          <w:rFonts w:ascii="Arial" w:cs="Arial" w:eastAsia="Arial" w:hAnsi="Arial"/>
          <w:sz w:val="11"/>
          <w:szCs w:val="11"/>
          <w:color w:val="auto"/>
        </w:rPr>
        <w:t>ORP</w:t>
      </w:r>
      <w:r>
        <w:rPr>
          <w:rFonts w:ascii="Arial" w:cs="Arial" w:eastAsia="Arial" w:hAnsi="Arial"/>
          <w:sz w:val="13"/>
          <w:szCs w:val="13"/>
          <w:color w:val="auto"/>
        </w:rPr>
        <w:t>.</w:t>
      </w:r>
      <w:r>
        <w:rPr>
          <w:rFonts w:ascii="Arial" w:cs="Arial" w:eastAsia="Arial" w:hAnsi="Arial"/>
          <w:sz w:val="21"/>
          <w:szCs w:val="21"/>
          <w:color w:val="auto"/>
          <w:vertAlign w:val="superscript"/>
        </w:rPr>
        <w:t>(5)</w:t>
      </w:r>
    </w:p>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HERIDAN</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PECIALIZED</w:t>
      </w:r>
      <w:r>
        <w:rPr>
          <w:rFonts w:ascii="Arial" w:cs="Arial" w:eastAsia="Arial" w:hAnsi="Arial"/>
          <w:sz w:val="14"/>
          <w:szCs w:val="14"/>
          <w:color w:val="auto"/>
        </w:rPr>
        <w:t xml:space="preserve"> T</w:t>
      </w:r>
      <w:r>
        <w:rPr>
          <w:rFonts w:ascii="Arial" w:cs="Arial" w:eastAsia="Arial" w:hAnsi="Arial"/>
          <w:sz w:val="11"/>
          <w:szCs w:val="11"/>
          <w:color w:val="auto"/>
        </w:rPr>
        <w:t>ECHNOLOGY</w:t>
      </w:r>
      <w:r>
        <w:rPr>
          <w:rFonts w:ascii="Arial" w:cs="Arial" w:eastAsia="Arial" w:hAnsi="Arial"/>
          <w:sz w:val="14"/>
          <w:szCs w:val="14"/>
          <w:color w:val="auto"/>
        </w:rPr>
        <w:t xml:space="preserve"> R</w:t>
      </w:r>
      <w:r>
        <w:rPr>
          <w:rFonts w:ascii="Arial" w:cs="Arial" w:eastAsia="Arial" w:hAnsi="Arial"/>
          <w:sz w:val="11"/>
          <w:szCs w:val="11"/>
          <w:color w:val="auto"/>
        </w:rPr>
        <w:t>ESOURCES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second Lien secured Debt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Basis Point</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Spread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Current</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Above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20" w:type="dxa"/>
            <w:vAlign w:val="bottom"/>
          </w:tcPr>
          <w:p>
            <w:pPr>
              <w:spacing w:after="0"/>
              <w:rPr>
                <w:sz w:val="15"/>
                <w:szCs w:val="15"/>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Coupon</w:t>
            </w:r>
          </w:p>
        </w:tc>
        <w:tc>
          <w:tcPr>
            <w:tcW w:w="440" w:type="dxa"/>
            <w:vAlign w:val="bottom"/>
          </w:tcPr>
          <w:p>
            <w:pPr>
              <w:spacing w:after="0"/>
              <w:rPr>
                <w:sz w:val="15"/>
                <w:szCs w:val="15"/>
                <w:color w:val="auto"/>
              </w:rPr>
            </w:pPr>
          </w:p>
        </w:tc>
        <w:tc>
          <w:tcPr>
            <w:tcW w:w="7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940" w:type="dxa"/>
            <w:vAlign w:val="bottom"/>
            <w:gridSpan w:val="2"/>
          </w:tcPr>
          <w:p>
            <w:pPr>
              <w:ind w:left="120"/>
              <w:spacing w:after="0"/>
              <w:rPr>
                <w:sz w:val="20"/>
                <w:szCs w:val="20"/>
                <w:color w:val="auto"/>
              </w:rPr>
            </w:pPr>
            <w:r>
              <w:rPr>
                <w:rFonts w:ascii="Arial" w:cs="Arial" w:eastAsia="Arial" w:hAnsi="Arial"/>
                <w:sz w:val="14"/>
                <w:szCs w:val="14"/>
                <w:color w:val="auto"/>
              </w:rPr>
              <w:t>11/30/2015</w:t>
            </w:r>
          </w:p>
        </w:tc>
        <w:tc>
          <w:tcPr>
            <w:tcW w:w="1780" w:type="dxa"/>
            <w:vAlign w:val="bottom"/>
          </w:tcPr>
          <w:p>
            <w:pPr>
              <w:jc w:val="center"/>
              <w:spacing w:after="0"/>
              <w:rPr>
                <w:sz w:val="20"/>
                <w:szCs w:val="20"/>
                <w:color w:val="auto"/>
              </w:rPr>
            </w:pPr>
            <w:r>
              <w:rPr>
                <w:rFonts w:ascii="Arial" w:cs="Arial" w:eastAsia="Arial" w:hAnsi="Arial"/>
                <w:sz w:val="14"/>
                <w:szCs w:val="14"/>
                <w:color w:val="auto"/>
                <w:w w:val="96"/>
              </w:rPr>
              <w:t>OTHER MEDIA</w:t>
            </w:r>
          </w:p>
        </w:tc>
        <w:tc>
          <w:tcPr>
            <w:tcW w:w="1200" w:type="dxa"/>
            <w:vAlign w:val="bottom"/>
            <w:gridSpan w:val="3"/>
          </w:tcPr>
          <w:p>
            <w:pPr>
              <w:ind w:left="480"/>
              <w:spacing w:after="0"/>
              <w:rPr>
                <w:sz w:val="20"/>
                <w:szCs w:val="20"/>
                <w:color w:val="auto"/>
              </w:rPr>
            </w:pPr>
            <w:r>
              <w:rPr>
                <w:rFonts w:ascii="Arial" w:cs="Arial" w:eastAsia="Arial" w:hAnsi="Arial"/>
                <w:sz w:val="14"/>
                <w:szCs w:val="14"/>
                <w:color w:val="auto"/>
              </w:rPr>
              <w:t>11.84%*</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L+700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15,030,273</w:t>
            </w:r>
          </w:p>
        </w:tc>
        <w:tc>
          <w:tcPr>
            <w:tcW w:w="2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   15,030,273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   14,654,516</w:t>
            </w:r>
          </w:p>
        </w:tc>
        <w:tc>
          <w:tcPr>
            <w:tcW w:w="0" w:type="dxa"/>
            <w:vAlign w:val="bottom"/>
          </w:tcPr>
          <w:p>
            <w:pPr>
              <w:spacing w:after="0"/>
              <w:rPr>
                <w:sz w:val="1"/>
                <w:szCs w:val="1"/>
                <w:color w:val="auto"/>
              </w:rPr>
            </w:pPr>
          </w:p>
        </w:tc>
      </w:tr>
      <w:tr>
        <w:trPr>
          <w:trHeight w:val="149"/>
        </w:trPr>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03/01/2012</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1"/>
              </w:rPr>
              <w:t>CONSUMER PRODUCTS</w:t>
            </w:r>
          </w:p>
        </w:tc>
        <w:tc>
          <w:tcPr>
            <w:tcW w:w="120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11.68%*</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L+625</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18,500,000</w:t>
            </w:r>
          </w:p>
        </w:tc>
        <w:tc>
          <w:tcPr>
            <w:tcW w:w="2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18,128,846</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17,035,411</w:t>
            </w:r>
          </w:p>
        </w:tc>
        <w:tc>
          <w:tcPr>
            <w:tcW w:w="0" w:type="dxa"/>
            <w:vAlign w:val="bottom"/>
          </w:tcPr>
          <w:p>
            <w:pPr>
              <w:spacing w:after="0"/>
              <w:rPr>
                <w:sz w:val="1"/>
                <w:szCs w:val="1"/>
                <w:color w:val="auto"/>
              </w:rPr>
            </w:pPr>
          </w:p>
        </w:tc>
      </w:tr>
      <w:tr>
        <w:trPr>
          <w:trHeight w:val="149"/>
        </w:trPr>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05/20/2012</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120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13.75%</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20,000,000</w:t>
            </w:r>
          </w:p>
        </w:tc>
        <w:tc>
          <w:tcPr>
            <w:tcW w:w="2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19,464,060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20,000,000</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3"/>
              </w:rPr>
              <w:t>LEISURE, AMUSEMENT,</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07/02/2014</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3"/>
              </w:rPr>
              <w:t>MOTION PICTURES,</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4"/>
              </w:rPr>
              <w:t>ENTERTAINMENT</w:t>
            </w:r>
          </w:p>
        </w:tc>
        <w:tc>
          <w:tcPr>
            <w:tcW w:w="120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14.25%*</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3,974,292</w:t>
            </w:r>
          </w:p>
        </w:tc>
        <w:tc>
          <w:tcPr>
            <w:tcW w:w="2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3,735,200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3,974,292</w:t>
            </w:r>
          </w:p>
        </w:tc>
        <w:tc>
          <w:tcPr>
            <w:tcW w:w="0" w:type="dxa"/>
            <w:vAlign w:val="bottom"/>
          </w:tcPr>
          <w:p>
            <w:pPr>
              <w:spacing w:after="0"/>
              <w:rPr>
                <w:sz w:val="1"/>
                <w:szCs w:val="1"/>
                <w:color w:val="auto"/>
              </w:rPr>
            </w:pPr>
          </w:p>
        </w:tc>
      </w:tr>
      <w:tr>
        <w:trPr>
          <w:trHeight w:val="149"/>
        </w:trPr>
        <w:tc>
          <w:tcPr>
            <w:tcW w:w="940" w:type="dxa"/>
            <w:vAlign w:val="bottom"/>
            <w:gridSpan w:val="2"/>
            <w:vMerge w:val="restart"/>
          </w:tcPr>
          <w:p>
            <w:pPr>
              <w:ind w:left="100"/>
              <w:spacing w:after="0"/>
              <w:rPr>
                <w:sz w:val="20"/>
                <w:szCs w:val="20"/>
                <w:color w:val="auto"/>
              </w:rPr>
            </w:pPr>
            <w:r>
              <w:rPr>
                <w:rFonts w:ascii="Arial" w:cs="Arial" w:eastAsia="Arial" w:hAnsi="Arial"/>
                <w:sz w:val="14"/>
                <w:szCs w:val="14"/>
                <w:color w:val="auto"/>
              </w:rPr>
              <w:t>04/15/2015</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7"/>
              </w:rPr>
              <w:t>BUILDINGS &amp; REAL</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940" w:type="dxa"/>
            <w:vAlign w:val="bottom"/>
            <w:gridSpan w:val="2"/>
            <w:vMerge w:val="continue"/>
          </w:tcPr>
          <w:p>
            <w:pPr>
              <w:spacing w:after="0"/>
              <w:rPr>
                <w:sz w:val="7"/>
                <w:szCs w:val="7"/>
                <w:color w:val="auto"/>
              </w:rPr>
            </w:pPr>
          </w:p>
        </w:tc>
        <w:tc>
          <w:tcPr>
            <w:tcW w:w="1780" w:type="dxa"/>
            <w:vAlign w:val="bottom"/>
            <w:vMerge w:val="restart"/>
          </w:tcPr>
          <w:p>
            <w:pPr>
              <w:jc w:val="center"/>
              <w:spacing w:after="0" w:line="159" w:lineRule="exact"/>
              <w:rPr>
                <w:sz w:val="20"/>
                <w:szCs w:val="20"/>
                <w:color w:val="auto"/>
              </w:rPr>
            </w:pPr>
            <w:r>
              <w:rPr>
                <w:rFonts w:ascii="Arial" w:cs="Arial" w:eastAsia="Arial" w:hAnsi="Arial"/>
                <w:sz w:val="14"/>
                <w:szCs w:val="14"/>
                <w:color w:val="auto"/>
                <w:w w:val="88"/>
              </w:rPr>
              <w:t>ESTATE</w:t>
            </w:r>
          </w:p>
        </w:tc>
        <w:tc>
          <w:tcPr>
            <w:tcW w:w="1200" w:type="dxa"/>
            <w:vAlign w:val="bottom"/>
            <w:gridSpan w:val="3"/>
            <w:vMerge w:val="restart"/>
          </w:tcPr>
          <w:p>
            <w:pPr>
              <w:ind w:left="460"/>
              <w:spacing w:after="0" w:line="159" w:lineRule="exact"/>
              <w:rPr>
                <w:sz w:val="20"/>
                <w:szCs w:val="20"/>
                <w:color w:val="auto"/>
              </w:rPr>
            </w:pPr>
            <w:r>
              <w:rPr>
                <w:rFonts w:ascii="Arial" w:cs="Arial" w:eastAsia="Arial" w:hAnsi="Arial"/>
                <w:sz w:val="14"/>
                <w:szCs w:val="14"/>
                <w:color w:val="auto"/>
              </w:rPr>
              <w:t>12.38%</w:t>
            </w:r>
          </w:p>
        </w:tc>
        <w:tc>
          <w:tcPr>
            <w:tcW w:w="880" w:type="dxa"/>
            <w:vAlign w:val="bottom"/>
            <w:gridSpan w:val="2"/>
            <w:vMerge w:val="restart"/>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7"/>
                <w:szCs w:val="7"/>
                <w:color w:val="auto"/>
              </w:rPr>
            </w:pPr>
          </w:p>
        </w:tc>
        <w:tc>
          <w:tcPr>
            <w:tcW w:w="88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28,000,000</w:t>
            </w:r>
          </w:p>
        </w:tc>
        <w:tc>
          <w:tcPr>
            <w:tcW w:w="220" w:type="dxa"/>
            <w:vAlign w:val="bottom"/>
          </w:tcPr>
          <w:p>
            <w:pPr>
              <w:spacing w:after="0"/>
              <w:rPr>
                <w:sz w:val="7"/>
                <w:szCs w:val="7"/>
                <w:color w:val="auto"/>
              </w:rPr>
            </w:pPr>
          </w:p>
        </w:tc>
        <w:tc>
          <w:tcPr>
            <w:tcW w:w="90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26,171,601</w:t>
            </w:r>
          </w:p>
        </w:tc>
        <w:tc>
          <w:tcPr>
            <w:tcW w:w="100" w:type="dxa"/>
            <w:vAlign w:val="bottom"/>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vMerge w:val="restart"/>
          </w:tcPr>
          <w:p>
            <w:pPr>
              <w:jc w:val="right"/>
              <w:spacing w:after="0" w:line="159" w:lineRule="exact"/>
              <w:rPr>
                <w:sz w:val="20"/>
                <w:szCs w:val="20"/>
                <w:color w:val="auto"/>
              </w:rPr>
            </w:pPr>
            <w:r>
              <w:rPr>
                <w:rFonts w:ascii="Arial" w:cs="Arial" w:eastAsia="Arial" w:hAnsi="Arial"/>
                <w:sz w:val="14"/>
                <w:szCs w:val="14"/>
                <w:color w:val="auto"/>
              </w:rPr>
              <w:t>17,640,000</w:t>
            </w:r>
          </w:p>
        </w:tc>
        <w:tc>
          <w:tcPr>
            <w:tcW w:w="0" w:type="dxa"/>
            <w:vAlign w:val="bottom"/>
          </w:tcPr>
          <w:p>
            <w:pPr>
              <w:spacing w:after="0"/>
              <w:rPr>
                <w:sz w:val="1"/>
                <w:szCs w:val="1"/>
                <w:color w:val="auto"/>
              </w:rPr>
            </w:pPr>
          </w:p>
        </w:tc>
      </w:tr>
      <w:tr>
        <w:trPr>
          <w:trHeight w:val="73"/>
        </w:trPr>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85,504,565</w:t>
            </w:r>
          </w:p>
        </w:tc>
        <w:tc>
          <w:tcPr>
            <w:tcW w:w="22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82,529,980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73,304,219</w:t>
            </w:r>
          </w:p>
        </w:tc>
        <w:tc>
          <w:tcPr>
            <w:tcW w:w="0" w:type="dxa"/>
            <w:vAlign w:val="bottom"/>
          </w:tcPr>
          <w:p>
            <w:pPr>
              <w:spacing w:after="0"/>
              <w:rPr>
                <w:sz w:val="1"/>
                <w:szCs w:val="1"/>
                <w:color w:val="auto"/>
              </w:rPr>
            </w:pPr>
          </w:p>
        </w:tc>
      </w:tr>
      <w:tr>
        <w:trPr>
          <w:trHeight w:val="293"/>
        </w:trPr>
        <w:tc>
          <w:tcPr>
            <w:tcW w:w="940" w:type="dxa"/>
            <w:vAlign w:val="bottom"/>
            <w:gridSpan w:val="2"/>
          </w:tcPr>
          <w:p>
            <w:pPr>
              <w:ind w:left="100"/>
              <w:spacing w:after="0"/>
              <w:rPr>
                <w:sz w:val="20"/>
                <w:szCs w:val="20"/>
                <w:color w:val="auto"/>
              </w:rPr>
            </w:pPr>
            <w:r>
              <w:rPr>
                <w:rFonts w:ascii="Arial" w:cs="Arial" w:eastAsia="Arial" w:hAnsi="Arial"/>
                <w:sz w:val="14"/>
                <w:szCs w:val="14"/>
                <w:color w:val="auto"/>
              </w:rPr>
              <w:t>02/07/2015</w:t>
            </w:r>
          </w:p>
        </w:tc>
        <w:tc>
          <w:tcPr>
            <w:tcW w:w="1780" w:type="dxa"/>
            <w:vAlign w:val="bottom"/>
          </w:tcPr>
          <w:p>
            <w:pPr>
              <w:jc w:val="center"/>
              <w:spacing w:after="0"/>
              <w:rPr>
                <w:sz w:val="20"/>
                <w:szCs w:val="20"/>
                <w:color w:val="auto"/>
              </w:rPr>
            </w:pPr>
            <w:r>
              <w:rPr>
                <w:rFonts w:ascii="Arial" w:cs="Arial" w:eastAsia="Arial" w:hAnsi="Arial"/>
                <w:sz w:val="14"/>
                <w:szCs w:val="14"/>
                <w:color w:val="auto"/>
                <w:w w:val="95"/>
              </w:rPr>
              <w:t>ENERGY / UTILITIES</w:t>
            </w:r>
          </w:p>
        </w:tc>
        <w:tc>
          <w:tcPr>
            <w:tcW w:w="1200" w:type="dxa"/>
            <w:vAlign w:val="bottom"/>
            <w:gridSpan w:val="3"/>
          </w:tcPr>
          <w:p>
            <w:pPr>
              <w:ind w:left="480"/>
              <w:spacing w:after="0"/>
              <w:rPr>
                <w:sz w:val="20"/>
                <w:szCs w:val="20"/>
                <w:color w:val="auto"/>
              </w:rPr>
            </w:pPr>
            <w:r>
              <w:rPr>
                <w:rFonts w:ascii="Arial" w:cs="Arial" w:eastAsia="Arial" w:hAnsi="Arial"/>
                <w:sz w:val="14"/>
                <w:szCs w:val="14"/>
                <w:color w:val="auto"/>
              </w:rPr>
              <w:t>11.10%</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L+600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11,600,000</w:t>
            </w:r>
          </w:p>
        </w:tc>
        <w:tc>
          <w:tcPr>
            <w:tcW w:w="2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11,244,938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10,672,000</w:t>
            </w:r>
          </w:p>
        </w:tc>
        <w:tc>
          <w:tcPr>
            <w:tcW w:w="0" w:type="dxa"/>
            <w:vAlign w:val="bottom"/>
          </w:tcPr>
          <w:p>
            <w:pPr>
              <w:spacing w:after="0"/>
              <w:rPr>
                <w:sz w:val="1"/>
                <w:szCs w:val="1"/>
                <w:color w:val="auto"/>
              </w:rPr>
            </w:pPr>
          </w:p>
        </w:tc>
      </w:tr>
      <w:tr>
        <w:trPr>
          <w:trHeight w:val="149"/>
        </w:trPr>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02/07/2015</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5"/>
              </w:rPr>
              <w:t>ENERGY / UTILITIES</w:t>
            </w:r>
          </w:p>
        </w:tc>
        <w:tc>
          <w:tcPr>
            <w:tcW w:w="120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12.00%</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L+700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12,000,000</w:t>
            </w:r>
          </w:p>
        </w:tc>
        <w:tc>
          <w:tcPr>
            <w:tcW w:w="2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11,645,602</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11,460,000</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3"/>
              </w:rPr>
              <w:t>HEALTHCARE,</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05/19/2015</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4"/>
              </w:rPr>
              <w:t>EDUCATION &amp;</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6"/>
              </w:rPr>
              <w:t>CHILDCARE</w:t>
            </w:r>
          </w:p>
        </w:tc>
        <w:tc>
          <w:tcPr>
            <w:tcW w:w="120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12.33%</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L+750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12,000,000</w:t>
            </w:r>
          </w:p>
        </w:tc>
        <w:tc>
          <w:tcPr>
            <w:tcW w:w="2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11,941,028</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11,940,000</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3"/>
              </w:rPr>
              <w:t>LEISURE, AMUSEMENT,</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07/02/2013</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3"/>
              </w:rPr>
              <w:t>MOTION PICTURES,</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4"/>
              </w:rPr>
              <w:t>ENTERTAINMENT</w:t>
            </w:r>
          </w:p>
        </w:tc>
        <w:tc>
          <w:tcPr>
            <w:tcW w:w="120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10.66%</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L+575</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8,750,000</w:t>
            </w:r>
          </w:p>
        </w:tc>
        <w:tc>
          <w:tcPr>
            <w:tcW w:w="2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8,750,000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8,570,625</w:t>
            </w:r>
          </w:p>
        </w:tc>
        <w:tc>
          <w:tcPr>
            <w:tcW w:w="0" w:type="dxa"/>
            <w:vAlign w:val="bottom"/>
          </w:tcPr>
          <w:p>
            <w:pPr>
              <w:spacing w:after="0"/>
              <w:rPr>
                <w:sz w:val="1"/>
                <w:szCs w:val="1"/>
                <w:color w:val="auto"/>
              </w:rPr>
            </w:pPr>
          </w:p>
        </w:tc>
      </w:tr>
      <w:tr>
        <w:trPr>
          <w:trHeight w:val="162"/>
        </w:trPr>
        <w:tc>
          <w:tcPr>
            <w:tcW w:w="940" w:type="dxa"/>
            <w:vAlign w:val="bottom"/>
            <w:gridSpan w:val="2"/>
          </w:tcPr>
          <w:p>
            <w:pPr>
              <w:ind w:left="120"/>
              <w:spacing w:after="0"/>
              <w:rPr>
                <w:sz w:val="20"/>
                <w:szCs w:val="20"/>
                <w:color w:val="auto"/>
              </w:rPr>
            </w:pPr>
            <w:r>
              <w:rPr>
                <w:rFonts w:ascii="Arial" w:cs="Arial" w:eastAsia="Arial" w:hAnsi="Arial"/>
                <w:sz w:val="14"/>
                <w:szCs w:val="14"/>
                <w:color w:val="auto"/>
              </w:rPr>
              <w:t>11/04/2014</w:t>
            </w:r>
          </w:p>
        </w:tc>
        <w:tc>
          <w:tcPr>
            <w:tcW w:w="1780" w:type="dxa"/>
            <w:vAlign w:val="bottom"/>
          </w:tcPr>
          <w:p>
            <w:pPr>
              <w:jc w:val="center"/>
              <w:spacing w:after="0"/>
              <w:rPr>
                <w:sz w:val="20"/>
                <w:szCs w:val="20"/>
                <w:color w:val="auto"/>
              </w:rPr>
            </w:pPr>
            <w:r>
              <w:rPr>
                <w:rFonts w:ascii="Arial" w:cs="Arial" w:eastAsia="Arial" w:hAnsi="Arial"/>
                <w:sz w:val="14"/>
                <w:szCs w:val="14"/>
                <w:color w:val="auto"/>
                <w:w w:val="96"/>
              </w:rPr>
              <w:t>OTHER MEDIA</w:t>
            </w:r>
          </w:p>
        </w:tc>
        <w:tc>
          <w:tcPr>
            <w:tcW w:w="1200" w:type="dxa"/>
            <w:vAlign w:val="bottom"/>
            <w:gridSpan w:val="3"/>
          </w:tcPr>
          <w:p>
            <w:pPr>
              <w:ind w:left="480"/>
              <w:spacing w:after="0"/>
              <w:rPr>
                <w:sz w:val="20"/>
                <w:szCs w:val="20"/>
                <w:color w:val="auto"/>
              </w:rPr>
            </w:pPr>
            <w:r>
              <w:rPr>
                <w:rFonts w:ascii="Arial" w:cs="Arial" w:eastAsia="Arial" w:hAnsi="Arial"/>
                <w:sz w:val="14"/>
                <w:szCs w:val="14"/>
                <w:color w:val="auto"/>
              </w:rPr>
              <w:t>11.63%</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L+650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10,000,000</w:t>
            </w:r>
          </w:p>
        </w:tc>
        <w:tc>
          <w:tcPr>
            <w:tcW w:w="2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10,000,000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9,750,000</w:t>
            </w:r>
          </w:p>
        </w:tc>
        <w:tc>
          <w:tcPr>
            <w:tcW w:w="0" w:type="dxa"/>
            <w:vAlign w:val="bottom"/>
          </w:tcPr>
          <w:p>
            <w:pPr>
              <w:spacing w:after="0"/>
              <w:rPr>
                <w:sz w:val="1"/>
                <w:szCs w:val="1"/>
                <w:color w:val="auto"/>
              </w:rPr>
            </w:pPr>
          </w:p>
        </w:tc>
      </w:tr>
      <w:tr>
        <w:trPr>
          <w:trHeight w:val="176"/>
        </w:trPr>
        <w:tc>
          <w:tcPr>
            <w:tcW w:w="940" w:type="dxa"/>
            <w:vAlign w:val="bottom"/>
            <w:gridSpan w:val="2"/>
          </w:tcPr>
          <w:p>
            <w:pPr>
              <w:ind w:left="100"/>
              <w:spacing w:after="0"/>
              <w:rPr>
                <w:sz w:val="20"/>
                <w:szCs w:val="20"/>
                <w:color w:val="auto"/>
              </w:rPr>
            </w:pPr>
            <w:r>
              <w:rPr>
                <w:rFonts w:ascii="Arial" w:cs="Arial" w:eastAsia="Arial" w:hAnsi="Arial"/>
                <w:sz w:val="14"/>
                <w:szCs w:val="14"/>
                <w:color w:val="auto"/>
              </w:rPr>
              <w:t>05/15/2015</w:t>
            </w:r>
          </w:p>
        </w:tc>
        <w:tc>
          <w:tcPr>
            <w:tcW w:w="1780" w:type="dxa"/>
            <w:vAlign w:val="bottom"/>
          </w:tcPr>
          <w:p>
            <w:pPr>
              <w:jc w:val="center"/>
              <w:spacing w:after="0"/>
              <w:rPr>
                <w:sz w:val="20"/>
                <w:szCs w:val="20"/>
                <w:color w:val="auto"/>
              </w:rPr>
            </w:pPr>
            <w:r>
              <w:rPr>
                <w:rFonts w:ascii="Arial" w:cs="Arial" w:eastAsia="Arial" w:hAnsi="Arial"/>
                <w:sz w:val="14"/>
                <w:szCs w:val="14"/>
                <w:color w:val="auto"/>
                <w:w w:val="91"/>
              </w:rPr>
              <w:t>TRANSPORTATION</w:t>
            </w:r>
          </w:p>
        </w:tc>
        <w:tc>
          <w:tcPr>
            <w:tcW w:w="1200" w:type="dxa"/>
            <w:vAlign w:val="bottom"/>
            <w:gridSpan w:val="3"/>
          </w:tcPr>
          <w:p>
            <w:pPr>
              <w:ind w:left="460"/>
              <w:spacing w:after="0"/>
              <w:rPr>
                <w:sz w:val="20"/>
                <w:szCs w:val="20"/>
                <w:color w:val="auto"/>
              </w:rPr>
            </w:pPr>
            <w:r>
              <w:rPr>
                <w:rFonts w:ascii="Arial" w:cs="Arial" w:eastAsia="Arial" w:hAnsi="Arial"/>
                <w:sz w:val="14"/>
                <w:szCs w:val="14"/>
                <w:color w:val="auto"/>
              </w:rPr>
              <w:t>12.62%</w:t>
            </w: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L+775</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10,000,000</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9,937,031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5,162,500</w:t>
            </w:r>
          </w:p>
        </w:tc>
        <w:tc>
          <w:tcPr>
            <w:tcW w:w="0" w:type="dxa"/>
            <w:vAlign w:val="bottom"/>
          </w:tcPr>
          <w:p>
            <w:pPr>
              <w:spacing w:after="0"/>
              <w:rPr>
                <w:sz w:val="1"/>
                <w:szCs w:val="1"/>
                <w:color w:val="auto"/>
              </w:rPr>
            </w:pPr>
          </w:p>
        </w:tc>
      </w:tr>
      <w:tr>
        <w:trPr>
          <w:trHeight w:val="162"/>
        </w:trPr>
        <w:tc>
          <w:tcPr>
            <w:tcW w:w="940" w:type="dxa"/>
            <w:vAlign w:val="bottom"/>
            <w:gridSpan w:val="2"/>
          </w:tcPr>
          <w:p>
            <w:pPr>
              <w:ind w:left="100"/>
              <w:spacing w:after="0"/>
              <w:rPr>
                <w:sz w:val="20"/>
                <w:szCs w:val="20"/>
                <w:color w:val="auto"/>
              </w:rPr>
            </w:pPr>
            <w:r>
              <w:rPr>
                <w:rFonts w:ascii="Arial" w:cs="Arial" w:eastAsia="Arial" w:hAnsi="Arial"/>
                <w:sz w:val="14"/>
                <w:szCs w:val="14"/>
                <w:color w:val="auto"/>
              </w:rPr>
              <w:t>05/15/2017</w:t>
            </w:r>
          </w:p>
        </w:tc>
        <w:tc>
          <w:tcPr>
            <w:tcW w:w="1780" w:type="dxa"/>
            <w:vAlign w:val="bottom"/>
          </w:tcPr>
          <w:p>
            <w:pPr>
              <w:jc w:val="center"/>
              <w:spacing w:after="0"/>
              <w:rPr>
                <w:sz w:val="20"/>
                <w:szCs w:val="20"/>
                <w:color w:val="auto"/>
              </w:rPr>
            </w:pPr>
            <w:r>
              <w:rPr>
                <w:rFonts w:ascii="Arial" w:cs="Arial" w:eastAsia="Arial" w:hAnsi="Arial"/>
                <w:sz w:val="14"/>
                <w:szCs w:val="14"/>
                <w:color w:val="auto"/>
                <w:w w:val="91"/>
              </w:rPr>
              <w:t>TRANSPORTATION</w:t>
            </w:r>
          </w:p>
        </w:tc>
        <w:tc>
          <w:tcPr>
            <w:tcW w:w="1200" w:type="dxa"/>
            <w:vAlign w:val="bottom"/>
            <w:gridSpan w:val="3"/>
          </w:tcPr>
          <w:p>
            <w:pPr>
              <w:ind w:left="460"/>
              <w:spacing w:after="0"/>
              <w:rPr>
                <w:sz w:val="20"/>
                <w:szCs w:val="20"/>
                <w:color w:val="auto"/>
              </w:rPr>
            </w:pPr>
            <w:r>
              <w:rPr>
                <w:rFonts w:ascii="Arial" w:cs="Arial" w:eastAsia="Arial" w:hAnsi="Arial"/>
                <w:sz w:val="14"/>
                <w:szCs w:val="14"/>
                <w:color w:val="auto"/>
              </w:rPr>
              <w:t>12.50%</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19,000,000</w:t>
            </w:r>
          </w:p>
        </w:tc>
        <w:tc>
          <w:tcPr>
            <w:tcW w:w="2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16,290,019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9,808,750</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3"/>
              </w:rPr>
              <w:t>HEALTHCARE,</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06/15/2015</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4"/>
              </w:rPr>
              <w:t>EDUCATION &amp;</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6"/>
              </w:rPr>
              <w:t>CHILDCARE</w:t>
            </w:r>
          </w:p>
        </w:tc>
        <w:tc>
          <w:tcPr>
            <w:tcW w:w="120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10.97%*</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L+575</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12,500,000</w:t>
            </w:r>
          </w:p>
        </w:tc>
        <w:tc>
          <w:tcPr>
            <w:tcW w:w="2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11,765,679</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11,640,625</w:t>
            </w:r>
          </w:p>
        </w:tc>
        <w:tc>
          <w:tcPr>
            <w:tcW w:w="0" w:type="dxa"/>
            <w:vAlign w:val="bottom"/>
          </w:tcPr>
          <w:p>
            <w:pPr>
              <w:spacing w:after="0"/>
              <w:rPr>
                <w:sz w:val="1"/>
                <w:szCs w:val="1"/>
                <w:color w:val="auto"/>
              </w:rPr>
            </w:pPr>
          </w:p>
        </w:tc>
      </w:tr>
      <w:tr>
        <w:trPr>
          <w:trHeight w:val="149"/>
        </w:trPr>
        <w:tc>
          <w:tcPr>
            <w:tcW w:w="940" w:type="dxa"/>
            <w:vAlign w:val="bottom"/>
            <w:gridSpan w:val="2"/>
            <w:vMerge w:val="restart"/>
          </w:tcPr>
          <w:p>
            <w:pPr>
              <w:ind w:left="100"/>
              <w:spacing w:after="0"/>
              <w:rPr>
                <w:sz w:val="20"/>
                <w:szCs w:val="20"/>
                <w:color w:val="auto"/>
              </w:rPr>
            </w:pPr>
            <w:r>
              <w:rPr>
                <w:rFonts w:ascii="Arial" w:cs="Arial" w:eastAsia="Arial" w:hAnsi="Arial"/>
                <w:sz w:val="14"/>
                <w:szCs w:val="14"/>
                <w:color w:val="auto"/>
              </w:rPr>
              <w:t>12/15/2014</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w w:val="93"/>
              </w:rPr>
              <w:t>CHEMICAL, PLASTICS</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940" w:type="dxa"/>
            <w:vAlign w:val="bottom"/>
            <w:gridSpan w:val="2"/>
            <w:vMerge w:val="continue"/>
          </w:tcPr>
          <w:p>
            <w:pPr>
              <w:spacing w:after="0"/>
              <w:rPr>
                <w:sz w:val="7"/>
                <w:szCs w:val="7"/>
                <w:color w:val="auto"/>
              </w:rPr>
            </w:pPr>
          </w:p>
        </w:tc>
        <w:tc>
          <w:tcPr>
            <w:tcW w:w="178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4"/>
              </w:rPr>
              <w:t>&amp; RUBBER</w:t>
            </w:r>
          </w:p>
        </w:tc>
        <w:tc>
          <w:tcPr>
            <w:tcW w:w="1200" w:type="dxa"/>
            <w:vAlign w:val="bottom"/>
            <w:gridSpan w:val="3"/>
            <w:vMerge w:val="restart"/>
          </w:tcPr>
          <w:p>
            <w:pPr>
              <w:ind w:left="480"/>
              <w:spacing w:after="0" w:line="149" w:lineRule="exact"/>
              <w:rPr>
                <w:sz w:val="20"/>
                <w:szCs w:val="20"/>
                <w:color w:val="auto"/>
              </w:rPr>
            </w:pPr>
            <w:r>
              <w:rPr>
                <w:rFonts w:ascii="Arial" w:cs="Arial" w:eastAsia="Arial" w:hAnsi="Arial"/>
                <w:sz w:val="14"/>
                <w:szCs w:val="14"/>
                <w:color w:val="auto"/>
              </w:rPr>
              <w:t>11.85%*</w:t>
            </w:r>
          </w:p>
        </w:tc>
        <w:tc>
          <w:tcPr>
            <w:tcW w:w="880" w:type="dxa"/>
            <w:vAlign w:val="bottom"/>
            <w:gridSpan w:val="2"/>
            <w:vMerge w:val="restart"/>
          </w:tcPr>
          <w:p>
            <w:pPr>
              <w:ind w:left="420"/>
              <w:spacing w:after="0" w:line="149" w:lineRule="exact"/>
              <w:rPr>
                <w:sz w:val="20"/>
                <w:szCs w:val="20"/>
                <w:color w:val="auto"/>
              </w:rPr>
            </w:pPr>
            <w:r>
              <w:rPr>
                <w:rFonts w:ascii="Arial" w:cs="Arial" w:eastAsia="Arial" w:hAnsi="Arial"/>
                <w:sz w:val="14"/>
                <w:szCs w:val="14"/>
                <w:color w:val="auto"/>
              </w:rPr>
              <w:t>L+700</w:t>
            </w:r>
          </w:p>
        </w:tc>
        <w:tc>
          <w:tcPr>
            <w:tcW w:w="980" w:type="dxa"/>
            <w:vAlign w:val="bottom"/>
            <w:gridSpan w:val="2"/>
            <w:vMerge w:val="restart"/>
          </w:tcPr>
          <w:p>
            <w:pPr>
              <w:jc w:val="right"/>
              <w:spacing w:after="0" w:line="149" w:lineRule="exact"/>
              <w:rPr>
                <w:sz w:val="20"/>
                <w:szCs w:val="20"/>
                <w:color w:val="auto"/>
              </w:rPr>
            </w:pPr>
            <w:r>
              <w:rPr>
                <w:rFonts w:ascii="Arial" w:cs="Arial" w:eastAsia="Arial" w:hAnsi="Arial"/>
                <w:sz w:val="14"/>
                <w:szCs w:val="14"/>
                <w:color w:val="auto"/>
              </w:rPr>
              <w:t>22,500,000</w:t>
            </w:r>
          </w:p>
        </w:tc>
        <w:tc>
          <w:tcPr>
            <w:tcW w:w="220" w:type="dxa"/>
            <w:vAlign w:val="bottom"/>
          </w:tcPr>
          <w:p>
            <w:pPr>
              <w:spacing w:after="0"/>
              <w:rPr>
                <w:sz w:val="7"/>
                <w:szCs w:val="7"/>
                <w:color w:val="auto"/>
              </w:rPr>
            </w:pPr>
          </w:p>
        </w:tc>
        <w:tc>
          <w:tcPr>
            <w:tcW w:w="1000" w:type="dxa"/>
            <w:vAlign w:val="bottom"/>
            <w:gridSpan w:val="2"/>
            <w:vMerge w:val="restart"/>
          </w:tcPr>
          <w:p>
            <w:pPr>
              <w:jc w:val="right"/>
              <w:ind w:right="100"/>
              <w:spacing w:after="0" w:line="149" w:lineRule="exact"/>
              <w:rPr>
                <w:sz w:val="20"/>
                <w:szCs w:val="20"/>
                <w:color w:val="auto"/>
              </w:rPr>
            </w:pPr>
            <w:r>
              <w:rPr>
                <w:rFonts w:ascii="Arial" w:cs="Arial" w:eastAsia="Arial" w:hAnsi="Arial"/>
                <w:sz w:val="14"/>
                <w:szCs w:val="14"/>
                <w:color w:val="auto"/>
              </w:rPr>
              <w:t>22,484,193</w:t>
            </w:r>
          </w:p>
        </w:tc>
        <w:tc>
          <w:tcPr>
            <w:tcW w:w="1000" w:type="dxa"/>
            <w:vAlign w:val="bottom"/>
            <w:gridSpan w:val="2"/>
            <w:vMerge w:val="restart"/>
          </w:tcPr>
          <w:p>
            <w:pPr>
              <w:jc w:val="right"/>
              <w:spacing w:after="0" w:line="149" w:lineRule="exact"/>
              <w:rPr>
                <w:sz w:val="20"/>
                <w:szCs w:val="20"/>
                <w:color w:val="auto"/>
              </w:rPr>
            </w:pPr>
            <w:r>
              <w:rPr>
                <w:rFonts w:ascii="Arial" w:cs="Arial" w:eastAsia="Arial" w:hAnsi="Arial"/>
                <w:sz w:val="14"/>
                <w:szCs w:val="14"/>
                <w:color w:val="auto"/>
              </w:rPr>
              <w:t>22,275,000</w:t>
            </w: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80" w:type="dxa"/>
            <w:vAlign w:val="bottom"/>
            <w:vMerge w:val="continue"/>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9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06/15/2015</w:t>
            </w:r>
          </w:p>
        </w:tc>
        <w:tc>
          <w:tcPr>
            <w:tcW w:w="1780" w:type="dxa"/>
            <w:vAlign w:val="bottom"/>
          </w:tcPr>
          <w:p>
            <w:pPr>
              <w:jc w:val="center"/>
              <w:spacing w:after="0" w:line="159" w:lineRule="exact"/>
              <w:rPr>
                <w:sz w:val="20"/>
                <w:szCs w:val="20"/>
                <w:color w:val="auto"/>
              </w:rPr>
            </w:pPr>
            <w:r>
              <w:rPr>
                <w:rFonts w:ascii="Arial" w:cs="Arial" w:eastAsia="Arial" w:hAnsi="Arial"/>
                <w:sz w:val="14"/>
                <w:szCs w:val="14"/>
                <w:color w:val="auto"/>
                <w:w w:val="89"/>
              </w:rPr>
              <w:t>BUSINESS SERVICES</w:t>
            </w:r>
          </w:p>
        </w:tc>
        <w:tc>
          <w:tcPr>
            <w:tcW w:w="1200" w:type="dxa"/>
            <w:vAlign w:val="bottom"/>
            <w:gridSpan w:val="3"/>
          </w:tcPr>
          <w:p>
            <w:pPr>
              <w:ind w:left="460"/>
              <w:spacing w:after="0" w:line="159" w:lineRule="exact"/>
              <w:rPr>
                <w:sz w:val="20"/>
                <w:szCs w:val="20"/>
                <w:color w:val="auto"/>
              </w:rPr>
            </w:pPr>
            <w:r>
              <w:rPr>
                <w:rFonts w:ascii="Arial" w:cs="Arial" w:eastAsia="Arial" w:hAnsi="Arial"/>
                <w:sz w:val="14"/>
                <w:szCs w:val="14"/>
                <w:color w:val="auto"/>
              </w:rPr>
              <w:t>10.83%*</w:t>
            </w:r>
          </w:p>
        </w:tc>
        <w:tc>
          <w:tcPr>
            <w:tcW w:w="88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L+600</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13,000,000</w:t>
            </w:r>
          </w:p>
        </w:tc>
        <w:tc>
          <w:tcPr>
            <w:tcW w:w="22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12,889,791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12,220,000</w:t>
            </w: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131,350,000</w:t>
            </w:r>
          </w:p>
        </w:tc>
        <w:tc>
          <w:tcPr>
            <w:tcW w:w="22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126,948,281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113,499,500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-2829560</wp:posOffset>
            </wp:positionV>
            <wp:extent cx="7246620" cy="946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-2640965</wp:posOffset>
            </wp:positionV>
            <wp:extent cx="7246620" cy="946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-2451735</wp:posOffset>
            </wp:positionV>
            <wp:extent cx="7246620" cy="2832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-1963420</wp:posOffset>
            </wp:positionV>
            <wp:extent cx="7246620" cy="946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-1757680</wp:posOffset>
            </wp:positionV>
            <wp:extent cx="7246620" cy="946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-1568450</wp:posOffset>
            </wp:positionV>
            <wp:extent cx="7246620" cy="2832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-1002665</wp:posOffset>
            </wp:positionV>
            <wp:extent cx="7246620" cy="946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-796925</wp:posOffset>
            </wp:positionV>
            <wp:extent cx="7246620" cy="1117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-402590</wp:posOffset>
            </wp:positionV>
            <wp:extent cx="724662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-102235</wp:posOffset>
            </wp:positionV>
            <wp:extent cx="7246620" cy="946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480"/>
            <w:col w:w="8000"/>
          </w:cols>
          <w:pgMar w:left="240" w:top="27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274" w:right="239" w:bottom="1440" w:gutter="0" w:footer="0" w:header="0"/>
          <w:type w:val="continuous"/>
        </w:sectPr>
      </w:pPr>
    </w:p>
    <w:bookmarkStart w:id="141" w:name="page142"/>
    <w:bookmarkEnd w:id="141"/>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Basis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Point</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Spread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Current</w:t>
            </w: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Above</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3640" w:type="dxa"/>
            <w:vAlign w:val="bottom"/>
            <w:gridSpan w:val="3"/>
            <w:vMerge w:val="continue"/>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Maturity</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2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Coupon</w:t>
            </w:r>
          </w:p>
        </w:tc>
        <w:tc>
          <w:tcPr>
            <w:tcW w:w="78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940" w:type="dxa"/>
            <w:vAlign w:val="bottom"/>
            <w:gridSpan w:val="2"/>
          </w:tcPr>
          <w:p>
            <w:pPr>
              <w:ind w:left="32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5"/>
                <w:szCs w:val="15"/>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6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Common Equity**—2.6%</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V</w:t>
            </w:r>
            <w:r>
              <w:rPr>
                <w:rFonts w:ascii="Arial" w:cs="Arial" w:eastAsia="Arial" w:hAnsi="Arial"/>
                <w:sz w:val="11"/>
                <w:szCs w:val="11"/>
                <w:color w:val="auto"/>
              </w:rPr>
              <w:t>SS</w:t>
            </w:r>
            <w:r>
              <w:rPr>
                <w:rFonts w:ascii="Arial" w:cs="Arial" w:eastAsia="Arial" w:hAnsi="Arial"/>
                <w:sz w:val="14"/>
                <w:szCs w:val="14"/>
                <w:color w:val="auto"/>
              </w:rPr>
              <w:t>-</w:t>
            </w:r>
            <w:r>
              <w:rPr>
                <w:rFonts w:ascii="Arial" w:cs="Arial" w:eastAsia="Arial" w:hAnsi="Arial"/>
                <w:sz w:val="11"/>
                <w:szCs w:val="11"/>
                <w:color w:val="auto"/>
              </w:rPr>
              <w:t>AHC</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L.L.C.</w:t>
            </w:r>
          </w:p>
        </w:tc>
        <w:tc>
          <w:tcPr>
            <w:tcW w:w="9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2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3,000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3,000,000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3,170,325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ERFORMANCE</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LEISURE, AMUSEMENT,</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MOTION PICTURES,</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7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9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ENTERTAINMENT</w:t>
            </w: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37,500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3,750,000</w:t>
            </w:r>
          </w:p>
        </w:tc>
        <w:tc>
          <w:tcPr>
            <w:tcW w:w="20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3,434,606</w:t>
            </w:r>
          </w:p>
        </w:tc>
        <w:tc>
          <w:tcPr>
            <w:tcW w:w="0" w:type="dxa"/>
            <w:vAlign w:val="bottom"/>
          </w:tcPr>
          <w:p>
            <w:pPr>
              <w:spacing w:after="0"/>
              <w:rPr>
                <w:sz w:val="1"/>
                <w:szCs w:val="1"/>
                <w:color w:val="auto"/>
              </w:rPr>
            </w:pPr>
          </w:p>
        </w:tc>
      </w:tr>
      <w:tr>
        <w:trPr>
          <w:trHeight w:val="163"/>
        </w:trPr>
        <w:tc>
          <w:tcPr>
            <w:tcW w:w="3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40,500</w:t>
            </w: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6,750,000</w:t>
            </w:r>
          </w:p>
        </w:tc>
        <w:tc>
          <w:tcPr>
            <w:tcW w:w="10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6,604,931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First Lien secured Debt—58.5%</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ind w:left="36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w:t>
            </w:r>
            <w:r>
              <w:rPr>
                <w:rFonts w:ascii="Arial" w:cs="Arial" w:eastAsia="Arial" w:hAnsi="Arial"/>
                <w:sz w:val="11"/>
                <w:szCs w:val="11"/>
                <w:color w:val="auto"/>
              </w:rPr>
              <w:t>ERRY</w:t>
            </w:r>
            <w:r>
              <w:rPr>
                <w:rFonts w:ascii="Arial" w:cs="Arial" w:eastAsia="Arial" w:hAnsi="Arial"/>
                <w:sz w:val="14"/>
                <w:szCs w:val="14"/>
                <w:color w:val="auto"/>
              </w:rPr>
              <w:t xml:space="preserve"> P</w:t>
            </w:r>
            <w:r>
              <w:rPr>
                <w:rFonts w:ascii="Arial" w:cs="Arial" w:eastAsia="Arial" w:hAnsi="Arial"/>
                <w:sz w:val="11"/>
                <w:szCs w:val="11"/>
                <w:color w:val="auto"/>
              </w:rPr>
              <w:t>LASTICS</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04/03/2015</w:t>
            </w:r>
          </w:p>
        </w:tc>
        <w:tc>
          <w:tcPr>
            <w:tcW w:w="19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1"/>
              </w:rPr>
              <w:t>CONTAINERS,</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780" w:type="dxa"/>
            <w:vAlign w:val="bottom"/>
            <w:shd w:val="clear" w:color="auto" w:fill="CCEEFF"/>
          </w:tcPr>
          <w:p>
            <w:pPr>
              <w:spacing w:after="0"/>
              <w:rPr>
                <w:sz w:val="7"/>
                <w:szCs w:val="7"/>
                <w:color w:val="auto"/>
              </w:rPr>
            </w:pPr>
          </w:p>
        </w:tc>
        <w:tc>
          <w:tcPr>
            <w:tcW w:w="980" w:type="dxa"/>
            <w:vAlign w:val="bottom"/>
            <w:gridSpan w:val="2"/>
            <w:vMerge w:val="continue"/>
            <w:shd w:val="clear" w:color="auto" w:fill="CCEEFF"/>
          </w:tcPr>
          <w:p>
            <w:pPr>
              <w:spacing w:after="0"/>
              <w:rPr>
                <w:sz w:val="7"/>
                <w:szCs w:val="7"/>
                <w:color w:val="auto"/>
              </w:rPr>
            </w:pPr>
          </w:p>
        </w:tc>
        <w:tc>
          <w:tcPr>
            <w:tcW w:w="1920" w:type="dxa"/>
            <w:vAlign w:val="bottom"/>
            <w:vMerge w:val="restart"/>
            <w:shd w:val="clear" w:color="auto" w:fill="CCEEFF"/>
          </w:tcPr>
          <w:p>
            <w:pPr>
              <w:jc w:val="center"/>
              <w:spacing w:after="0" w:line="159" w:lineRule="exact"/>
              <w:rPr>
                <w:sz w:val="20"/>
                <w:szCs w:val="20"/>
                <w:color w:val="auto"/>
              </w:rPr>
            </w:pPr>
            <w:r>
              <w:rPr>
                <w:rFonts w:ascii="Arial" w:cs="Arial" w:eastAsia="Arial" w:hAnsi="Arial"/>
                <w:sz w:val="14"/>
                <w:szCs w:val="14"/>
                <w:color w:val="auto"/>
                <w:w w:val="95"/>
              </w:rPr>
              <w:t>PACKAGING &amp; GLASS</w:t>
            </w:r>
          </w:p>
        </w:tc>
        <w:tc>
          <w:tcPr>
            <w:tcW w:w="1160" w:type="dxa"/>
            <w:vAlign w:val="bottom"/>
            <w:gridSpan w:val="3"/>
            <w:vMerge w:val="restart"/>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7.16%</w:t>
            </w:r>
          </w:p>
        </w:tc>
        <w:tc>
          <w:tcPr>
            <w:tcW w:w="780" w:type="dxa"/>
            <w:vAlign w:val="bottom"/>
            <w:gridSpan w:val="2"/>
            <w:vMerge w:val="restart"/>
            <w:shd w:val="clear" w:color="auto" w:fill="CCEEFF"/>
          </w:tcPr>
          <w:p>
            <w:pPr>
              <w:ind w:left="220"/>
              <w:spacing w:after="0" w:line="159" w:lineRule="exact"/>
              <w:rPr>
                <w:sz w:val="20"/>
                <w:szCs w:val="20"/>
                <w:color w:val="auto"/>
              </w:rPr>
            </w:pPr>
            <w:r>
              <w:rPr>
                <w:rFonts w:ascii="Arial" w:cs="Arial" w:eastAsia="Arial" w:hAnsi="Arial"/>
                <w:sz w:val="14"/>
                <w:szCs w:val="14"/>
                <w:color w:val="auto"/>
              </w:rPr>
              <w:t>L+200</w:t>
            </w:r>
          </w:p>
        </w:tc>
        <w:tc>
          <w:tcPr>
            <w:tcW w:w="940" w:type="dxa"/>
            <w:vAlign w:val="bottom"/>
            <w:gridSpan w:val="2"/>
            <w:vMerge w:val="restart"/>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   7,443,750</w:t>
            </w:r>
          </w:p>
        </w:tc>
        <w:tc>
          <w:tcPr>
            <w:tcW w:w="940" w:type="dxa"/>
            <w:vAlign w:val="bottom"/>
            <w:gridSpan w:val="2"/>
            <w:vMerge w:val="restart"/>
            <w:shd w:val="clear" w:color="auto" w:fill="CCEEFF"/>
          </w:tcPr>
          <w:p>
            <w:pPr>
              <w:jc w:val="right"/>
              <w:spacing w:after="0" w:line="159" w:lineRule="exact"/>
              <w:rPr>
                <w:sz w:val="20"/>
                <w:szCs w:val="20"/>
                <w:color w:val="auto"/>
              </w:rPr>
            </w:pPr>
            <w:r>
              <w:rPr>
                <w:rFonts w:ascii="Arial" w:cs="Arial" w:eastAsia="Arial" w:hAnsi="Arial"/>
                <w:sz w:val="14"/>
                <w:szCs w:val="14"/>
                <w:color w:val="auto"/>
              </w:rPr>
              <w:t>7,443,750</w:t>
            </w:r>
          </w:p>
        </w:tc>
        <w:tc>
          <w:tcPr>
            <w:tcW w:w="1060" w:type="dxa"/>
            <w:vAlign w:val="bottom"/>
            <w:gridSpan w:val="2"/>
            <w:vMerge w:val="restart"/>
            <w:shd w:val="clear" w:color="auto" w:fill="CCEEFF"/>
          </w:tcPr>
          <w:p>
            <w:pPr>
              <w:jc w:val="right"/>
              <w:spacing w:after="0" w:line="159" w:lineRule="exact"/>
              <w:rPr>
                <w:sz w:val="20"/>
                <w:szCs w:val="20"/>
                <w:color w:val="auto"/>
              </w:rPr>
            </w:pPr>
            <w:r>
              <w:rPr>
                <w:rFonts w:ascii="Arial" w:cs="Arial" w:eastAsia="Arial" w:hAnsi="Arial"/>
                <w:sz w:val="14"/>
                <w:szCs w:val="14"/>
                <w:color w:val="auto"/>
              </w:rPr>
              <w:t>6,943,366</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7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920" w:type="dxa"/>
            <w:vAlign w:val="bottom"/>
            <w:vMerge w:val="continue"/>
            <w:shd w:val="clear" w:color="auto" w:fill="CCEEFF"/>
          </w:tcPr>
          <w:p>
            <w:pPr>
              <w:spacing w:after="0"/>
              <w:rPr>
                <w:sz w:val="5"/>
                <w:szCs w:val="5"/>
                <w:color w:val="auto"/>
              </w:rPr>
            </w:pPr>
          </w:p>
        </w:tc>
        <w:tc>
          <w:tcPr>
            <w:tcW w:w="1160" w:type="dxa"/>
            <w:vAlign w:val="bottom"/>
            <w:gridSpan w:val="3"/>
            <w:vMerge w:val="continue"/>
            <w:shd w:val="clear" w:color="auto" w:fill="CCEEFF"/>
          </w:tcPr>
          <w:p>
            <w:pPr>
              <w:spacing w:after="0"/>
              <w:rPr>
                <w:sz w:val="5"/>
                <w:szCs w:val="5"/>
                <w:color w:val="auto"/>
              </w:rPr>
            </w:pPr>
          </w:p>
        </w:tc>
        <w:tc>
          <w:tcPr>
            <w:tcW w:w="780" w:type="dxa"/>
            <w:vAlign w:val="bottom"/>
            <w:gridSpan w:val="2"/>
            <w:vMerge w:val="continue"/>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B</w:t>
            </w:r>
            <w:r>
              <w:rPr>
                <w:rFonts w:ascii="Arial" w:cs="Arial" w:eastAsia="Arial" w:hAnsi="Arial"/>
                <w:sz w:val="11"/>
                <w:szCs w:val="11"/>
                <w:color w:val="auto"/>
              </w:rPr>
              <w:t>RAND ENERGY</w:t>
            </w:r>
            <w:r>
              <w:rPr>
                <w:rFonts w:ascii="Arial" w:cs="Arial" w:eastAsia="Arial" w:hAnsi="Arial"/>
                <w:sz w:val="14"/>
                <w:szCs w:val="14"/>
                <w:color w:val="auto"/>
              </w:rPr>
              <w:t xml:space="preserve"> &amp; </w:t>
            </w:r>
            <w:r>
              <w:rPr>
                <w:rFonts w:ascii="Arial" w:cs="Arial" w:eastAsia="Arial" w:hAnsi="Arial"/>
                <w:sz w:val="11"/>
                <w:szCs w:val="11"/>
                <w:color w:val="auto"/>
              </w:rPr>
              <w:t>INFRASTRUCTURE</w:t>
            </w:r>
            <w:r>
              <w:rPr>
                <w:rFonts w:ascii="Arial" w:cs="Arial" w:eastAsia="Arial" w:hAnsi="Arial"/>
                <w:sz w:val="14"/>
                <w:szCs w:val="14"/>
                <w:color w:val="auto"/>
              </w:rPr>
              <w:t xml:space="preserve"> S</w:t>
            </w:r>
            <w:r>
              <w:rPr>
                <w:rFonts w:ascii="Arial" w:cs="Arial" w:eastAsia="Arial" w:hAnsi="Arial"/>
                <w:sz w:val="11"/>
                <w:szCs w:val="11"/>
                <w:color w:val="auto"/>
              </w:rPr>
              <w:t>ERVICES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02/07/2014</w:t>
            </w: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3"/>
              </w:rPr>
              <w:t>ENERGY / UTILITIES</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7.14%</w:t>
            </w:r>
          </w:p>
        </w:tc>
        <w:tc>
          <w:tcPr>
            <w:tcW w:w="7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L+225</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1,985,000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1,985,000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1,872,516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w:t>
            </w:r>
            <w:r>
              <w:rPr>
                <w:rFonts w:ascii="Arial" w:cs="Arial" w:eastAsia="Arial" w:hAnsi="Arial"/>
                <w:sz w:val="11"/>
                <w:szCs w:val="11"/>
                <w:color w:val="auto"/>
              </w:rPr>
              <w:t>URLINGTON</w:t>
            </w:r>
            <w:r>
              <w:rPr>
                <w:rFonts w:ascii="Arial" w:cs="Arial" w:eastAsia="Arial" w:hAnsi="Arial"/>
                <w:sz w:val="14"/>
                <w:szCs w:val="14"/>
                <w:color w:val="auto"/>
              </w:rPr>
              <w:t xml:space="preserve"> C</w:t>
            </w:r>
            <w:r>
              <w:rPr>
                <w:rFonts w:ascii="Arial" w:cs="Arial" w:eastAsia="Arial" w:hAnsi="Arial"/>
                <w:sz w:val="11"/>
                <w:szCs w:val="11"/>
                <w:color w:val="auto"/>
              </w:rPr>
              <w:t>OAT</w:t>
            </w:r>
            <w:r>
              <w:rPr>
                <w:rFonts w:ascii="Arial" w:cs="Arial" w:eastAsia="Arial" w:hAnsi="Arial"/>
                <w:sz w:val="14"/>
                <w:szCs w:val="14"/>
                <w:color w:val="auto"/>
              </w:rPr>
              <w:t xml:space="preserve"> F</w:t>
            </w:r>
            <w:r>
              <w:rPr>
                <w:rFonts w:ascii="Arial" w:cs="Arial" w:eastAsia="Arial" w:hAnsi="Arial"/>
                <w:sz w:val="11"/>
                <w:szCs w:val="11"/>
                <w:color w:val="auto"/>
              </w:rPr>
              <w:t>ACTORY</w:t>
            </w:r>
            <w:r>
              <w:rPr>
                <w:rFonts w:ascii="Arial" w:cs="Arial" w:eastAsia="Arial" w:hAnsi="Arial"/>
                <w:sz w:val="14"/>
                <w:szCs w:val="14"/>
                <w:color w:val="auto"/>
              </w:rPr>
              <w:t xml:space="preserve"> W</w:t>
            </w:r>
            <w:r>
              <w:rPr>
                <w:rFonts w:ascii="Arial" w:cs="Arial" w:eastAsia="Arial" w:hAnsi="Arial"/>
                <w:sz w:val="11"/>
                <w:szCs w:val="11"/>
                <w:color w:val="auto"/>
              </w:rPr>
              <w:t>AREHOUSE</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05/28/2013</w:t>
            </w: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RETAIL STORE</w:t>
            </w:r>
          </w:p>
        </w:tc>
        <w:tc>
          <w:tcPr>
            <w:tcW w:w="11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7.32%</w:t>
            </w:r>
          </w:p>
        </w:tc>
        <w:tc>
          <w:tcPr>
            <w:tcW w:w="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L+225</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7,896,473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7,887,934</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6,931,350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HARTER</w:t>
            </w:r>
            <w:r>
              <w:rPr>
                <w:rFonts w:ascii="Arial" w:cs="Arial" w:eastAsia="Arial" w:hAnsi="Arial"/>
                <w:sz w:val="14"/>
                <w:szCs w:val="14"/>
                <w:color w:val="auto"/>
              </w:rPr>
              <w:t xml:space="preserve"> C</w:t>
            </w:r>
            <w:r>
              <w:rPr>
                <w:rFonts w:ascii="Arial" w:cs="Arial" w:eastAsia="Arial" w:hAnsi="Arial"/>
                <w:sz w:val="11"/>
                <w:szCs w:val="11"/>
                <w:color w:val="auto"/>
              </w:rPr>
              <w:t>OMMUNICATIONS</w:t>
            </w:r>
            <w:r>
              <w:rPr>
                <w:rFonts w:ascii="Arial" w:cs="Arial" w:eastAsia="Arial" w:hAnsi="Arial"/>
                <w:sz w:val="14"/>
                <w:szCs w:val="14"/>
                <w:color w:val="auto"/>
              </w:rPr>
              <w:t xml:space="preserve"> O</w:t>
            </w:r>
            <w:r>
              <w:rPr>
                <w:rFonts w:ascii="Arial" w:cs="Arial" w:eastAsia="Arial" w:hAnsi="Arial"/>
                <w:sz w:val="11"/>
                <w:szCs w:val="11"/>
                <w:color w:val="auto"/>
              </w:rPr>
              <w:t>PERATING</w:t>
            </w:r>
            <w:r>
              <w:rPr>
                <w:rFonts w:ascii="Arial" w:cs="Arial" w:eastAsia="Arial" w:hAnsi="Arial"/>
                <w:sz w:val="14"/>
                <w:szCs w:val="14"/>
                <w:color w:val="auto"/>
              </w:rPr>
              <w:t>, L.L.C.</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03/06/2014</w:t>
            </w: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6"/>
              </w:rPr>
              <w:t>CABLE TELEVISION</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6.99%</w:t>
            </w:r>
          </w:p>
        </w:tc>
        <w:tc>
          <w:tcPr>
            <w:tcW w:w="7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L+200</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15,000,000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14,993,023</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14,001,930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OHR</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3"/>
              </w:rPr>
              <w:t>HEALTHCARE,</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01/31/2013</w:t>
            </w: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EDUCATION &amp;</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7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9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CHILDCARE</w:t>
            </w:r>
          </w:p>
        </w:tc>
        <w:tc>
          <w:tcPr>
            <w:tcW w:w="116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7.58%</w:t>
            </w:r>
          </w:p>
        </w:tc>
        <w:tc>
          <w:tcPr>
            <w:tcW w:w="78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L+250</w:t>
            </w:r>
          </w:p>
        </w:tc>
        <w:tc>
          <w:tcPr>
            <w:tcW w:w="9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2,977,500</w:t>
            </w:r>
          </w:p>
        </w:tc>
        <w:tc>
          <w:tcPr>
            <w:tcW w:w="9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2,977,500</w:t>
            </w:r>
          </w:p>
        </w:tc>
        <w:tc>
          <w:tcPr>
            <w:tcW w:w="10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2,084,250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ATEHOUSE</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xml:space="preserve"> O</w:t>
            </w:r>
            <w:r>
              <w:rPr>
                <w:rFonts w:ascii="Arial" w:cs="Arial" w:eastAsia="Arial" w:hAnsi="Arial"/>
                <w:sz w:val="11"/>
                <w:szCs w:val="11"/>
                <w:color w:val="auto"/>
              </w:rPr>
              <w:t>PERATING</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08/28/2014</w:t>
            </w: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9"/>
              </w:rPr>
              <w:t>MEDIA</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7.12%</w:t>
            </w:r>
          </w:p>
        </w:tc>
        <w:tc>
          <w:tcPr>
            <w:tcW w:w="7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L+200</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7,000,000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7,000,000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5,957,000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ENERAL</w:t>
            </w:r>
            <w:r>
              <w:rPr>
                <w:rFonts w:ascii="Arial" w:cs="Arial" w:eastAsia="Arial" w:hAnsi="Arial"/>
                <w:sz w:val="14"/>
                <w:szCs w:val="14"/>
                <w:color w:val="auto"/>
              </w:rPr>
              <w:t xml:space="preserve"> N</w:t>
            </w:r>
            <w:r>
              <w:rPr>
                <w:rFonts w:ascii="Arial" w:cs="Arial" w:eastAsia="Arial" w:hAnsi="Arial"/>
                <w:sz w:val="11"/>
                <w:szCs w:val="11"/>
                <w:color w:val="auto"/>
              </w:rPr>
              <w:t>UTRITION</w:t>
            </w:r>
            <w:r>
              <w:rPr>
                <w:rFonts w:ascii="Arial" w:cs="Arial" w:eastAsia="Arial" w:hAnsi="Arial"/>
                <w:sz w:val="14"/>
                <w:szCs w:val="14"/>
                <w:color w:val="auto"/>
              </w:rPr>
              <w:t xml:space="preserve"> C</w:t>
            </w:r>
            <w:r>
              <w:rPr>
                <w:rFonts w:ascii="Arial" w:cs="Arial" w:eastAsia="Arial" w:hAnsi="Arial"/>
                <w:sz w:val="11"/>
                <w:szCs w:val="11"/>
                <w:color w:val="auto"/>
              </w:rPr>
              <w:t>ENTERS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09/16/2013</w:t>
            </w: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RETAIL STORE</w:t>
            </w:r>
          </w:p>
        </w:tc>
        <w:tc>
          <w:tcPr>
            <w:tcW w:w="11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7.26%</w:t>
            </w:r>
          </w:p>
        </w:tc>
        <w:tc>
          <w:tcPr>
            <w:tcW w:w="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L+225</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6,451,250</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6,455,120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5,889,991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REATWIDE</w:t>
            </w:r>
            <w:r>
              <w:rPr>
                <w:rFonts w:ascii="Arial" w:cs="Arial" w:eastAsia="Arial" w:hAnsi="Arial"/>
                <w:sz w:val="14"/>
                <w:szCs w:val="14"/>
                <w:color w:val="auto"/>
              </w:rPr>
              <w:t xml:space="preserve"> L</w:t>
            </w:r>
            <w:r>
              <w:rPr>
                <w:rFonts w:ascii="Arial" w:cs="Arial" w:eastAsia="Arial" w:hAnsi="Arial"/>
                <w:sz w:val="11"/>
                <w:szCs w:val="11"/>
                <w:color w:val="auto"/>
              </w:rPr>
              <w:t>OGISTICS</w:t>
            </w:r>
            <w:r>
              <w:rPr>
                <w:rFonts w:ascii="Arial" w:cs="Arial" w:eastAsia="Arial" w:hAnsi="Arial"/>
                <w:sz w:val="14"/>
                <w:szCs w:val="14"/>
                <w:color w:val="auto"/>
              </w:rPr>
              <w:t xml:space="preserve"> S</w:t>
            </w:r>
            <w:r>
              <w:rPr>
                <w:rFonts w:ascii="Arial" w:cs="Arial" w:eastAsia="Arial" w:hAnsi="Arial"/>
                <w:sz w:val="11"/>
                <w:szCs w:val="11"/>
                <w:color w:val="auto"/>
              </w:rPr>
              <w:t>ERVICES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12/19/2013</w:t>
            </w: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0"/>
              </w:rPr>
              <w:t>CARGO TRANSPORT</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8.33%</w:t>
            </w:r>
          </w:p>
        </w:tc>
        <w:tc>
          <w:tcPr>
            <w:tcW w:w="7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L+350</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6,930,000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6,930,000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5,725,913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ANLEY</w:t>
            </w:r>
            <w:r>
              <w:rPr>
                <w:rFonts w:ascii="Arial" w:cs="Arial" w:eastAsia="Arial" w:hAnsi="Arial"/>
                <w:sz w:val="14"/>
                <w:szCs w:val="14"/>
                <w:color w:val="auto"/>
              </w:rPr>
              <w:t>-W</w:t>
            </w:r>
            <w:r>
              <w:rPr>
                <w:rFonts w:ascii="Arial" w:cs="Arial" w:eastAsia="Arial" w:hAnsi="Arial"/>
                <w:sz w:val="11"/>
                <w:szCs w:val="11"/>
                <w:color w:val="auto"/>
              </w:rPr>
              <w:t>OOD</w:t>
            </w:r>
            <w:r>
              <w:rPr>
                <w:rFonts w:ascii="Arial" w:cs="Arial" w:eastAsia="Arial" w:hAnsi="Arial"/>
                <w:sz w:val="14"/>
                <w:szCs w:val="14"/>
                <w:color w:val="auto"/>
              </w:rPr>
              <w:t>, L.L.C.</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03/08/2014</w:t>
            </w: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11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7.48%</w:t>
            </w:r>
          </w:p>
        </w:tc>
        <w:tc>
          <w:tcPr>
            <w:tcW w:w="7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L+225</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8,955,000</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8,955,000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7,141,613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AWKER</w:t>
            </w:r>
            <w:r>
              <w:rPr>
                <w:rFonts w:ascii="Arial" w:cs="Arial" w:eastAsia="Arial" w:hAnsi="Arial"/>
                <w:sz w:val="14"/>
                <w:szCs w:val="14"/>
                <w:color w:val="auto"/>
              </w:rPr>
              <w:t xml:space="preserve"> B</w:t>
            </w:r>
            <w:r>
              <w:rPr>
                <w:rFonts w:ascii="Arial" w:cs="Arial" w:eastAsia="Arial" w:hAnsi="Arial"/>
                <w:sz w:val="11"/>
                <w:szCs w:val="11"/>
                <w:color w:val="auto"/>
              </w:rPr>
              <w:t>EECHCRAFT</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03/28/2014</w:t>
            </w: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90"/>
              </w:rPr>
              <w:t>AEROSPACE &amp; DEFENSE</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6.78%</w:t>
            </w:r>
          </w:p>
        </w:tc>
        <w:tc>
          <w:tcPr>
            <w:tcW w:w="7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L+200</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1,986,170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1,986,170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1,884,379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EALTH</w:t>
            </w:r>
            <w:r>
              <w:rPr>
                <w:rFonts w:ascii="Arial" w:cs="Arial" w:eastAsia="Arial" w:hAnsi="Arial"/>
                <w:sz w:val="14"/>
                <w:szCs w:val="14"/>
                <w:color w:val="auto"/>
              </w:rPr>
              <w:t xml:space="preserve"> M</w:t>
            </w:r>
            <w:r>
              <w:rPr>
                <w:rFonts w:ascii="Arial" w:cs="Arial" w:eastAsia="Arial" w:hAnsi="Arial"/>
                <w:sz w:val="11"/>
                <w:szCs w:val="11"/>
                <w:color w:val="auto"/>
              </w:rPr>
              <w:t>ANAGEMENT</w:t>
            </w:r>
            <w:r>
              <w:rPr>
                <w:rFonts w:ascii="Arial" w:cs="Arial" w:eastAsia="Arial" w:hAnsi="Arial"/>
                <w:sz w:val="14"/>
                <w:szCs w:val="14"/>
                <w:color w:val="auto"/>
              </w:rPr>
              <w:t xml:space="preserve"> A</w:t>
            </w:r>
            <w:r>
              <w:rPr>
                <w:rFonts w:ascii="Arial" w:cs="Arial" w:eastAsia="Arial" w:hAnsi="Arial"/>
                <w:sz w:val="11"/>
                <w:szCs w:val="11"/>
                <w:color w:val="auto"/>
              </w:rPr>
              <w:t>SSOCIATES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3"/>
              </w:rPr>
              <w:t>HEALTHCARE,</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02/28/2014</w:t>
            </w: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EDUCATION &amp;</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7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9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CHILDCARE</w:t>
            </w:r>
          </w:p>
        </w:tc>
        <w:tc>
          <w:tcPr>
            <w:tcW w:w="116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6.58%</w:t>
            </w:r>
          </w:p>
        </w:tc>
        <w:tc>
          <w:tcPr>
            <w:tcW w:w="78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L+175</w:t>
            </w:r>
          </w:p>
        </w:tc>
        <w:tc>
          <w:tcPr>
            <w:tcW w:w="9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9,925,000</w:t>
            </w:r>
          </w:p>
        </w:tc>
        <w:tc>
          <w:tcPr>
            <w:tcW w:w="9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9,925,000</w:t>
            </w:r>
          </w:p>
        </w:tc>
        <w:tc>
          <w:tcPr>
            <w:tcW w:w="10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9,241,277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gridSpan w:val="2"/>
          </w:tcPr>
          <w:p>
            <w:pPr>
              <w:spacing w:after="0"/>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UGHES</w:t>
            </w:r>
            <w:r>
              <w:rPr>
                <w:rFonts w:ascii="Arial" w:cs="Arial" w:eastAsia="Arial" w:hAnsi="Arial"/>
                <w:sz w:val="14"/>
                <w:szCs w:val="14"/>
                <w:color w:val="auto"/>
              </w:rPr>
              <w:t xml:space="preserve"> N</w:t>
            </w:r>
            <w:r>
              <w:rPr>
                <w:rFonts w:ascii="Arial" w:cs="Arial" w:eastAsia="Arial" w:hAnsi="Arial"/>
                <w:sz w:val="11"/>
                <w:szCs w:val="11"/>
                <w:color w:val="auto"/>
              </w:rPr>
              <w:t>ETWORK</w:t>
            </w:r>
            <w:r>
              <w:rPr>
                <w:rFonts w:ascii="Arial" w:cs="Arial" w:eastAsia="Arial" w:hAnsi="Arial"/>
                <w:sz w:val="14"/>
                <w:szCs w:val="14"/>
                <w:color w:val="auto"/>
              </w:rPr>
              <w:t xml:space="preserve"> S</w:t>
            </w:r>
            <w:r>
              <w:rPr>
                <w:rFonts w:ascii="Arial" w:cs="Arial" w:eastAsia="Arial" w:hAnsi="Arial"/>
                <w:sz w:val="11"/>
                <w:szCs w:val="11"/>
                <w:color w:val="auto"/>
              </w:rPr>
              <w:t>YSTEMS</w:t>
            </w:r>
            <w:r>
              <w:rPr>
                <w:rFonts w:ascii="Arial" w:cs="Arial" w:eastAsia="Arial" w:hAnsi="Arial"/>
                <w:sz w:val="14"/>
                <w:szCs w:val="14"/>
                <w:color w:val="auto"/>
              </w:rPr>
              <w:t>, L.L.C.</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04/15/2014</w:t>
            </w:r>
          </w:p>
        </w:tc>
        <w:tc>
          <w:tcPr>
            <w:tcW w:w="1920" w:type="dxa"/>
            <w:vAlign w:val="bottom"/>
          </w:tcPr>
          <w:p>
            <w:pPr>
              <w:jc w:val="center"/>
              <w:spacing w:after="0"/>
              <w:rPr>
                <w:sz w:val="20"/>
                <w:szCs w:val="20"/>
                <w:color w:val="auto"/>
              </w:rPr>
            </w:pPr>
            <w:r>
              <w:rPr>
                <w:rFonts w:ascii="Arial" w:cs="Arial" w:eastAsia="Arial" w:hAnsi="Arial"/>
                <w:sz w:val="14"/>
                <w:szCs w:val="14"/>
                <w:color w:val="auto"/>
                <w:w w:val="94"/>
              </w:rPr>
              <w:t>TELECOMMUNICATIONS</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7.56%</w:t>
            </w:r>
          </w:p>
        </w:tc>
        <w:tc>
          <w:tcPr>
            <w:tcW w:w="780" w:type="dxa"/>
            <w:vAlign w:val="bottom"/>
            <w:gridSpan w:val="2"/>
          </w:tcPr>
          <w:p>
            <w:pPr>
              <w:ind w:left="220"/>
              <w:spacing w:after="0"/>
              <w:rPr>
                <w:sz w:val="20"/>
                <w:szCs w:val="20"/>
                <w:color w:val="auto"/>
              </w:rPr>
            </w:pPr>
            <w:r>
              <w:rPr>
                <w:rFonts w:ascii="Arial" w:cs="Arial" w:eastAsia="Arial" w:hAnsi="Arial"/>
                <w:sz w:val="14"/>
                <w:szCs w:val="14"/>
                <w:color w:val="auto"/>
              </w:rPr>
              <w:t>L+250</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5,000,000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5,000,000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4,425,000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274" w:right="239" w:bottom="1440" w:gutter="0" w:footer="0" w:header="0"/>
        </w:sectPr>
      </w:pPr>
    </w:p>
    <w:bookmarkStart w:id="142" w:name="page143"/>
    <w:bookmarkEnd w:id="1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Issuer name</w:t>
      </w:r>
      <w:r>
        <w:rPr>
          <w:rFonts w:ascii="Arial" w:cs="Arial" w:eastAsia="Arial" w:hAnsi="Arial"/>
          <w:sz w:val="22"/>
          <w:szCs w:val="22"/>
          <w:b w:val="1"/>
          <w:bCs w:val="1"/>
          <w:u w:val="single" w:color="auto"/>
          <w:color w:val="auto"/>
          <w:vertAlign w:val="superscript"/>
        </w:rPr>
        <w:t>(1)</w:t>
      </w:r>
    </w:p>
    <w:p>
      <w:pPr>
        <w:spacing w:after="0"/>
        <w:rPr>
          <w:sz w:val="20"/>
          <w:szCs w:val="20"/>
          <w:color w:val="auto"/>
        </w:rPr>
      </w:pPr>
      <w:r>
        <w:rPr>
          <w:rFonts w:ascii="Arial" w:cs="Arial" w:eastAsia="Arial" w:hAnsi="Arial"/>
          <w:sz w:val="12"/>
          <w:szCs w:val="12"/>
          <w:b w:val="1"/>
          <w:bCs w:val="1"/>
          <w:color w:val="auto"/>
        </w:rPr>
        <w:t>First Lien secured Debt—(continued)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J</w:t>
      </w:r>
      <w:r>
        <w:rPr>
          <w:rFonts w:ascii="Arial" w:cs="Arial" w:eastAsia="Arial" w:hAnsi="Arial"/>
          <w:sz w:val="11"/>
          <w:szCs w:val="11"/>
          <w:color w:val="auto"/>
        </w:rPr>
        <w:t>ACUZZI</w:t>
      </w:r>
      <w:r>
        <w:rPr>
          <w:rFonts w:ascii="Arial" w:cs="Arial" w:eastAsia="Arial" w:hAnsi="Arial"/>
          <w:sz w:val="14"/>
          <w:szCs w:val="14"/>
          <w:color w:val="auto"/>
        </w:rPr>
        <w:t xml:space="preserve"> B</w:t>
      </w:r>
      <w:r>
        <w:rPr>
          <w:rFonts w:ascii="Arial" w:cs="Arial" w:eastAsia="Arial" w:hAnsi="Arial"/>
          <w:sz w:val="11"/>
          <w:szCs w:val="11"/>
          <w:color w:val="auto"/>
        </w:rPr>
        <w:t>RANDS</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EVLAD</w:t>
      </w:r>
      <w:r>
        <w:rPr>
          <w:rFonts w:ascii="Arial" w:cs="Arial" w:eastAsia="Arial" w:hAnsi="Arial"/>
          <w:sz w:val="14"/>
          <w:szCs w:val="14"/>
          <w:color w:val="auto"/>
        </w:rPr>
        <w:t>, L.L.C.</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ONGVIEW</w:t>
      </w:r>
      <w:r>
        <w:rPr>
          <w:rFonts w:ascii="Arial" w:cs="Arial" w:eastAsia="Arial" w:hAnsi="Arial"/>
          <w:sz w:val="14"/>
          <w:szCs w:val="14"/>
          <w:color w:val="auto"/>
        </w:rPr>
        <w:t xml:space="preserve"> P</w:t>
      </w:r>
      <w:r>
        <w:rPr>
          <w:rFonts w:ascii="Arial" w:cs="Arial" w:eastAsia="Arial" w:hAnsi="Arial"/>
          <w:sz w:val="11"/>
          <w:szCs w:val="11"/>
          <w:color w:val="auto"/>
        </w:rPr>
        <w:t>OWER</w:t>
      </w:r>
      <w:r>
        <w:rPr>
          <w:rFonts w:ascii="Arial" w:cs="Arial" w:eastAsia="Arial" w:hAnsi="Arial"/>
          <w:sz w:val="14"/>
          <w:szCs w:val="14"/>
          <w:color w:val="auto"/>
        </w:rPr>
        <w:t>, L.L.C.</w:t>
      </w:r>
    </w:p>
    <w:p>
      <w:pPr>
        <w:spacing w:after="0" w:line="181" w:lineRule="auto"/>
        <w:rPr>
          <w:sz w:val="20"/>
          <w:szCs w:val="20"/>
          <w:color w:val="auto"/>
        </w:rPr>
      </w:pPr>
      <w:r>
        <w:rPr>
          <w:rFonts w:ascii="Arial" w:cs="Arial" w:eastAsia="Arial" w:hAnsi="Arial"/>
          <w:sz w:val="13"/>
          <w:szCs w:val="13"/>
          <w:color w:val="auto"/>
        </w:rPr>
        <w:t>L</w:t>
      </w:r>
      <w:r>
        <w:rPr>
          <w:rFonts w:ascii="Arial" w:cs="Arial" w:eastAsia="Arial" w:hAnsi="Arial"/>
          <w:sz w:val="11"/>
          <w:szCs w:val="11"/>
          <w:color w:val="auto"/>
        </w:rPr>
        <w:t>ONGVIEW</w:t>
      </w:r>
      <w:r>
        <w:rPr>
          <w:rFonts w:ascii="Arial" w:cs="Arial" w:eastAsia="Arial" w:hAnsi="Arial"/>
          <w:sz w:val="13"/>
          <w:szCs w:val="13"/>
          <w:color w:val="auto"/>
        </w:rPr>
        <w:t xml:space="preserve"> P</w:t>
      </w:r>
      <w:r>
        <w:rPr>
          <w:rFonts w:ascii="Arial" w:cs="Arial" w:eastAsia="Arial" w:hAnsi="Arial"/>
          <w:sz w:val="11"/>
          <w:szCs w:val="11"/>
          <w:color w:val="auto"/>
        </w:rPr>
        <w:t>OWER</w:t>
      </w:r>
      <w:r>
        <w:rPr>
          <w:rFonts w:ascii="Arial" w:cs="Arial" w:eastAsia="Arial" w:hAnsi="Arial"/>
          <w:sz w:val="13"/>
          <w:szCs w:val="13"/>
          <w:color w:val="auto"/>
        </w:rPr>
        <w:t xml:space="preserve">, L.L.C. </w:t>
      </w:r>
      <w:r>
        <w:rPr>
          <w:rFonts w:ascii="Arial" w:cs="Arial" w:eastAsia="Arial" w:hAnsi="Arial"/>
          <w:sz w:val="21"/>
          <w:szCs w:val="21"/>
          <w:color w:val="auto"/>
          <w:vertAlign w:val="superscript"/>
        </w:rPr>
        <w:t>(4)</w:t>
      </w:r>
    </w:p>
    <w:p>
      <w:pPr>
        <w:spacing w:after="0" w:line="222" w:lineRule="auto"/>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ACH</w:t>
      </w:r>
      <w:r>
        <w:rPr>
          <w:rFonts w:ascii="Arial" w:cs="Arial" w:eastAsia="Arial" w:hAnsi="Arial"/>
          <w:sz w:val="14"/>
          <w:szCs w:val="14"/>
          <w:color w:val="auto"/>
        </w:rPr>
        <w:t xml:space="preserve"> G</w:t>
      </w:r>
      <w:r>
        <w:rPr>
          <w:rFonts w:ascii="Arial" w:cs="Arial" w:eastAsia="Arial" w:hAnsi="Arial"/>
          <w:sz w:val="11"/>
          <w:szCs w:val="11"/>
          <w:color w:val="auto"/>
        </w:rPr>
        <w:t>EN</w:t>
      </w:r>
      <w:r>
        <w:rPr>
          <w:rFonts w:ascii="Arial" w:cs="Arial" w:eastAsia="Arial" w:hAnsi="Arial"/>
          <w:sz w:val="14"/>
          <w:szCs w:val="14"/>
          <w:color w:val="auto"/>
        </w:rPr>
        <w:t>, L.L.C.</w:t>
      </w:r>
    </w:p>
    <w:p>
      <w:pPr>
        <w:spacing w:after="0"/>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ATTRESS</w:t>
      </w:r>
      <w:r>
        <w:rPr>
          <w:rFonts w:ascii="Arial" w:cs="Arial" w:eastAsia="Arial" w:hAnsi="Arial"/>
          <w:sz w:val="14"/>
          <w:szCs w:val="14"/>
          <w:color w:val="auto"/>
        </w:rPr>
        <w:t xml:space="preserve"> H</w:t>
      </w:r>
      <w:r>
        <w:rPr>
          <w:rFonts w:ascii="Arial" w:cs="Arial" w:eastAsia="Arial" w:hAnsi="Arial"/>
          <w:sz w:val="11"/>
          <w:szCs w:val="11"/>
          <w:color w:val="auto"/>
        </w:rPr>
        <w:t>OLDING</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ITCHELL</w:t>
      </w:r>
      <w:r>
        <w:rPr>
          <w:rFonts w:ascii="Arial" w:cs="Arial" w:eastAsia="Arial" w:hAnsi="Arial"/>
          <w:sz w:val="14"/>
          <w:szCs w:val="14"/>
          <w:color w:val="auto"/>
        </w:rPr>
        <w:t xml:space="preserve"> I</w:t>
      </w:r>
      <w:r>
        <w:rPr>
          <w:rFonts w:ascii="Arial" w:cs="Arial" w:eastAsia="Arial" w:hAnsi="Arial"/>
          <w:sz w:val="11"/>
          <w:szCs w:val="11"/>
          <w:color w:val="auto"/>
        </w:rPr>
        <w:t>NTERNATIONAL</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w:t>
      </w:r>
      <w:r>
        <w:rPr>
          <w:rFonts w:ascii="Arial" w:cs="Arial" w:eastAsia="Arial" w:hAnsi="Arial"/>
          <w:sz w:val="11"/>
          <w:szCs w:val="11"/>
          <w:color w:val="auto"/>
        </w:rPr>
        <w:t>ATIONAL</w:t>
      </w:r>
      <w:r>
        <w:rPr>
          <w:rFonts w:ascii="Arial" w:cs="Arial" w:eastAsia="Arial" w:hAnsi="Arial"/>
          <w:sz w:val="14"/>
          <w:szCs w:val="14"/>
          <w:color w:val="auto"/>
        </w:rPr>
        <w:t xml:space="preserve"> B</w:t>
      </w:r>
      <w:r>
        <w:rPr>
          <w:rFonts w:ascii="Arial" w:cs="Arial" w:eastAsia="Arial" w:hAnsi="Arial"/>
          <w:sz w:val="11"/>
          <w:szCs w:val="11"/>
          <w:color w:val="auto"/>
        </w:rPr>
        <w:t>EDDING</w:t>
      </w:r>
      <w:r>
        <w:rPr>
          <w:rFonts w:ascii="Arial" w:cs="Arial" w:eastAsia="Arial" w:hAnsi="Arial"/>
          <w:sz w:val="14"/>
          <w:szCs w:val="14"/>
          <w:color w:val="auto"/>
        </w:rPr>
        <w:t xml:space="preserve"> C</w:t>
      </w:r>
      <w:r>
        <w:rPr>
          <w:rFonts w:ascii="Arial" w:cs="Arial" w:eastAsia="Arial" w:hAnsi="Arial"/>
          <w:sz w:val="11"/>
          <w:szCs w:val="11"/>
          <w:color w:val="auto"/>
        </w:rPr>
        <w:t>O</w:t>
      </w:r>
      <w:r>
        <w:rPr>
          <w:rFonts w:ascii="Arial" w:cs="Arial" w:eastAsia="Arial" w:hAnsi="Arial"/>
          <w:sz w:val="14"/>
          <w:szCs w:val="14"/>
          <w:color w:val="auto"/>
        </w:rPr>
        <w:t>., L.L.C.</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ENTON</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p>
      <w:pPr>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HILOSOPHY</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Q</w:t>
      </w:r>
      <w:r>
        <w:rPr>
          <w:rFonts w:ascii="Arial" w:cs="Arial" w:eastAsia="Arial" w:hAnsi="Arial"/>
          <w:sz w:val="11"/>
          <w:szCs w:val="11"/>
          <w:color w:val="auto"/>
        </w:rPr>
        <w:t>UESTEX</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p>
      <w:pPr>
        <w:spacing w:after="0"/>
        <w:rPr>
          <w:sz w:val="20"/>
          <w:szCs w:val="20"/>
          <w:color w:val="auto"/>
        </w:rPr>
      </w:pPr>
      <w:r>
        <w:rPr>
          <w:rFonts w:ascii="Arial" w:cs="Arial" w:eastAsia="Arial" w:hAnsi="Arial"/>
          <w:sz w:val="12"/>
          <w:szCs w:val="12"/>
          <w:color w:val="auto"/>
        </w:rPr>
        <w:t>R</w:t>
      </w:r>
      <w:r>
        <w:rPr>
          <w:rFonts w:ascii="Arial" w:cs="Arial" w:eastAsia="Arial" w:hAnsi="Arial"/>
          <w:sz w:val="10"/>
          <w:szCs w:val="10"/>
          <w:color w:val="auto"/>
        </w:rPr>
        <w:t>EADER</w:t>
      </w:r>
      <w:r>
        <w:rPr>
          <w:rFonts w:ascii="Arial" w:cs="Arial" w:eastAsia="Arial" w:hAnsi="Arial"/>
          <w:sz w:val="12"/>
          <w:szCs w:val="12"/>
          <w:color w:val="auto"/>
        </w:rPr>
        <w:t>’</w:t>
      </w:r>
      <w:r>
        <w:rPr>
          <w:rFonts w:ascii="Arial" w:cs="Arial" w:eastAsia="Arial" w:hAnsi="Arial"/>
          <w:sz w:val="10"/>
          <w:szCs w:val="10"/>
          <w:color w:val="auto"/>
        </w:rPr>
        <w:t>S</w:t>
      </w:r>
      <w:r>
        <w:rPr>
          <w:rFonts w:ascii="Arial" w:cs="Arial" w:eastAsia="Arial" w:hAnsi="Arial"/>
          <w:sz w:val="12"/>
          <w:szCs w:val="12"/>
          <w:color w:val="auto"/>
        </w:rPr>
        <w:t xml:space="preserve"> D</w:t>
      </w:r>
      <w:r>
        <w:rPr>
          <w:rFonts w:ascii="Arial" w:cs="Arial" w:eastAsia="Arial" w:hAnsi="Arial"/>
          <w:sz w:val="10"/>
          <w:szCs w:val="10"/>
          <w:color w:val="auto"/>
        </w:rPr>
        <w:t>IGEST</w:t>
      </w:r>
      <w:r>
        <w:rPr>
          <w:rFonts w:ascii="Arial" w:cs="Arial" w:eastAsia="Arial" w:hAnsi="Arial"/>
          <w:sz w:val="12"/>
          <w:szCs w:val="12"/>
          <w:color w:val="auto"/>
        </w:rPr>
        <w:t xml:space="preserve"> A</w:t>
      </w:r>
      <w:r>
        <w:rPr>
          <w:rFonts w:ascii="Arial" w:cs="Arial" w:eastAsia="Arial" w:hAnsi="Arial"/>
          <w:sz w:val="10"/>
          <w:szCs w:val="10"/>
          <w:color w:val="auto"/>
        </w:rPr>
        <w:t>SSOCIATION</w:t>
      </w:r>
      <w:r>
        <w:rPr>
          <w:rFonts w:ascii="Arial" w:cs="Arial" w:eastAsia="Arial" w:hAnsi="Arial"/>
          <w:sz w:val="12"/>
          <w:szCs w:val="12"/>
          <w:color w:val="auto"/>
        </w:rPr>
        <w:t>, I</w:t>
      </w:r>
      <w:r>
        <w:rPr>
          <w:rFonts w:ascii="Arial" w:cs="Arial" w:eastAsia="Arial" w:hAnsi="Arial"/>
          <w:sz w:val="10"/>
          <w:szCs w:val="10"/>
          <w:color w:val="auto"/>
        </w:rPr>
        <w:t>NC</w:t>
      </w:r>
      <w:r>
        <w:rPr>
          <w:rFonts w:ascii="Arial" w:cs="Arial" w:eastAsia="Arial" w:hAnsi="Arial"/>
          <w:sz w:val="12"/>
          <w:szCs w:val="12"/>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EXNORD</w:t>
      </w:r>
      <w:r>
        <w:rPr>
          <w:rFonts w:ascii="Arial" w:cs="Arial" w:eastAsia="Arial" w:hAnsi="Arial"/>
          <w:sz w:val="14"/>
          <w:szCs w:val="14"/>
          <w:color w:val="auto"/>
        </w:rPr>
        <w:t>, L.L.C.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ITEL</w:t>
      </w:r>
      <w:r>
        <w:rPr>
          <w:rFonts w:ascii="Arial" w:cs="Arial" w:eastAsia="Arial" w:hAnsi="Arial"/>
          <w:sz w:val="14"/>
          <w:szCs w:val="14"/>
          <w:color w:val="auto"/>
        </w:rPr>
        <w:t>, L.L.C.</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U</w:t>
      </w:r>
      <w:r>
        <w:rPr>
          <w:rFonts w:ascii="Arial" w:cs="Arial" w:eastAsia="Arial" w:hAnsi="Arial"/>
          <w:sz w:val="11"/>
          <w:szCs w:val="11"/>
          <w:color w:val="auto"/>
        </w:rPr>
        <w:t>NIVISION</w:t>
      </w:r>
      <w:r>
        <w:rPr>
          <w:rFonts w:ascii="Arial" w:cs="Arial" w:eastAsia="Arial" w:hAnsi="Arial"/>
          <w:sz w:val="14"/>
          <w:szCs w:val="14"/>
          <w:color w:val="auto"/>
        </w:rPr>
        <w:t xml:space="preserve"> C</w:t>
      </w:r>
      <w:r>
        <w:rPr>
          <w:rFonts w:ascii="Arial" w:cs="Arial" w:eastAsia="Arial" w:hAnsi="Arial"/>
          <w:sz w:val="11"/>
          <w:szCs w:val="11"/>
          <w:color w:val="auto"/>
        </w:rPr>
        <w:t>OMMUNICATIONS</w:t>
      </w:r>
      <w:r>
        <w:rPr>
          <w:rFonts w:ascii="Arial" w:cs="Arial" w:eastAsia="Arial" w:hAnsi="Arial"/>
          <w:sz w:val="14"/>
          <w:szCs w:val="14"/>
          <w:color w:val="auto"/>
        </w:rPr>
        <w:t xml:space="preserve"> I</w:t>
      </w:r>
      <w:r>
        <w:rPr>
          <w:rFonts w:ascii="Arial" w:cs="Arial" w:eastAsia="Arial" w:hAnsi="Arial"/>
          <w:sz w:val="11"/>
          <w:szCs w:val="11"/>
          <w:color w:val="auto"/>
        </w:rPr>
        <w:t>NC</w:t>
      </w:r>
      <w:r>
        <w:rPr>
          <w:rFonts w:ascii="Arial" w:cs="Arial" w:eastAsia="Arial" w:hAnsi="Arial"/>
          <w:sz w:val="14"/>
          <w:szCs w:val="14"/>
          <w:color w:val="auto"/>
        </w:rPr>
        <w:t>.</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U</w:t>
      </w:r>
      <w:r>
        <w:rPr>
          <w:rFonts w:ascii="Arial" w:cs="Arial" w:eastAsia="Arial" w:hAnsi="Arial"/>
          <w:sz w:val="11"/>
          <w:szCs w:val="11"/>
          <w:color w:val="auto"/>
        </w:rPr>
        <w:t>NIVISION</w:t>
      </w:r>
      <w:r>
        <w:rPr>
          <w:rFonts w:ascii="Arial" w:cs="Arial" w:eastAsia="Arial" w:hAnsi="Arial"/>
          <w:sz w:val="14"/>
          <w:szCs w:val="14"/>
          <w:color w:val="auto"/>
        </w:rPr>
        <w:t xml:space="preserve"> C</w:t>
      </w:r>
      <w:r>
        <w:rPr>
          <w:rFonts w:ascii="Arial" w:cs="Arial" w:eastAsia="Arial" w:hAnsi="Arial"/>
          <w:sz w:val="11"/>
          <w:szCs w:val="11"/>
          <w:color w:val="auto"/>
        </w:rPr>
        <w:t>OMMUNICATIONS</w:t>
      </w:r>
      <w:r>
        <w:rPr>
          <w:rFonts w:ascii="Arial" w:cs="Arial" w:eastAsia="Arial" w:hAnsi="Arial"/>
          <w:sz w:val="14"/>
          <w:szCs w:val="14"/>
          <w:color w:val="auto"/>
        </w:rPr>
        <w:t xml:space="preserve"> I</w:t>
      </w:r>
      <w:r>
        <w:rPr>
          <w:rFonts w:ascii="Arial" w:cs="Arial" w:eastAsia="Arial" w:hAnsi="Arial"/>
          <w:sz w:val="11"/>
          <w:szCs w:val="11"/>
          <w:color w:val="auto"/>
        </w:rPr>
        <w:t>NC</w:t>
      </w:r>
      <w:r>
        <w:rPr>
          <w:rFonts w:ascii="Arial" w:cs="Arial" w:eastAsia="Arial" w:hAnsi="Arial"/>
          <w:sz w:val="14"/>
          <w:szCs w:val="14"/>
          <w:color w:val="auto"/>
        </w:rPr>
        <w:t>.</w:t>
      </w:r>
      <w:r>
        <w:rPr>
          <w:rFonts w:ascii="Arial" w:cs="Arial" w:eastAsia="Arial" w:hAnsi="Arial"/>
          <w:sz w:val="22"/>
          <w:szCs w:val="22"/>
          <w:color w:val="auto"/>
          <w:vertAlign w:val="superscript"/>
        </w:rPr>
        <w:t>(4)</w:t>
      </w:r>
    </w:p>
    <w:p>
      <w:pPr>
        <w:spacing w:after="0" w:line="209" w:lineRule="auto"/>
        <w:rPr>
          <w:sz w:val="20"/>
          <w:szCs w:val="20"/>
          <w:color w:val="auto"/>
        </w:rPr>
      </w:pPr>
      <w:r>
        <w:rPr>
          <w:rFonts w:ascii="Arial" w:cs="Arial" w:eastAsia="Arial" w:hAnsi="Arial"/>
          <w:sz w:val="14"/>
          <w:szCs w:val="14"/>
          <w:color w:val="auto"/>
        </w:rPr>
        <w:t>V</w:t>
      </w:r>
      <w:r>
        <w:rPr>
          <w:rFonts w:ascii="Arial" w:cs="Arial" w:eastAsia="Arial" w:hAnsi="Arial"/>
          <w:sz w:val="11"/>
          <w:szCs w:val="11"/>
          <w:color w:val="auto"/>
        </w:rPr>
        <w:t>ALASSIS</w:t>
      </w:r>
      <w:r>
        <w:rPr>
          <w:rFonts w:ascii="Arial" w:cs="Arial" w:eastAsia="Arial" w:hAnsi="Arial"/>
          <w:sz w:val="14"/>
          <w:szCs w:val="14"/>
          <w:color w:val="auto"/>
        </w:rPr>
        <w:t xml:space="preserve"> C</w:t>
      </w:r>
      <w:r>
        <w:rPr>
          <w:rFonts w:ascii="Arial" w:cs="Arial" w:eastAsia="Arial" w:hAnsi="Arial"/>
          <w:sz w:val="11"/>
          <w:szCs w:val="11"/>
          <w:color w:val="auto"/>
        </w:rPr>
        <w:t>OMMUNICATIONS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-2383790</wp:posOffset>
            </wp:positionH>
            <wp:positionV relativeFrom="paragraph">
              <wp:posOffset>-215900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ind w:right="3740"/>
        <w:spacing w:after="0"/>
        <w:rPr>
          <w:sz w:val="20"/>
          <w:szCs w:val="20"/>
          <w:color w:val="auto"/>
        </w:rPr>
      </w:pPr>
      <w:r>
        <w:rPr>
          <w:rFonts w:ascii="Arial" w:cs="Arial" w:eastAsia="Arial" w:hAnsi="Arial"/>
          <w:sz w:val="18"/>
          <w:szCs w:val="18"/>
          <w:b w:val="1"/>
          <w:bCs w:val="1"/>
          <w:color w:val="auto"/>
        </w:rPr>
        <w:t>DECEMBER 31, 2007</w:t>
      </w:r>
    </w:p>
    <w:p>
      <w:pPr>
        <w:spacing w:after="0" w:line="9" w:lineRule="exact"/>
        <w:rPr>
          <w:sz w:val="20"/>
          <w:szCs w:val="20"/>
          <w:color w:val="auto"/>
        </w:rPr>
      </w:pPr>
    </w:p>
    <w:p>
      <w:pPr>
        <w:jc w:val="center"/>
        <w:ind w:right="374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Basis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Point</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Spread</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Current</w:t>
            </w: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Above</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Maturity</w:t>
            </w:r>
          </w:p>
        </w:tc>
        <w:tc>
          <w:tcPr>
            <w:tcW w:w="20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2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Coupon</w:t>
            </w:r>
          </w:p>
        </w:tc>
        <w:tc>
          <w:tcPr>
            <w:tcW w:w="360" w:type="dxa"/>
            <w:vAlign w:val="bottom"/>
          </w:tcPr>
          <w:p>
            <w:pPr>
              <w:spacing w:after="0"/>
              <w:rPr>
                <w:sz w:val="15"/>
                <w:szCs w:val="15"/>
                <w:color w:val="auto"/>
              </w:rPr>
            </w:pPr>
          </w:p>
        </w:tc>
        <w:tc>
          <w:tcPr>
            <w:tcW w:w="5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Par</w:t>
            </w:r>
          </w:p>
        </w:tc>
        <w:tc>
          <w:tcPr>
            <w:tcW w:w="200" w:type="dxa"/>
            <w:vAlign w:val="bottom"/>
          </w:tcPr>
          <w:p>
            <w:pPr>
              <w:spacing w:after="0"/>
              <w:rPr>
                <w:sz w:val="15"/>
                <w:szCs w:val="15"/>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4"/>
              </w:rPr>
              <w:t>HOME &amp; OFFICE</w:t>
            </w:r>
          </w:p>
        </w:tc>
        <w:tc>
          <w:tcPr>
            <w:tcW w:w="1140" w:type="dxa"/>
            <w:vAlign w:val="bottom"/>
            <w:gridSpan w:val="3"/>
          </w:tcPr>
          <w:p>
            <w:pPr>
              <w:jc w:val="right"/>
              <w:ind w:right="240"/>
              <w:spacing w:after="0"/>
              <w:rPr>
                <w:sz w:val="20"/>
                <w:szCs w:val="20"/>
                <w:color w:val="auto"/>
              </w:rPr>
            </w:pPr>
            <w:r>
              <w:rPr>
                <w:rFonts w:ascii="Arial" w:cs="Arial" w:eastAsia="Arial" w:hAnsi="Arial"/>
                <w:sz w:val="14"/>
                <w:szCs w:val="14"/>
                <w:color w:val="auto"/>
              </w:rPr>
              <w:t>7.12%</w:t>
            </w:r>
          </w:p>
        </w:tc>
        <w:tc>
          <w:tcPr>
            <w:tcW w:w="780" w:type="dxa"/>
            <w:vAlign w:val="bottom"/>
            <w:gridSpan w:val="2"/>
          </w:tcPr>
          <w:p>
            <w:pPr>
              <w:ind w:left="200"/>
              <w:spacing w:after="0"/>
              <w:rPr>
                <w:sz w:val="20"/>
                <w:szCs w:val="20"/>
                <w:color w:val="auto"/>
              </w:rPr>
            </w:pPr>
            <w:r>
              <w:rPr>
                <w:rFonts w:ascii="Arial" w:cs="Arial" w:eastAsia="Arial" w:hAnsi="Arial"/>
                <w:sz w:val="14"/>
                <w:szCs w:val="14"/>
                <w:color w:val="auto"/>
              </w:rPr>
              <w:t>L+225</w:t>
            </w:r>
          </w:p>
        </w:tc>
        <w:tc>
          <w:tcPr>
            <w:tcW w:w="820" w:type="dxa"/>
            <w:vAlign w:val="bottom"/>
          </w:tcPr>
          <w:p>
            <w:pPr>
              <w:jc w:val="right"/>
              <w:spacing w:after="0"/>
              <w:rPr>
                <w:sz w:val="20"/>
                <w:szCs w:val="20"/>
                <w:color w:val="auto"/>
              </w:rPr>
            </w:pPr>
            <w:r>
              <w:rPr>
                <w:rFonts w:ascii="Arial" w:cs="Arial" w:eastAsia="Arial" w:hAnsi="Arial"/>
                <w:sz w:val="14"/>
                <w:szCs w:val="14"/>
                <w:color w:val="auto"/>
                <w:w w:val="97"/>
              </w:rPr>
              <w:t>$   9,963,514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9,963,514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   8,678,220</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1"/>
              </w:rPr>
              <w:t>FURNISHINGS,</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02/07/2014</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1"/>
              </w:rPr>
              <w:t>HOUSEWARES, &amp;</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960" w:type="dxa"/>
            <w:vAlign w:val="bottom"/>
            <w:gridSpan w:val="2"/>
            <w:vMerge w:val="continue"/>
          </w:tcPr>
          <w:p>
            <w:pPr>
              <w:spacing w:after="0"/>
              <w:rPr>
                <w:sz w:val="7"/>
                <w:szCs w:val="7"/>
                <w:color w:val="auto"/>
              </w:rPr>
            </w:pPr>
          </w:p>
        </w:tc>
        <w:tc>
          <w:tcPr>
            <w:tcW w:w="14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6"/>
              </w:rPr>
              <w:t>DURABLE</w:t>
            </w: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CONSUMER</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9"/>
              </w:rPr>
              <w:t>PRODUCTS</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03/08/2014</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CONSUMER</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7.18%</w:t>
            </w:r>
          </w:p>
        </w:tc>
        <w:tc>
          <w:tcPr>
            <w:tcW w:w="7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L+225</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4,842,920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4,842,920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3,819,853</w:t>
            </w:r>
          </w:p>
        </w:tc>
        <w:tc>
          <w:tcPr>
            <w:tcW w:w="0" w:type="dxa"/>
            <w:vAlign w:val="bottom"/>
          </w:tcPr>
          <w:p>
            <w:pPr>
              <w:spacing w:after="0"/>
              <w:rPr>
                <w:sz w:val="1"/>
                <w:szCs w:val="1"/>
                <w:color w:val="auto"/>
              </w:rPr>
            </w:pPr>
          </w:p>
        </w:tc>
      </w:tr>
      <w:tr>
        <w:trPr>
          <w:trHeight w:val="91"/>
        </w:trPr>
        <w:tc>
          <w:tcPr>
            <w:tcW w:w="960" w:type="dxa"/>
            <w:vAlign w:val="bottom"/>
            <w:gridSpan w:val="2"/>
            <w:vMerge w:val="continue"/>
          </w:tcPr>
          <w:p>
            <w:pPr>
              <w:spacing w:after="0"/>
              <w:rPr>
                <w:sz w:val="7"/>
                <w:szCs w:val="7"/>
                <w:color w:val="auto"/>
              </w:rPr>
            </w:pPr>
          </w:p>
        </w:tc>
        <w:tc>
          <w:tcPr>
            <w:tcW w:w="14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9"/>
              </w:rPr>
              <w:t>PRODUCTS</w:t>
            </w: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02/28/2014</w:t>
            </w:r>
          </w:p>
        </w:tc>
        <w:tc>
          <w:tcPr>
            <w:tcW w:w="1460" w:type="dxa"/>
            <w:vAlign w:val="bottom"/>
          </w:tcPr>
          <w:p>
            <w:pPr>
              <w:jc w:val="center"/>
              <w:spacing w:after="0"/>
              <w:rPr>
                <w:sz w:val="20"/>
                <w:szCs w:val="20"/>
                <w:color w:val="auto"/>
              </w:rPr>
            </w:pPr>
            <w:r>
              <w:rPr>
                <w:rFonts w:ascii="Arial" w:cs="Arial" w:eastAsia="Arial" w:hAnsi="Arial"/>
                <w:sz w:val="14"/>
                <w:szCs w:val="14"/>
                <w:color w:val="auto"/>
                <w:w w:val="97"/>
              </w:rPr>
              <w:t>UTILITIES</w:t>
            </w:r>
          </w:p>
        </w:tc>
        <w:tc>
          <w:tcPr>
            <w:tcW w:w="1140" w:type="dxa"/>
            <w:vAlign w:val="bottom"/>
            <w:gridSpan w:val="3"/>
          </w:tcPr>
          <w:p>
            <w:pPr>
              <w:jc w:val="right"/>
              <w:ind w:right="240"/>
              <w:spacing w:after="0"/>
              <w:rPr>
                <w:sz w:val="20"/>
                <w:szCs w:val="20"/>
                <w:color w:val="auto"/>
              </w:rPr>
            </w:pPr>
            <w:r>
              <w:rPr>
                <w:rFonts w:ascii="Arial" w:cs="Arial" w:eastAsia="Arial" w:hAnsi="Arial"/>
                <w:sz w:val="14"/>
                <w:szCs w:val="14"/>
                <w:color w:val="auto"/>
              </w:rPr>
              <w:t>7.18%</w:t>
            </w:r>
          </w:p>
        </w:tc>
        <w:tc>
          <w:tcPr>
            <w:tcW w:w="780" w:type="dxa"/>
            <w:vAlign w:val="bottom"/>
            <w:gridSpan w:val="2"/>
          </w:tcPr>
          <w:p>
            <w:pPr>
              <w:ind w:left="200"/>
              <w:spacing w:after="0"/>
              <w:rPr>
                <w:sz w:val="20"/>
                <w:szCs w:val="20"/>
                <w:color w:val="auto"/>
              </w:rPr>
            </w:pPr>
            <w:r>
              <w:rPr>
                <w:rFonts w:ascii="Arial" w:cs="Arial" w:eastAsia="Arial" w:hAnsi="Arial"/>
                <w:sz w:val="14"/>
                <w:szCs w:val="14"/>
                <w:color w:val="auto"/>
              </w:rPr>
              <w:t>L+225</w:t>
            </w:r>
          </w:p>
        </w:tc>
        <w:tc>
          <w:tcPr>
            <w:tcW w:w="820" w:type="dxa"/>
            <w:vAlign w:val="bottom"/>
          </w:tcPr>
          <w:p>
            <w:pPr>
              <w:jc w:val="right"/>
              <w:spacing w:after="0"/>
              <w:rPr>
                <w:sz w:val="20"/>
                <w:szCs w:val="20"/>
                <w:color w:val="auto"/>
              </w:rPr>
            </w:pPr>
            <w:r>
              <w:rPr>
                <w:rFonts w:ascii="Arial" w:cs="Arial" w:eastAsia="Arial" w:hAnsi="Arial"/>
                <w:sz w:val="14"/>
                <w:szCs w:val="14"/>
                <w:color w:val="auto"/>
              </w:rPr>
              <w:t>2,516,000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2,516,000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2,418,505</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02/28/2014</w:t>
            </w:r>
          </w:p>
        </w:tc>
        <w:tc>
          <w:tcPr>
            <w:tcW w:w="1460" w:type="dxa"/>
            <w:vAlign w:val="bottom"/>
          </w:tcPr>
          <w:p>
            <w:pPr>
              <w:jc w:val="center"/>
              <w:spacing w:after="0"/>
              <w:rPr>
                <w:sz w:val="20"/>
                <w:szCs w:val="20"/>
                <w:color w:val="auto"/>
              </w:rPr>
            </w:pPr>
            <w:r>
              <w:rPr>
                <w:rFonts w:ascii="Arial" w:cs="Arial" w:eastAsia="Arial" w:hAnsi="Arial"/>
                <w:sz w:val="14"/>
                <w:szCs w:val="14"/>
                <w:color w:val="auto"/>
                <w:w w:val="97"/>
              </w:rPr>
              <w:t>UTILITIES</w:t>
            </w:r>
          </w:p>
        </w:tc>
        <w:tc>
          <w:tcPr>
            <w:tcW w:w="22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484,000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484,000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465,245</w:t>
            </w:r>
          </w:p>
        </w:tc>
        <w:tc>
          <w:tcPr>
            <w:tcW w:w="0" w:type="dxa"/>
            <w:vAlign w:val="bottom"/>
          </w:tcPr>
          <w:p>
            <w:pPr>
              <w:spacing w:after="0"/>
              <w:rPr>
                <w:sz w:val="1"/>
                <w:szCs w:val="1"/>
                <w:color w:val="auto"/>
              </w:rPr>
            </w:pPr>
          </w:p>
        </w:tc>
      </w:tr>
      <w:tr>
        <w:trPr>
          <w:trHeight w:val="149"/>
        </w:trPr>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02/22/2014</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7"/>
              </w:rPr>
              <w:t>UTILITIES</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6.98%</w:t>
            </w:r>
          </w:p>
        </w:tc>
        <w:tc>
          <w:tcPr>
            <w:tcW w:w="7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L+200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3,963,750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3,962,534</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3,741,780</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4"/>
              </w:rPr>
              <w:t>HOME &amp; OFFICE</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7.40%</w:t>
            </w:r>
          </w:p>
        </w:tc>
        <w:tc>
          <w:tcPr>
            <w:tcW w:w="7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L+225</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3,980,025</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3,980,025</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3,383,021</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1"/>
              </w:rPr>
              <w:t>FURNISHINGS,</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01/18/2014</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1"/>
              </w:rPr>
              <w:t>HOUSEWARES, &amp;</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960" w:type="dxa"/>
            <w:vAlign w:val="bottom"/>
            <w:gridSpan w:val="2"/>
            <w:vMerge w:val="continue"/>
          </w:tcPr>
          <w:p>
            <w:pPr>
              <w:spacing w:after="0"/>
              <w:rPr>
                <w:sz w:val="7"/>
                <w:szCs w:val="7"/>
                <w:color w:val="auto"/>
              </w:rPr>
            </w:pPr>
          </w:p>
        </w:tc>
        <w:tc>
          <w:tcPr>
            <w:tcW w:w="14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6"/>
              </w:rPr>
              <w:t>DURABLE</w:t>
            </w: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CONSUMER</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9"/>
              </w:rPr>
              <w:t>PRODUCTS</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03/28/2014</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0"/>
              </w:rPr>
              <w:t>BUSINESS</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6.84%</w:t>
            </w:r>
          </w:p>
        </w:tc>
        <w:tc>
          <w:tcPr>
            <w:tcW w:w="7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L+200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3,970,000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3,970,000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3,662,325</w:t>
            </w:r>
          </w:p>
        </w:tc>
        <w:tc>
          <w:tcPr>
            <w:tcW w:w="0" w:type="dxa"/>
            <w:vAlign w:val="bottom"/>
          </w:tcPr>
          <w:p>
            <w:pPr>
              <w:spacing w:after="0"/>
              <w:rPr>
                <w:sz w:val="1"/>
                <w:szCs w:val="1"/>
                <w:color w:val="auto"/>
              </w:rPr>
            </w:pPr>
          </w:p>
        </w:tc>
      </w:tr>
      <w:tr>
        <w:trPr>
          <w:trHeight w:val="91"/>
        </w:trPr>
        <w:tc>
          <w:tcPr>
            <w:tcW w:w="960" w:type="dxa"/>
            <w:vAlign w:val="bottom"/>
            <w:gridSpan w:val="2"/>
            <w:vMerge w:val="continue"/>
          </w:tcPr>
          <w:p>
            <w:pPr>
              <w:spacing w:after="0"/>
              <w:rPr>
                <w:sz w:val="7"/>
                <w:szCs w:val="7"/>
                <w:color w:val="auto"/>
              </w:rPr>
            </w:pPr>
          </w:p>
        </w:tc>
        <w:tc>
          <w:tcPr>
            <w:tcW w:w="14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7"/>
              </w:rPr>
              <w:t>SERVICES</w:t>
            </w: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4"/>
              </w:rPr>
              <w:t>HOME &amp; OFFICE</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8.01%</w:t>
            </w:r>
          </w:p>
        </w:tc>
        <w:tc>
          <w:tcPr>
            <w:tcW w:w="7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L+200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6,947,500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6,953,725</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6,264,331</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1"/>
              </w:rPr>
              <w:t>FURNISHINGS,</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08/31/2011</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1"/>
              </w:rPr>
              <w:t>HOUSEWARES, &amp;</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960" w:type="dxa"/>
            <w:vAlign w:val="bottom"/>
            <w:gridSpan w:val="2"/>
            <w:vMerge w:val="continue"/>
          </w:tcPr>
          <w:p>
            <w:pPr>
              <w:spacing w:after="0"/>
              <w:rPr>
                <w:sz w:val="7"/>
                <w:szCs w:val="7"/>
                <w:color w:val="auto"/>
              </w:rPr>
            </w:pPr>
          </w:p>
        </w:tc>
        <w:tc>
          <w:tcPr>
            <w:tcW w:w="14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6"/>
              </w:rPr>
              <w:t>DURABLE</w:t>
            </w: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CONSUMER</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9"/>
              </w:rPr>
              <w:t>PRODUCTS</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02/01/2013</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7.23%</w:t>
            </w:r>
          </w:p>
        </w:tc>
        <w:tc>
          <w:tcPr>
            <w:tcW w:w="7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L+225</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4,962,500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4,962,500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4,478,656</w:t>
            </w:r>
          </w:p>
        </w:tc>
        <w:tc>
          <w:tcPr>
            <w:tcW w:w="0" w:type="dxa"/>
            <w:vAlign w:val="bottom"/>
          </w:tcPr>
          <w:p>
            <w:pPr>
              <w:spacing w:after="0"/>
              <w:rPr>
                <w:sz w:val="1"/>
                <w:szCs w:val="1"/>
                <w:color w:val="auto"/>
              </w:rPr>
            </w:pPr>
          </w:p>
        </w:tc>
      </w:tr>
      <w:tr>
        <w:trPr>
          <w:trHeight w:val="149"/>
        </w:trPr>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03/16/2014</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CONSUMER</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6.98%</w:t>
            </w:r>
          </w:p>
        </w:tc>
        <w:tc>
          <w:tcPr>
            <w:tcW w:w="7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L+200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1,485,867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1,485,867</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1,292,704</w:t>
            </w:r>
          </w:p>
        </w:tc>
        <w:tc>
          <w:tcPr>
            <w:tcW w:w="0" w:type="dxa"/>
            <w:vAlign w:val="bottom"/>
          </w:tcPr>
          <w:p>
            <w:pPr>
              <w:spacing w:after="0"/>
              <w:rPr>
                <w:sz w:val="1"/>
                <w:szCs w:val="1"/>
                <w:color w:val="auto"/>
              </w:rPr>
            </w:pPr>
          </w:p>
        </w:tc>
      </w:tr>
      <w:tr>
        <w:trPr>
          <w:trHeight w:val="91"/>
        </w:trPr>
        <w:tc>
          <w:tcPr>
            <w:tcW w:w="960" w:type="dxa"/>
            <w:vAlign w:val="bottom"/>
            <w:gridSpan w:val="2"/>
            <w:vMerge w:val="continue"/>
          </w:tcPr>
          <w:p>
            <w:pPr>
              <w:spacing w:after="0"/>
              <w:rPr>
                <w:sz w:val="7"/>
                <w:szCs w:val="7"/>
                <w:color w:val="auto"/>
              </w:rPr>
            </w:pPr>
          </w:p>
        </w:tc>
        <w:tc>
          <w:tcPr>
            <w:tcW w:w="14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9"/>
              </w:rPr>
              <w:t>PRODUCTS</w:t>
            </w: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05/04/2014</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8.03%</w:t>
            </w:r>
          </w:p>
        </w:tc>
        <w:tc>
          <w:tcPr>
            <w:tcW w:w="7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L+300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4,961,667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4,961,667</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4,788,008</w:t>
            </w:r>
          </w:p>
        </w:tc>
        <w:tc>
          <w:tcPr>
            <w:tcW w:w="0" w:type="dxa"/>
            <w:vAlign w:val="bottom"/>
          </w:tcPr>
          <w:p>
            <w:pPr>
              <w:spacing w:after="0"/>
              <w:rPr>
                <w:sz w:val="1"/>
                <w:szCs w:val="1"/>
                <w:color w:val="auto"/>
              </w:rPr>
            </w:pPr>
          </w:p>
        </w:tc>
      </w:tr>
      <w:tr>
        <w:trPr>
          <w:trHeight w:val="149"/>
        </w:trPr>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03/02/2014</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4"/>
              </w:rPr>
              <w:t>PRINTING &amp;</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960" w:type="dxa"/>
            <w:vAlign w:val="bottom"/>
            <w:gridSpan w:val="2"/>
            <w:vMerge w:val="continue"/>
          </w:tcPr>
          <w:p>
            <w:pPr>
              <w:spacing w:after="0"/>
              <w:rPr>
                <w:sz w:val="7"/>
                <w:szCs w:val="7"/>
                <w:color w:val="auto"/>
              </w:rPr>
            </w:pPr>
          </w:p>
        </w:tc>
        <w:tc>
          <w:tcPr>
            <w:tcW w:w="14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4"/>
              </w:rPr>
              <w:t>PUBLISHING</w:t>
            </w:r>
          </w:p>
        </w:tc>
        <w:tc>
          <w:tcPr>
            <w:tcW w:w="1140" w:type="dxa"/>
            <w:vAlign w:val="bottom"/>
            <w:gridSpan w:val="3"/>
            <w:vMerge w:val="restart"/>
          </w:tcPr>
          <w:p>
            <w:pPr>
              <w:jc w:val="right"/>
              <w:ind w:right="240"/>
              <w:spacing w:after="0" w:line="149" w:lineRule="exact"/>
              <w:rPr>
                <w:sz w:val="20"/>
                <w:szCs w:val="20"/>
                <w:color w:val="auto"/>
              </w:rPr>
            </w:pPr>
            <w:r>
              <w:rPr>
                <w:rFonts w:ascii="Arial" w:cs="Arial" w:eastAsia="Arial" w:hAnsi="Arial"/>
                <w:sz w:val="14"/>
                <w:szCs w:val="14"/>
                <w:color w:val="auto"/>
              </w:rPr>
              <w:t>7.36%</w:t>
            </w:r>
          </w:p>
        </w:tc>
        <w:tc>
          <w:tcPr>
            <w:tcW w:w="780" w:type="dxa"/>
            <w:vAlign w:val="bottom"/>
            <w:gridSpan w:val="2"/>
            <w:vMerge w:val="restart"/>
          </w:tcPr>
          <w:p>
            <w:pPr>
              <w:ind w:left="200"/>
              <w:spacing w:after="0" w:line="149" w:lineRule="exact"/>
              <w:rPr>
                <w:sz w:val="20"/>
                <w:szCs w:val="20"/>
                <w:color w:val="auto"/>
              </w:rPr>
            </w:pPr>
            <w:r>
              <w:rPr>
                <w:rFonts w:ascii="Arial" w:cs="Arial" w:eastAsia="Arial" w:hAnsi="Arial"/>
                <w:sz w:val="14"/>
                <w:szCs w:val="14"/>
                <w:color w:val="auto"/>
              </w:rPr>
              <w:t>L+200</w:t>
            </w:r>
          </w:p>
        </w:tc>
        <w:tc>
          <w:tcPr>
            <w:tcW w:w="82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995,003</w:t>
            </w:r>
          </w:p>
        </w:tc>
        <w:tc>
          <w:tcPr>
            <w:tcW w:w="1020" w:type="dxa"/>
            <w:vAlign w:val="bottom"/>
            <w:gridSpan w:val="2"/>
            <w:vMerge w:val="restart"/>
          </w:tcPr>
          <w:p>
            <w:pPr>
              <w:jc w:val="right"/>
              <w:spacing w:after="0" w:line="149" w:lineRule="exact"/>
              <w:rPr>
                <w:sz w:val="20"/>
                <w:szCs w:val="20"/>
                <w:color w:val="auto"/>
              </w:rPr>
            </w:pPr>
            <w:r>
              <w:rPr>
                <w:rFonts w:ascii="Arial" w:cs="Arial" w:eastAsia="Arial" w:hAnsi="Arial"/>
                <w:sz w:val="14"/>
                <w:szCs w:val="14"/>
                <w:color w:val="auto"/>
              </w:rPr>
              <w:t>995,003</w:t>
            </w:r>
          </w:p>
        </w:tc>
        <w:tc>
          <w:tcPr>
            <w:tcW w:w="1040" w:type="dxa"/>
            <w:vAlign w:val="bottom"/>
            <w:gridSpan w:val="2"/>
            <w:vMerge w:val="restart"/>
          </w:tcPr>
          <w:p>
            <w:pPr>
              <w:jc w:val="right"/>
              <w:spacing w:after="0" w:line="149" w:lineRule="exact"/>
              <w:rPr>
                <w:sz w:val="20"/>
                <w:szCs w:val="20"/>
                <w:color w:val="auto"/>
              </w:rPr>
            </w:pPr>
            <w:r>
              <w:rPr>
                <w:rFonts w:ascii="Arial" w:cs="Arial" w:eastAsia="Arial" w:hAnsi="Arial"/>
                <w:sz w:val="14"/>
                <w:szCs w:val="14"/>
                <w:color w:val="auto"/>
              </w:rPr>
              <w:t>898,819</w:t>
            </w:r>
          </w:p>
        </w:tc>
        <w:tc>
          <w:tcPr>
            <w:tcW w:w="0" w:type="dxa"/>
            <w:vAlign w:val="bottom"/>
          </w:tcPr>
          <w:p>
            <w:pPr>
              <w:spacing w:after="0"/>
              <w:rPr>
                <w:sz w:val="1"/>
                <w:szCs w:val="1"/>
                <w:color w:val="auto"/>
              </w:rPr>
            </w:pPr>
          </w:p>
        </w:tc>
      </w:tr>
      <w:tr>
        <w:trPr>
          <w:trHeight w:val="57"/>
        </w:trPr>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6"/>
              </w:rPr>
              <w:t>MANUFACTURING/</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7.40%</w:t>
            </w:r>
          </w:p>
        </w:tc>
        <w:tc>
          <w:tcPr>
            <w:tcW w:w="7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L+225</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4,937,500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4,937,500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4,783,203</w:t>
            </w:r>
          </w:p>
        </w:tc>
        <w:tc>
          <w:tcPr>
            <w:tcW w:w="0" w:type="dxa"/>
            <w:vAlign w:val="bottom"/>
          </w:tcPr>
          <w:p>
            <w:pPr>
              <w:spacing w:after="0"/>
              <w:rPr>
                <w:sz w:val="1"/>
                <w:szCs w:val="1"/>
                <w:color w:val="auto"/>
              </w:rPr>
            </w:pPr>
          </w:p>
        </w:tc>
      </w:tr>
      <w:tr>
        <w:trPr>
          <w:trHeight w:val="149"/>
        </w:trPr>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07/19/2013</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5"/>
              </w:rPr>
              <w:t>BASIC</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4"/>
              </w:rPr>
              <w:t>INDUSTRIES</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01/30/2014</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0"/>
              </w:rPr>
              <w:t>BUSINESS</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7.29%</w:t>
            </w:r>
          </w:p>
        </w:tc>
        <w:tc>
          <w:tcPr>
            <w:tcW w:w="7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L+250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2,867,302</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2,867,302</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2,559,067</w:t>
            </w:r>
          </w:p>
        </w:tc>
        <w:tc>
          <w:tcPr>
            <w:tcW w:w="0" w:type="dxa"/>
            <w:vAlign w:val="bottom"/>
          </w:tcPr>
          <w:p>
            <w:pPr>
              <w:spacing w:after="0"/>
              <w:rPr>
                <w:sz w:val="1"/>
                <w:szCs w:val="1"/>
                <w:color w:val="auto"/>
              </w:rPr>
            </w:pPr>
          </w:p>
        </w:tc>
      </w:tr>
      <w:tr>
        <w:trPr>
          <w:trHeight w:val="91"/>
        </w:trPr>
        <w:tc>
          <w:tcPr>
            <w:tcW w:w="960" w:type="dxa"/>
            <w:vAlign w:val="bottom"/>
            <w:gridSpan w:val="2"/>
            <w:vMerge w:val="continue"/>
          </w:tcPr>
          <w:p>
            <w:pPr>
              <w:spacing w:after="0"/>
              <w:rPr>
                <w:sz w:val="7"/>
                <w:szCs w:val="7"/>
                <w:color w:val="auto"/>
              </w:rPr>
            </w:pPr>
          </w:p>
        </w:tc>
        <w:tc>
          <w:tcPr>
            <w:tcW w:w="14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7"/>
              </w:rPr>
              <w:t>SERVICES</w:t>
            </w: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09/29/2014</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5"/>
              </w:rPr>
              <w:t>BROADCASTING &amp;</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960" w:type="dxa"/>
            <w:vAlign w:val="bottom"/>
            <w:gridSpan w:val="2"/>
            <w:vMerge w:val="continue"/>
          </w:tcPr>
          <w:p>
            <w:pPr>
              <w:spacing w:after="0"/>
              <w:rPr>
                <w:sz w:val="7"/>
                <w:szCs w:val="7"/>
                <w:color w:val="auto"/>
              </w:rPr>
            </w:pPr>
          </w:p>
        </w:tc>
        <w:tc>
          <w:tcPr>
            <w:tcW w:w="14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4"/>
              </w:rPr>
              <w:t>ENTERTAINMENT</w:t>
            </w:r>
          </w:p>
        </w:tc>
        <w:tc>
          <w:tcPr>
            <w:tcW w:w="1140" w:type="dxa"/>
            <w:vAlign w:val="bottom"/>
            <w:gridSpan w:val="3"/>
            <w:vMerge w:val="restart"/>
          </w:tcPr>
          <w:p>
            <w:pPr>
              <w:jc w:val="right"/>
              <w:ind w:right="240"/>
              <w:spacing w:after="0" w:line="149" w:lineRule="exact"/>
              <w:rPr>
                <w:sz w:val="20"/>
                <w:szCs w:val="20"/>
                <w:color w:val="auto"/>
              </w:rPr>
            </w:pPr>
            <w:r>
              <w:rPr>
                <w:rFonts w:ascii="Arial" w:cs="Arial" w:eastAsia="Arial" w:hAnsi="Arial"/>
                <w:sz w:val="14"/>
                <w:szCs w:val="14"/>
                <w:color w:val="auto"/>
              </w:rPr>
              <w:t>7.21%</w:t>
            </w:r>
          </w:p>
        </w:tc>
        <w:tc>
          <w:tcPr>
            <w:tcW w:w="780" w:type="dxa"/>
            <w:vAlign w:val="bottom"/>
            <w:gridSpan w:val="2"/>
            <w:vMerge w:val="restart"/>
          </w:tcPr>
          <w:p>
            <w:pPr>
              <w:ind w:left="200"/>
              <w:spacing w:after="0" w:line="149" w:lineRule="exact"/>
              <w:rPr>
                <w:sz w:val="20"/>
                <w:szCs w:val="20"/>
                <w:color w:val="auto"/>
              </w:rPr>
            </w:pPr>
            <w:r>
              <w:rPr>
                <w:rFonts w:ascii="Arial" w:cs="Arial" w:eastAsia="Arial" w:hAnsi="Arial"/>
                <w:sz w:val="14"/>
                <w:szCs w:val="14"/>
                <w:color w:val="auto"/>
              </w:rPr>
              <w:t>L+225</w:t>
            </w:r>
          </w:p>
        </w:tc>
        <w:tc>
          <w:tcPr>
            <w:tcW w:w="82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14,496,644</w:t>
            </w:r>
          </w:p>
        </w:tc>
        <w:tc>
          <w:tcPr>
            <w:tcW w:w="1020" w:type="dxa"/>
            <w:vAlign w:val="bottom"/>
            <w:gridSpan w:val="2"/>
            <w:vMerge w:val="restart"/>
          </w:tcPr>
          <w:p>
            <w:pPr>
              <w:jc w:val="right"/>
              <w:spacing w:after="0" w:line="149" w:lineRule="exact"/>
              <w:rPr>
                <w:sz w:val="20"/>
                <w:szCs w:val="20"/>
                <w:color w:val="auto"/>
              </w:rPr>
            </w:pPr>
            <w:r>
              <w:rPr>
                <w:rFonts w:ascii="Arial" w:cs="Arial" w:eastAsia="Arial" w:hAnsi="Arial"/>
                <w:sz w:val="14"/>
                <w:szCs w:val="14"/>
                <w:color w:val="auto"/>
              </w:rPr>
              <w:t>14,496,644</w:t>
            </w:r>
          </w:p>
        </w:tc>
        <w:tc>
          <w:tcPr>
            <w:tcW w:w="1040" w:type="dxa"/>
            <w:vAlign w:val="bottom"/>
            <w:gridSpan w:val="2"/>
            <w:vMerge w:val="restart"/>
          </w:tcPr>
          <w:p>
            <w:pPr>
              <w:jc w:val="right"/>
              <w:spacing w:after="0" w:line="149" w:lineRule="exact"/>
              <w:rPr>
                <w:sz w:val="20"/>
                <w:szCs w:val="20"/>
                <w:color w:val="auto"/>
              </w:rPr>
            </w:pPr>
            <w:r>
              <w:rPr>
                <w:rFonts w:ascii="Arial" w:cs="Arial" w:eastAsia="Arial" w:hAnsi="Arial"/>
                <w:sz w:val="14"/>
                <w:szCs w:val="14"/>
                <w:color w:val="auto"/>
              </w:rPr>
              <w:t>13,197,991</w:t>
            </w:r>
          </w:p>
        </w:tc>
        <w:tc>
          <w:tcPr>
            <w:tcW w:w="0" w:type="dxa"/>
            <w:vAlign w:val="bottom"/>
          </w:tcPr>
          <w:p>
            <w:pPr>
              <w:spacing w:after="0"/>
              <w:rPr>
                <w:sz w:val="1"/>
                <w:szCs w:val="1"/>
                <w:color w:val="auto"/>
              </w:rPr>
            </w:pPr>
          </w:p>
        </w:tc>
      </w:tr>
      <w:tr>
        <w:trPr>
          <w:trHeight w:val="57"/>
        </w:trPr>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09/29/2014</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5"/>
              </w:rPr>
              <w:t>BROADCASTING &amp;</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960" w:type="dxa"/>
            <w:vAlign w:val="bottom"/>
            <w:gridSpan w:val="2"/>
            <w:vMerge w:val="continue"/>
          </w:tcPr>
          <w:p>
            <w:pPr>
              <w:spacing w:after="0"/>
              <w:rPr>
                <w:sz w:val="7"/>
                <w:szCs w:val="7"/>
                <w:color w:val="auto"/>
              </w:rPr>
            </w:pPr>
          </w:p>
        </w:tc>
        <w:tc>
          <w:tcPr>
            <w:tcW w:w="14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4"/>
              </w:rPr>
              <w:t>ENTERTAINMENT</w:t>
            </w:r>
          </w:p>
        </w:tc>
        <w:tc>
          <w:tcPr>
            <w:tcW w:w="220" w:type="dxa"/>
            <w:vAlign w:val="bottom"/>
          </w:tcPr>
          <w:p>
            <w:pPr>
              <w:spacing w:after="0"/>
              <w:rPr>
                <w:sz w:val="7"/>
                <w:szCs w:val="7"/>
                <w:color w:val="auto"/>
              </w:rPr>
            </w:pPr>
          </w:p>
        </w:tc>
        <w:tc>
          <w:tcPr>
            <w:tcW w:w="920" w:type="dxa"/>
            <w:vAlign w:val="bottom"/>
            <w:gridSpan w:val="2"/>
            <w:vMerge w:val="restart"/>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503,356</w:t>
            </w:r>
          </w:p>
        </w:tc>
        <w:tc>
          <w:tcPr>
            <w:tcW w:w="1020" w:type="dxa"/>
            <w:vAlign w:val="bottom"/>
            <w:gridSpan w:val="2"/>
            <w:vMerge w:val="restart"/>
          </w:tcPr>
          <w:p>
            <w:pPr>
              <w:jc w:val="right"/>
              <w:spacing w:after="0" w:line="149" w:lineRule="exact"/>
              <w:rPr>
                <w:sz w:val="20"/>
                <w:szCs w:val="20"/>
                <w:color w:val="auto"/>
              </w:rPr>
            </w:pPr>
            <w:r>
              <w:rPr>
                <w:rFonts w:ascii="Arial" w:cs="Arial" w:eastAsia="Arial" w:hAnsi="Arial"/>
                <w:sz w:val="14"/>
                <w:szCs w:val="14"/>
                <w:color w:val="auto"/>
              </w:rPr>
              <w:t>503,356</w:t>
            </w:r>
          </w:p>
        </w:tc>
        <w:tc>
          <w:tcPr>
            <w:tcW w:w="1040" w:type="dxa"/>
            <w:vAlign w:val="bottom"/>
            <w:gridSpan w:val="2"/>
            <w:vMerge w:val="restart"/>
          </w:tcPr>
          <w:p>
            <w:pPr>
              <w:jc w:val="right"/>
              <w:spacing w:after="0" w:line="149" w:lineRule="exact"/>
              <w:rPr>
                <w:sz w:val="20"/>
                <w:szCs w:val="20"/>
                <w:color w:val="auto"/>
              </w:rPr>
            </w:pPr>
            <w:r>
              <w:rPr>
                <w:rFonts w:ascii="Arial" w:cs="Arial" w:eastAsia="Arial" w:hAnsi="Arial"/>
                <w:sz w:val="14"/>
                <w:szCs w:val="14"/>
                <w:color w:val="auto"/>
              </w:rPr>
              <w:t>458,264</w:t>
            </w:r>
          </w:p>
        </w:tc>
        <w:tc>
          <w:tcPr>
            <w:tcW w:w="0" w:type="dxa"/>
            <w:vAlign w:val="bottom"/>
          </w:tcPr>
          <w:p>
            <w:pPr>
              <w:spacing w:after="0"/>
              <w:rPr>
                <w:sz w:val="1"/>
                <w:szCs w:val="1"/>
                <w:color w:val="auto"/>
              </w:rPr>
            </w:pPr>
          </w:p>
        </w:tc>
      </w:tr>
      <w:tr>
        <w:trPr>
          <w:trHeight w:val="57"/>
        </w:trPr>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03/02/2014</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4"/>
              </w:rPr>
              <w:t>PRINTING &amp;</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960" w:type="dxa"/>
            <w:vAlign w:val="bottom"/>
            <w:gridSpan w:val="2"/>
            <w:vMerge w:val="continue"/>
          </w:tcPr>
          <w:p>
            <w:pPr>
              <w:spacing w:after="0"/>
              <w:rPr>
                <w:sz w:val="7"/>
                <w:szCs w:val="7"/>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94"/>
              </w:rPr>
              <w:t>PUBLISHING</w:t>
            </w:r>
          </w:p>
        </w:tc>
        <w:tc>
          <w:tcPr>
            <w:tcW w:w="114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6.58%</w:t>
            </w:r>
          </w:p>
        </w:tc>
        <w:tc>
          <w:tcPr>
            <w:tcW w:w="780" w:type="dxa"/>
            <w:vAlign w:val="bottom"/>
            <w:gridSpan w:val="2"/>
            <w:vMerge w:val="restart"/>
          </w:tcPr>
          <w:p>
            <w:pPr>
              <w:ind w:left="200"/>
              <w:spacing w:after="0"/>
              <w:rPr>
                <w:sz w:val="20"/>
                <w:szCs w:val="20"/>
                <w:color w:val="auto"/>
              </w:rPr>
            </w:pPr>
            <w:r>
              <w:rPr>
                <w:rFonts w:ascii="Arial" w:cs="Arial" w:eastAsia="Arial" w:hAnsi="Arial"/>
                <w:sz w:val="14"/>
                <w:szCs w:val="14"/>
                <w:color w:val="auto"/>
              </w:rPr>
              <w:t>L+175</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6,713,768</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6,713,768</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color w:val="auto"/>
              </w:rPr>
              <w:t>6,310,942</w:t>
            </w: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-4081145</wp:posOffset>
            </wp:positionV>
            <wp:extent cx="7246620" cy="946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-3420745</wp:posOffset>
            </wp:positionV>
            <wp:extent cx="724662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-3137535</wp:posOffset>
            </wp:positionV>
            <wp:extent cx="7246620" cy="1117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-2931795</wp:posOffset>
            </wp:positionV>
            <wp:extent cx="7246620" cy="5657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56578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-2177415</wp:posOffset>
            </wp:positionV>
            <wp:extent cx="7246620" cy="5657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56578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-1517015</wp:posOffset>
            </wp:positionV>
            <wp:extent cx="7246620"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-1233805</wp:posOffset>
            </wp:positionV>
            <wp:extent cx="7246620"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-762000</wp:posOffset>
            </wp:positionV>
            <wp:extent cx="7246620"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-384810</wp:posOffset>
            </wp:positionV>
            <wp:extent cx="7246620"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3740"/>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ind w:right="3740"/>
        <w:spacing w:after="0"/>
        <w:rPr>
          <w:sz w:val="20"/>
          <w:szCs w:val="20"/>
          <w:color w:val="auto"/>
        </w:rPr>
      </w:pPr>
      <w:r>
        <w:rPr>
          <w:rFonts w:ascii="Arial" w:cs="Arial" w:eastAsia="Arial" w:hAnsi="Arial"/>
          <w:sz w:val="18"/>
          <w:szCs w:val="18"/>
          <w:color w:val="auto"/>
        </w:rPr>
        <w:t>F-27</w:t>
      </w:r>
    </w:p>
    <w:p>
      <w:pPr>
        <w:sectPr>
          <w:pgSz w:w="11900" w:h="16838" w:orient="portrait"/>
          <w:cols w:equalWidth="0" w:num="2">
            <w:col w:w="3040" w:space="720"/>
            <w:col w:w="7660"/>
          </w:cols>
          <w:pgMar w:left="240" w:top="274" w:right="239" w:bottom="1440" w:gutter="0" w:footer="0" w:header="0"/>
        </w:sectPr>
      </w:pPr>
    </w:p>
    <w:bookmarkStart w:id="143" w:name="page144"/>
    <w:bookmarkEnd w:id="143"/>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Basis Point</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Spread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Current</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Above</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7"/>
              </w:rPr>
              <w:t>Value</w:t>
            </w:r>
            <w:r>
              <w:rPr>
                <w:rFonts w:ascii="Arial" w:cs="Arial" w:eastAsia="Arial" w:hAnsi="Arial"/>
                <w:sz w:val="22"/>
                <w:szCs w:val="22"/>
                <w:b w:val="1"/>
                <w:bCs w:val="1"/>
                <w:color w:val="auto"/>
                <w:w w:val="97"/>
                <w:vertAlign w:val="superscript"/>
              </w:rPr>
              <w:t>(2)</w:t>
            </w:r>
          </w:p>
        </w:tc>
        <w:tc>
          <w:tcPr>
            <w:tcW w:w="0" w:type="dxa"/>
            <w:vAlign w:val="bottom"/>
          </w:tcPr>
          <w:p>
            <w:pPr>
              <w:spacing w:after="0"/>
              <w:rPr>
                <w:sz w:val="1"/>
                <w:szCs w:val="1"/>
                <w:color w:val="auto"/>
              </w:rPr>
            </w:pPr>
          </w:p>
        </w:tc>
      </w:tr>
      <w:tr>
        <w:trPr>
          <w:trHeight w:val="176"/>
        </w:trPr>
        <w:tc>
          <w:tcPr>
            <w:tcW w:w="4200" w:type="dxa"/>
            <w:vAlign w:val="bottom"/>
            <w:gridSpan w:val="3"/>
            <w:vMerge w:val="continue"/>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Maturity</w:t>
            </w: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Industry</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Coupon</w:t>
            </w:r>
          </w:p>
        </w:tc>
        <w:tc>
          <w:tcPr>
            <w:tcW w:w="98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140" w:type="dxa"/>
            <w:vAlign w:val="bottom"/>
          </w:tcPr>
          <w:p>
            <w:pPr>
              <w:spacing w:after="0"/>
              <w:rPr>
                <w:sz w:val="15"/>
                <w:szCs w:val="15"/>
                <w:color w:val="auto"/>
              </w:rPr>
            </w:pPr>
          </w:p>
        </w:tc>
        <w:tc>
          <w:tcPr>
            <w:tcW w:w="740" w:type="dxa"/>
            <w:vAlign w:val="bottom"/>
          </w:tcPr>
          <w:p>
            <w:pPr>
              <w:jc w:val="right"/>
              <w:ind w:right="272"/>
              <w:spacing w:after="0"/>
              <w:rPr>
                <w:sz w:val="20"/>
                <w:szCs w:val="20"/>
                <w:color w:val="auto"/>
              </w:rPr>
            </w:pPr>
            <w:r>
              <w:rPr>
                <w:rFonts w:ascii="Arial" w:cs="Arial" w:eastAsia="Arial" w:hAnsi="Arial"/>
                <w:sz w:val="14"/>
                <w:szCs w:val="14"/>
                <w:b w:val="1"/>
                <w:bCs w:val="1"/>
                <w:color w:val="auto"/>
              </w:rPr>
              <w:t>Par</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1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FiLien secured Debt—(continued)</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gridSpan w:val="2"/>
          </w:tcPr>
          <w:p>
            <w:pPr>
              <w:spacing w:after="0" w:line="189" w:lineRule="exact"/>
              <w:rPr>
                <w:sz w:val="20"/>
                <w:szCs w:val="20"/>
                <w:color w:val="auto"/>
              </w:rPr>
            </w:pPr>
            <w:r>
              <w:rPr>
                <w:rFonts w:ascii="Arial" w:cs="Arial" w:eastAsia="Arial" w:hAnsi="Arial"/>
                <w:sz w:val="13"/>
                <w:szCs w:val="13"/>
                <w:color w:val="auto"/>
              </w:rPr>
              <w:t>V</w:t>
            </w:r>
            <w:r>
              <w:rPr>
                <w:rFonts w:ascii="Arial" w:cs="Arial" w:eastAsia="Arial" w:hAnsi="Arial"/>
                <w:sz w:val="11"/>
                <w:szCs w:val="11"/>
                <w:color w:val="auto"/>
              </w:rPr>
              <w:t>ALASSIS</w:t>
            </w:r>
            <w:r>
              <w:rPr>
                <w:rFonts w:ascii="Arial" w:cs="Arial" w:eastAsia="Arial" w:hAnsi="Arial"/>
                <w:sz w:val="13"/>
                <w:szCs w:val="13"/>
                <w:color w:val="auto"/>
              </w:rPr>
              <w:t xml:space="preserve"> C</w:t>
            </w:r>
            <w:r>
              <w:rPr>
                <w:rFonts w:ascii="Arial" w:cs="Arial" w:eastAsia="Arial" w:hAnsi="Arial"/>
                <w:sz w:val="11"/>
                <w:szCs w:val="11"/>
                <w:color w:val="auto"/>
              </w:rPr>
              <w:t>OMMUNICATIONS</w:t>
            </w:r>
            <w:r>
              <w:rPr>
                <w:rFonts w:ascii="Arial" w:cs="Arial" w:eastAsia="Arial" w:hAnsi="Arial"/>
                <w:sz w:val="13"/>
                <w:szCs w:val="13"/>
                <w:color w:val="auto"/>
              </w:rPr>
              <w:t>, I</w:t>
            </w:r>
            <w:r>
              <w:rPr>
                <w:rFonts w:ascii="Arial" w:cs="Arial" w:eastAsia="Arial" w:hAnsi="Arial"/>
                <w:sz w:val="11"/>
                <w:szCs w:val="11"/>
                <w:color w:val="auto"/>
              </w:rPr>
              <w:t>NC</w:t>
            </w:r>
            <w:r>
              <w:rPr>
                <w:rFonts w:ascii="Arial" w:cs="Arial" w:eastAsia="Arial" w:hAnsi="Arial"/>
                <w:sz w:val="13"/>
                <w:szCs w:val="13"/>
                <w:color w:val="auto"/>
              </w:rPr>
              <w:t>.</w:t>
            </w:r>
            <w:r>
              <w:rPr>
                <w:rFonts w:ascii="Arial" w:cs="Arial" w:eastAsia="Arial" w:hAnsi="Arial"/>
                <w:sz w:val="21"/>
                <w:szCs w:val="21"/>
                <w:color w:val="auto"/>
                <w:vertAlign w:val="superscript"/>
              </w:rPr>
              <w:t>(4)</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03/02/2014</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PRINTING &amp;</w:t>
            </w: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2,103,908</w:t>
            </w: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2,103,908</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1,977,674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jc w:val="right"/>
              <w:ind w:right="220"/>
              <w:spacing w:after="0" w:line="108" w:lineRule="exact"/>
              <w:rPr>
                <w:sz w:val="20"/>
                <w:szCs w:val="20"/>
                <w:color w:val="auto"/>
              </w:rPr>
            </w:pPr>
            <w:r>
              <w:rPr>
                <w:rFonts w:ascii="Arial" w:cs="Arial" w:eastAsia="Arial" w:hAnsi="Arial"/>
                <w:sz w:val="12"/>
                <w:szCs w:val="12"/>
                <w:color w:val="auto"/>
              </w:rPr>
              <w:t>PUBLISHING</w:t>
            </w:r>
          </w:p>
        </w:tc>
        <w:tc>
          <w:tcPr>
            <w:tcW w:w="90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w:t>
            </w:r>
            <w:r>
              <w:rPr>
                <w:rFonts w:ascii="Arial" w:cs="Arial" w:eastAsia="Arial" w:hAnsi="Arial"/>
                <w:sz w:val="11"/>
                <w:szCs w:val="11"/>
                <w:color w:val="auto"/>
              </w:rPr>
              <w:t>ESTERN</w:t>
            </w:r>
            <w:r>
              <w:rPr>
                <w:rFonts w:ascii="Arial" w:cs="Arial" w:eastAsia="Arial" w:hAnsi="Arial"/>
                <w:sz w:val="14"/>
                <w:szCs w:val="14"/>
                <w:color w:val="auto"/>
              </w:rPr>
              <w:t xml:space="preserve"> R</w:t>
            </w:r>
            <w:r>
              <w:rPr>
                <w:rFonts w:ascii="Arial" w:cs="Arial" w:eastAsia="Arial" w:hAnsi="Arial"/>
                <w:sz w:val="11"/>
                <w:szCs w:val="11"/>
                <w:color w:val="auto"/>
              </w:rPr>
              <w:t>EFINING</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05/30/2014</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OIL &amp; GAS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6.60%</w:t>
            </w:r>
          </w:p>
        </w:tc>
        <w:tc>
          <w:tcPr>
            <w:tcW w:w="9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L+175</w:t>
            </w: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3,695,714</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3,695,714</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3,504,769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165,941,081</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165,934,444</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148,781,962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—134.6%</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382,162,705</w:t>
            </w: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342,190,612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equivalents—32.2%</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T</w:t>
            </w:r>
            <w:r>
              <w:rPr>
                <w:rFonts w:ascii="Arial" w:cs="Arial" w:eastAsia="Arial" w:hAnsi="Arial"/>
                <w:sz w:val="11"/>
                <w:szCs w:val="11"/>
                <w:color w:val="auto"/>
              </w:rPr>
              <w:t>REASURY</w:t>
            </w:r>
            <w:r>
              <w:rPr>
                <w:rFonts w:ascii="Arial" w:cs="Arial" w:eastAsia="Arial" w:hAnsi="Arial"/>
                <w:sz w:val="14"/>
                <w:szCs w:val="14"/>
                <w:color w:val="auto"/>
              </w:rPr>
              <w:t xml:space="preserve"> B</w:t>
            </w:r>
            <w:r>
              <w:rPr>
                <w:rFonts w:ascii="Arial" w:cs="Arial" w:eastAsia="Arial" w:hAnsi="Arial"/>
                <w:sz w:val="11"/>
                <w:szCs w:val="11"/>
                <w:color w:val="auto"/>
              </w:rPr>
              <w:t>ILL</w:t>
            </w:r>
          </w:p>
        </w:tc>
        <w:tc>
          <w:tcPr>
            <w:tcW w:w="9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03/27/2008</w:t>
            </w: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3.14%</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79,406,889</w:t>
            </w: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79,399,360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ONEY MARKET</w:t>
            </w:r>
            <w:r>
              <w:rPr>
                <w:rFonts w:ascii="Arial" w:cs="Arial" w:eastAsia="Arial" w:hAnsi="Arial"/>
                <w:sz w:val="14"/>
                <w:szCs w:val="14"/>
                <w:color w:val="auto"/>
              </w:rPr>
              <w:t>—</w:t>
            </w:r>
            <w:r>
              <w:rPr>
                <w:rFonts w:ascii="Arial" w:cs="Arial" w:eastAsia="Arial" w:hAnsi="Arial"/>
                <w:sz w:val="11"/>
                <w:szCs w:val="11"/>
                <w:color w:val="auto"/>
              </w:rPr>
              <w:t>MUTUAL FUNDS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2,381,330</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2,381,330</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2,381,330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equivalents</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82,381,330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81,788,219</w:t>
            </w: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81,780,690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investments and cash equivalents</w:t>
            </w: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w w:val="95"/>
              </w:rPr>
              <w:t>463,950,924</w:t>
            </w:r>
          </w:p>
        </w:tc>
        <w:tc>
          <w:tcPr>
            <w:tcW w:w="3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423,971,302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in excess of other assets—(66.8%)</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(169,749,994)</w:t>
            </w: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assets—100.0%</w:t>
            </w: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254,221,308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340" w:right="160" w:hanging="332"/>
        <w:spacing w:after="0" w:line="259"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do not “control” and are not an “affiliate” of any of our portfolio companies, each as defined in the 1940 Act. In general, under the 1940 Act, we would be presumed to “control” a portfolio company if we owned 25% or more of its voting securities and would be deemed to be an “affiliate” of a portfolio company if we owned 5% or more of its voting securities.</w:t>
      </w:r>
    </w:p>
    <w:p>
      <w:pPr>
        <w:spacing w:after="0" w:line="59" w:lineRule="exact"/>
        <w:rPr>
          <w:rFonts w:ascii="Arial" w:cs="Arial" w:eastAsia="Arial" w:hAnsi="Arial"/>
          <w:sz w:val="18"/>
          <w:szCs w:val="18"/>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Valued based on our accounting policy (see note 2 to our financial statements).</w:t>
      </w:r>
    </w:p>
    <w:p>
      <w:pPr>
        <w:spacing w:after="0" w:line="90" w:lineRule="exact"/>
        <w:rPr>
          <w:rFonts w:ascii="Arial" w:cs="Arial" w:eastAsia="Arial" w:hAnsi="Arial"/>
          <w:sz w:val="18"/>
          <w:szCs w:val="18"/>
          <w:color w:val="auto"/>
        </w:rPr>
      </w:pPr>
    </w:p>
    <w:p>
      <w:pPr>
        <w:ind w:left="340" w:right="100" w:hanging="332"/>
        <w:spacing w:after="0" w:line="268"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or, “L”).</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Represents purchases of securities with delayed draws. These securities do not have a basis point spread above index.</w:t>
      </w:r>
    </w:p>
    <w:p>
      <w:pPr>
        <w:spacing w:after="0" w:line="90" w:lineRule="exact"/>
        <w:rPr>
          <w:rFonts w:ascii="Arial" w:cs="Arial" w:eastAsia="Arial" w:hAnsi="Arial"/>
          <w:sz w:val="18"/>
          <w:szCs w:val="18"/>
          <w:color w:val="auto"/>
        </w:rPr>
      </w:pPr>
    </w:p>
    <w:p>
      <w:pPr>
        <w:ind w:left="340" w:right="420" w:hanging="332"/>
        <w:spacing w:after="0" w:line="268"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1" w:lineRule="exact"/>
        <w:rPr>
          <w:sz w:val="20"/>
          <w:szCs w:val="20"/>
          <w:color w:val="auto"/>
        </w:rPr>
      </w:pPr>
    </w:p>
    <w:p>
      <w:pPr>
        <w:ind w:right="7980" w:firstLine="8"/>
        <w:spacing w:after="0" w:line="362" w:lineRule="auto"/>
        <w:tabs>
          <w:tab w:leader="none" w:pos="338"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Coupon payable in cash or payment in kind. ** Non-income producing.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274" w:right="239" w:bottom="1440" w:gutter="0" w:footer="0" w:header="0"/>
        </w:sectPr>
      </w:pPr>
    </w:p>
    <w:bookmarkStart w:id="144" w:name="page145"/>
    <w:bookmarkEnd w:id="144"/>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Basis</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Point</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Spread</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Current</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Above</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3420" w:type="dxa"/>
            <w:vAlign w:val="bottom"/>
            <w:gridSpan w:val="3"/>
            <w:vMerge w:val="continue"/>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Maturity</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20" w:type="dxa"/>
            <w:vAlign w:val="bottom"/>
          </w:tcPr>
          <w:p>
            <w:pPr>
              <w:spacing w:after="0"/>
              <w:rPr>
                <w:sz w:val="15"/>
                <w:szCs w:val="15"/>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Coupon</w:t>
            </w:r>
          </w:p>
        </w:tc>
        <w:tc>
          <w:tcPr>
            <w:tcW w:w="820" w:type="dxa"/>
            <w:vAlign w:val="bottom"/>
            <w:gridSpan w:val="2"/>
          </w:tcPr>
          <w:p>
            <w:pPr>
              <w:jc w:val="right"/>
              <w:ind w:right="280"/>
              <w:spacing w:after="0" w:line="176" w:lineRule="exact"/>
              <w:rPr>
                <w:sz w:val="20"/>
                <w:szCs w:val="20"/>
                <w:color w:val="auto"/>
              </w:rPr>
            </w:pPr>
            <w:r>
              <w:rPr>
                <w:rFonts w:ascii="Arial" w:cs="Arial" w:eastAsia="Arial" w:hAnsi="Arial"/>
                <w:sz w:val="13"/>
                <w:szCs w:val="13"/>
                <w:b w:val="1"/>
                <w:bCs w:val="1"/>
                <w:color w:val="auto"/>
              </w:rPr>
              <w:t>Index</w:t>
            </w:r>
            <w:r>
              <w:rPr>
                <w:rFonts w:ascii="Arial" w:cs="Arial" w:eastAsia="Arial" w:hAnsi="Arial"/>
                <w:sz w:val="20"/>
                <w:szCs w:val="20"/>
                <w:b w:val="1"/>
                <w:bCs w:val="1"/>
                <w:color w:val="auto"/>
                <w:vertAlign w:val="superscript"/>
              </w:rPr>
              <w:t>(3)</w:t>
            </w:r>
          </w:p>
        </w:tc>
        <w:tc>
          <w:tcPr>
            <w:tcW w:w="840" w:type="dxa"/>
            <w:vAlign w:val="bottom"/>
          </w:tcPr>
          <w:p>
            <w:pPr>
              <w:jc w:val="right"/>
              <w:ind w:right="252"/>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5"/>
                <w:szCs w:val="15"/>
                <w:color w:val="auto"/>
              </w:rPr>
            </w:pPr>
          </w:p>
        </w:tc>
        <w:tc>
          <w:tcPr>
            <w:tcW w:w="860" w:type="dxa"/>
            <w:vAlign w:val="bottom"/>
          </w:tcPr>
          <w:p>
            <w:pPr>
              <w:jc w:val="right"/>
              <w:ind w:right="23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4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Subordinated Debt / Corporate Notes— 21.2%</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DVANSTAR</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11/30/2015</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6"/>
              </w:rPr>
              <w:t>OTHER MEDIA</w:t>
            </w:r>
          </w:p>
        </w:tc>
        <w:tc>
          <w:tcPr>
            <w:tcW w:w="12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12.20%*</w:t>
            </w:r>
          </w:p>
        </w:tc>
        <w:tc>
          <w:tcPr>
            <w:tcW w:w="8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L+700</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w w:val="91"/>
              </w:rPr>
              <w:t>$   14,580,690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14,580,690</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14,580,690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w:t>
            </w:r>
            <w:r>
              <w:rPr>
                <w:rFonts w:ascii="Arial" w:cs="Arial" w:eastAsia="Arial" w:hAnsi="Arial"/>
                <w:sz w:val="11"/>
                <w:szCs w:val="11"/>
                <w:color w:val="auto"/>
              </w:rPr>
              <w:t>FFINION</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03/01/2012</w:t>
            </w: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CONSUMER PRODUCTS</w:t>
            </w:r>
          </w:p>
        </w:tc>
        <w:tc>
          <w:tcPr>
            <w:tcW w:w="12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11.68%*</w:t>
            </w:r>
          </w:p>
        </w:tc>
        <w:tc>
          <w:tcPr>
            <w:tcW w:w="8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L+625</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18,106,103</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17,760,000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00" w:type="dxa"/>
            <w:vAlign w:val="bottom"/>
          </w:tcPr>
          <w:p>
            <w:pPr>
              <w:jc w:val="center"/>
              <w:spacing w:after="0" w:line="138" w:lineRule="exact"/>
              <w:rPr>
                <w:sz w:val="20"/>
                <w:szCs w:val="20"/>
                <w:color w:val="auto"/>
              </w:rPr>
            </w:pPr>
            <w:r>
              <w:rPr>
                <w:rFonts w:ascii="Arial" w:cs="Arial" w:eastAsia="Arial" w:hAnsi="Arial"/>
                <w:sz w:val="14"/>
                <w:szCs w:val="14"/>
                <w:color w:val="auto"/>
                <w:w w:val="93"/>
              </w:rPr>
              <w:t>LEISURE, AMUSEMENT,</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gridSpan w:val="3"/>
          </w:tcPr>
          <w:p>
            <w:pPr>
              <w:spacing w:after="0" w:line="149"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ERFORMANCE</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07/02/2014</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3"/>
              </w:rPr>
              <w:t>MOTION PICTURES &amp;</w:t>
            </w:r>
          </w:p>
        </w:tc>
        <w:tc>
          <w:tcPr>
            <w:tcW w:w="12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14.25%*</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3,837,578</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3,592,573</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3,837,578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tcPr>
          <w:p>
            <w:pPr>
              <w:jc w:val="center"/>
              <w:spacing w:after="0" w:line="159" w:lineRule="exact"/>
              <w:rPr>
                <w:sz w:val="20"/>
                <w:szCs w:val="20"/>
                <w:color w:val="auto"/>
              </w:rPr>
            </w:pPr>
            <w:r>
              <w:rPr>
                <w:rFonts w:ascii="Arial" w:cs="Arial" w:eastAsia="Arial" w:hAnsi="Arial"/>
                <w:sz w:val="14"/>
                <w:szCs w:val="14"/>
                <w:color w:val="auto"/>
                <w:w w:val="95"/>
              </w:rPr>
              <w:t>ENTERTAINMENT</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line="203" w:lineRule="exact"/>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EALOGY</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r>
              <w:rPr>
                <w:rFonts w:ascii="Arial" w:cs="Arial" w:eastAsia="Arial" w:hAnsi="Arial"/>
                <w:sz w:val="22"/>
                <w:szCs w:val="22"/>
                <w:color w:val="auto"/>
                <w:vertAlign w:val="superscript"/>
              </w:rPr>
              <w:t>(5)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04/15/2015</w:t>
            </w: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BUILDINGS &amp; REAL</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12.38%</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26,117,780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21,140,000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5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900" w:type="dxa"/>
            <w:vAlign w:val="bottom"/>
            <w:shd w:val="clear" w:color="auto" w:fill="CCEEFF"/>
          </w:tcPr>
          <w:p>
            <w:pPr>
              <w:jc w:val="center"/>
              <w:spacing w:after="0" w:line="95" w:lineRule="exact"/>
              <w:rPr>
                <w:sz w:val="20"/>
                <w:szCs w:val="20"/>
                <w:color w:val="auto"/>
              </w:rPr>
            </w:pPr>
            <w:r>
              <w:rPr>
                <w:rFonts w:ascii="Arial" w:cs="Arial" w:eastAsia="Arial" w:hAnsi="Arial"/>
                <w:sz w:val="10"/>
                <w:szCs w:val="10"/>
                <w:color w:val="auto"/>
              </w:rPr>
              <w:t>ESTATE</w:t>
            </w:r>
          </w:p>
        </w:tc>
        <w:tc>
          <w:tcPr>
            <w:tcW w:w="2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tcBorders>
              <w:bottom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34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 / Corporate Notes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64,918,268</w:t>
            </w: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62,397,146</w:t>
            </w: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57,318,268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Debt—25.0%</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tcPr>
          <w:p>
            <w:pPr>
              <w:spacing w:after="0" w:line="138"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ERFORMANCE</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10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07/02/2014</w:t>
            </w:r>
          </w:p>
        </w:tc>
        <w:tc>
          <w:tcPr>
            <w:tcW w:w="1900" w:type="dxa"/>
            <w:vAlign w:val="bottom"/>
          </w:tcPr>
          <w:p>
            <w:pPr>
              <w:jc w:val="center"/>
              <w:spacing w:after="0" w:line="138" w:lineRule="exact"/>
              <w:rPr>
                <w:sz w:val="20"/>
                <w:szCs w:val="20"/>
                <w:color w:val="auto"/>
              </w:rPr>
            </w:pPr>
            <w:r>
              <w:rPr>
                <w:rFonts w:ascii="Arial" w:cs="Arial" w:eastAsia="Arial" w:hAnsi="Arial"/>
                <w:sz w:val="14"/>
                <w:szCs w:val="14"/>
                <w:color w:val="auto"/>
                <w:w w:val="93"/>
              </w:rPr>
              <w:t>LEISURE, AMUSEMENT,</w:t>
            </w:r>
          </w:p>
        </w:tc>
        <w:tc>
          <w:tcPr>
            <w:tcW w:w="1260" w:type="dxa"/>
            <w:vAlign w:val="bottom"/>
            <w:gridSpan w:val="3"/>
          </w:tcPr>
          <w:p>
            <w:pPr>
              <w:jc w:val="right"/>
              <w:ind w:right="320"/>
              <w:spacing w:after="0" w:line="138" w:lineRule="exact"/>
              <w:rPr>
                <w:sz w:val="20"/>
                <w:szCs w:val="20"/>
                <w:color w:val="auto"/>
              </w:rPr>
            </w:pPr>
            <w:r>
              <w:rPr>
                <w:rFonts w:ascii="Arial" w:cs="Arial" w:eastAsia="Arial" w:hAnsi="Arial"/>
                <w:sz w:val="14"/>
                <w:szCs w:val="14"/>
                <w:color w:val="auto"/>
              </w:rPr>
              <w:t>11.11%</w:t>
            </w:r>
          </w:p>
        </w:tc>
        <w:tc>
          <w:tcPr>
            <w:tcW w:w="82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L+575</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rPr>
              <w:t>8,750,000</w:t>
            </w:r>
          </w:p>
        </w:tc>
        <w:tc>
          <w:tcPr>
            <w:tcW w:w="10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8,750,000</w:t>
            </w:r>
          </w:p>
        </w:tc>
        <w:tc>
          <w:tcPr>
            <w:tcW w:w="11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8,750,000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3"/>
              </w:rPr>
              <w:t>MOTION PICTURES &amp;</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tcPr>
          <w:p>
            <w:pPr>
              <w:jc w:val="center"/>
              <w:spacing w:after="0" w:line="159" w:lineRule="exact"/>
              <w:rPr>
                <w:sz w:val="20"/>
                <w:szCs w:val="20"/>
                <w:color w:val="auto"/>
              </w:rPr>
            </w:pPr>
            <w:r>
              <w:rPr>
                <w:rFonts w:ascii="Arial" w:cs="Arial" w:eastAsia="Arial" w:hAnsi="Arial"/>
                <w:sz w:val="14"/>
                <w:szCs w:val="14"/>
                <w:color w:val="auto"/>
                <w:w w:val="95"/>
              </w:rPr>
              <w:t>ENTERTAINMENT</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w:t>
            </w:r>
            <w:r>
              <w:rPr>
                <w:rFonts w:ascii="Arial" w:cs="Arial" w:eastAsia="Arial" w:hAnsi="Arial"/>
                <w:sz w:val="11"/>
                <w:szCs w:val="11"/>
                <w:color w:val="auto"/>
              </w:rPr>
              <w:t>UESTEX</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11/04/2014</w:t>
            </w: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OTHER MEDIA</w:t>
            </w:r>
          </w:p>
        </w:tc>
        <w:tc>
          <w:tcPr>
            <w:tcW w:w="12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12.08%</w:t>
            </w:r>
          </w:p>
        </w:tc>
        <w:tc>
          <w:tcPr>
            <w:tcW w:w="8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L+650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9,800,000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gridSpan w:val="2"/>
          </w:tcPr>
          <w:p>
            <w:pPr>
              <w:spacing w:after="0" w:line="176" w:lineRule="exact"/>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AINT</w:t>
            </w:r>
            <w:r>
              <w:rPr>
                <w:rFonts w:ascii="Arial" w:cs="Arial" w:eastAsia="Arial" w:hAnsi="Arial"/>
                <w:sz w:val="13"/>
                <w:szCs w:val="13"/>
                <w:color w:val="auto"/>
              </w:rPr>
              <w:t xml:space="preserve"> A</w:t>
            </w:r>
            <w:r>
              <w:rPr>
                <w:rFonts w:ascii="Arial" w:cs="Arial" w:eastAsia="Arial" w:hAnsi="Arial"/>
                <w:sz w:val="10"/>
                <w:szCs w:val="10"/>
                <w:color w:val="auto"/>
              </w:rPr>
              <w:t>CQUISITION</w:t>
            </w:r>
            <w:r>
              <w:rPr>
                <w:rFonts w:ascii="Arial" w:cs="Arial" w:eastAsia="Arial" w:hAnsi="Arial"/>
                <w:sz w:val="13"/>
                <w:szCs w:val="13"/>
                <w:color w:val="auto"/>
              </w:rPr>
              <w:t xml:space="preserve"> C</w:t>
            </w:r>
            <w:r>
              <w:rPr>
                <w:rFonts w:ascii="Arial" w:cs="Arial" w:eastAsia="Arial" w:hAnsi="Arial"/>
                <w:sz w:val="10"/>
                <w:szCs w:val="10"/>
                <w:color w:val="auto"/>
              </w:rPr>
              <w:t>ORP</w:t>
            </w:r>
            <w:r>
              <w:rPr>
                <w:rFonts w:ascii="Arial" w:cs="Arial" w:eastAsia="Arial" w:hAnsi="Arial"/>
                <w:sz w:val="13"/>
                <w:szCs w:val="13"/>
                <w:color w:val="auto"/>
              </w:rPr>
              <w:t>.</w:t>
            </w:r>
            <w:r>
              <w:rPr>
                <w:rFonts w:ascii="Arial" w:cs="Arial" w:eastAsia="Arial" w:hAnsi="Arial"/>
                <w:sz w:val="20"/>
                <w:szCs w:val="20"/>
                <w:color w:val="auto"/>
                <w:vertAlign w:val="superscript"/>
              </w:rPr>
              <w:t>(5)</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05/15/2015</w:t>
            </w:r>
          </w:p>
        </w:tc>
        <w:tc>
          <w:tcPr>
            <w:tcW w:w="1900" w:type="dxa"/>
            <w:vAlign w:val="bottom"/>
          </w:tcPr>
          <w:p>
            <w:pPr>
              <w:jc w:val="center"/>
              <w:spacing w:after="0"/>
              <w:rPr>
                <w:sz w:val="20"/>
                <w:szCs w:val="20"/>
                <w:color w:val="auto"/>
              </w:rPr>
            </w:pPr>
            <w:r>
              <w:rPr>
                <w:rFonts w:ascii="Arial" w:cs="Arial" w:eastAsia="Arial" w:hAnsi="Arial"/>
                <w:sz w:val="14"/>
                <w:szCs w:val="14"/>
                <w:color w:val="auto"/>
                <w:w w:val="91"/>
              </w:rPr>
              <w:t>TRANSPORTATION</w:t>
            </w:r>
          </w:p>
        </w:tc>
        <w:tc>
          <w:tcPr>
            <w:tcW w:w="1260" w:type="dxa"/>
            <w:vAlign w:val="bottom"/>
            <w:gridSpan w:val="3"/>
          </w:tcPr>
          <w:p>
            <w:pPr>
              <w:jc w:val="right"/>
              <w:ind w:right="320"/>
              <w:spacing w:after="0"/>
              <w:rPr>
                <w:sz w:val="20"/>
                <w:szCs w:val="20"/>
                <w:color w:val="auto"/>
              </w:rPr>
            </w:pPr>
            <w:r>
              <w:rPr>
                <w:rFonts w:ascii="Arial" w:cs="Arial" w:eastAsia="Arial" w:hAnsi="Arial"/>
                <w:sz w:val="14"/>
                <w:szCs w:val="14"/>
                <w:color w:val="auto"/>
              </w:rPr>
              <w:t>13.31%</w:t>
            </w:r>
          </w:p>
        </w:tc>
        <w:tc>
          <w:tcPr>
            <w:tcW w:w="820" w:type="dxa"/>
            <w:vAlign w:val="bottom"/>
            <w:gridSpan w:val="2"/>
          </w:tcPr>
          <w:p>
            <w:pPr>
              <w:ind w:left="240"/>
              <w:spacing w:after="0"/>
              <w:rPr>
                <w:sz w:val="20"/>
                <w:szCs w:val="20"/>
                <w:color w:val="auto"/>
              </w:rPr>
            </w:pPr>
            <w:r>
              <w:rPr>
                <w:rFonts w:ascii="Arial" w:cs="Arial" w:eastAsia="Arial" w:hAnsi="Arial"/>
                <w:sz w:val="14"/>
                <w:szCs w:val="14"/>
                <w:color w:val="auto"/>
              </w:rPr>
              <w:t>L+775</w:t>
            </w:r>
          </w:p>
        </w:tc>
        <w:tc>
          <w:tcPr>
            <w:tcW w:w="840" w:type="dxa"/>
            <w:vAlign w:val="bottom"/>
          </w:tcPr>
          <w:p>
            <w:pPr>
              <w:jc w:val="right"/>
              <w:spacing w:after="0"/>
              <w:rPr>
                <w:sz w:val="20"/>
                <w:szCs w:val="20"/>
                <w:color w:val="auto"/>
              </w:rPr>
            </w:pPr>
            <w:r>
              <w:rPr>
                <w:rFonts w:ascii="Arial" w:cs="Arial" w:eastAsia="Arial" w:hAnsi="Arial"/>
                <w:sz w:val="14"/>
                <w:szCs w:val="14"/>
                <w:color w:val="auto"/>
              </w:rPr>
              <w:t>10,000,000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9,932,321</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6,800,000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AINT</w:t>
            </w:r>
            <w:r>
              <w:rPr>
                <w:rFonts w:ascii="Arial" w:cs="Arial" w:eastAsia="Arial" w:hAnsi="Arial"/>
                <w:sz w:val="13"/>
                <w:szCs w:val="13"/>
                <w:color w:val="auto"/>
              </w:rPr>
              <w:t xml:space="preserve"> A</w:t>
            </w:r>
            <w:r>
              <w:rPr>
                <w:rFonts w:ascii="Arial" w:cs="Arial" w:eastAsia="Arial" w:hAnsi="Arial"/>
                <w:sz w:val="10"/>
                <w:szCs w:val="10"/>
                <w:color w:val="auto"/>
              </w:rPr>
              <w:t>CQUISITION</w:t>
            </w:r>
            <w:r>
              <w:rPr>
                <w:rFonts w:ascii="Arial" w:cs="Arial" w:eastAsia="Arial" w:hAnsi="Arial"/>
                <w:sz w:val="13"/>
                <w:szCs w:val="13"/>
                <w:color w:val="auto"/>
              </w:rPr>
              <w:t xml:space="preserve"> C</w:t>
            </w:r>
            <w:r>
              <w:rPr>
                <w:rFonts w:ascii="Arial" w:cs="Arial" w:eastAsia="Arial" w:hAnsi="Arial"/>
                <w:sz w:val="10"/>
                <w:szCs w:val="10"/>
                <w:color w:val="auto"/>
              </w:rPr>
              <w:t>ORP</w:t>
            </w:r>
            <w:r>
              <w:rPr>
                <w:rFonts w:ascii="Arial" w:cs="Arial" w:eastAsia="Arial" w:hAnsi="Arial"/>
                <w:sz w:val="13"/>
                <w:szCs w:val="13"/>
                <w:color w:val="auto"/>
              </w:rPr>
              <w:t>.</w:t>
            </w:r>
            <w:r>
              <w:rPr>
                <w:rFonts w:ascii="Arial" w:cs="Arial" w:eastAsia="Arial" w:hAnsi="Arial"/>
                <w:sz w:val="20"/>
                <w:szCs w:val="20"/>
                <w:color w:val="auto"/>
                <w:vertAlign w:val="superscript"/>
              </w:rPr>
              <w:t>(5)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05/15/2017</w:t>
            </w: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TRANSPORTATION</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12.50%</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16,198,167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12,730,000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tcPr>
          <w:p>
            <w:pPr>
              <w:spacing w:after="0" w:line="138" w:lineRule="exact"/>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PECIALIZED</w:t>
            </w:r>
            <w:r>
              <w:rPr>
                <w:rFonts w:ascii="Arial" w:cs="Arial" w:eastAsia="Arial" w:hAnsi="Arial"/>
                <w:sz w:val="14"/>
                <w:szCs w:val="14"/>
                <w:color w:val="auto"/>
              </w:rPr>
              <w:t xml:space="preserve"> T</w:t>
            </w:r>
            <w:r>
              <w:rPr>
                <w:rFonts w:ascii="Arial" w:cs="Arial" w:eastAsia="Arial" w:hAnsi="Arial"/>
                <w:sz w:val="11"/>
                <w:szCs w:val="11"/>
                <w:color w:val="auto"/>
              </w:rPr>
              <w:t>ECHNOLOGY</w:t>
            </w:r>
            <w:r>
              <w:rPr>
                <w:rFonts w:ascii="Arial" w:cs="Arial" w:eastAsia="Arial" w:hAnsi="Arial"/>
                <w:sz w:val="14"/>
                <w:szCs w:val="14"/>
                <w:color w:val="auto"/>
              </w:rPr>
              <w:t xml:space="preserve"> R</w:t>
            </w:r>
            <w:r>
              <w:rPr>
                <w:rFonts w:ascii="Arial" w:cs="Arial" w:eastAsia="Arial" w:hAnsi="Arial"/>
                <w:sz w:val="11"/>
                <w:szCs w:val="11"/>
                <w:color w:val="auto"/>
              </w:rPr>
              <w:t>ESOURCES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00" w:type="dxa"/>
            <w:vAlign w:val="bottom"/>
          </w:tcPr>
          <w:p>
            <w:pPr>
              <w:jc w:val="center"/>
              <w:spacing w:after="0" w:line="138" w:lineRule="exact"/>
              <w:rPr>
                <w:sz w:val="20"/>
                <w:szCs w:val="20"/>
                <w:color w:val="auto"/>
              </w:rPr>
            </w:pPr>
            <w:r>
              <w:rPr>
                <w:rFonts w:ascii="Arial" w:cs="Arial" w:eastAsia="Arial" w:hAnsi="Arial"/>
                <w:sz w:val="14"/>
                <w:szCs w:val="14"/>
                <w:color w:val="auto"/>
                <w:w w:val="93"/>
              </w:rPr>
              <w:t>CHEMICAL, PLASTICS</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12/15/2014</w:t>
            </w:r>
          </w:p>
        </w:tc>
        <w:tc>
          <w:tcPr>
            <w:tcW w:w="1900" w:type="dxa"/>
            <w:vAlign w:val="bottom"/>
          </w:tcPr>
          <w:p>
            <w:pPr>
              <w:jc w:val="center"/>
              <w:spacing w:after="0" w:line="159" w:lineRule="exact"/>
              <w:rPr>
                <w:sz w:val="20"/>
                <w:szCs w:val="20"/>
                <w:color w:val="auto"/>
              </w:rPr>
            </w:pPr>
            <w:r>
              <w:rPr>
                <w:rFonts w:ascii="Arial" w:cs="Arial" w:eastAsia="Arial" w:hAnsi="Arial"/>
                <w:sz w:val="14"/>
                <w:szCs w:val="14"/>
                <w:color w:val="auto"/>
                <w:w w:val="92"/>
              </w:rPr>
              <w:t>&amp; RUBBER</w:t>
            </w:r>
          </w:p>
        </w:tc>
        <w:tc>
          <w:tcPr>
            <w:tcW w:w="126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rPr>
              <w:t>12.13%</w:t>
            </w:r>
          </w:p>
        </w:tc>
        <w:tc>
          <w:tcPr>
            <w:tcW w:w="8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L+700</w:t>
            </w: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17,500,000</w:t>
            </w:r>
          </w:p>
        </w:tc>
        <w:tc>
          <w:tcPr>
            <w:tcW w:w="10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17,493,750</w:t>
            </w:r>
          </w:p>
        </w:tc>
        <w:tc>
          <w:tcPr>
            <w:tcW w:w="11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17,237,500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w:t>
            </w:r>
            <w:r>
              <w:rPr>
                <w:rFonts w:ascii="Arial" w:cs="Arial" w:eastAsia="Arial" w:hAnsi="Arial"/>
                <w:sz w:val="11"/>
                <w:szCs w:val="11"/>
                <w:color w:val="auto"/>
              </w:rPr>
              <w:t>RANS</w:t>
            </w:r>
            <w:r>
              <w:rPr>
                <w:rFonts w:ascii="Arial" w:cs="Arial" w:eastAsia="Arial" w:hAnsi="Arial"/>
                <w:sz w:val="14"/>
                <w:szCs w:val="14"/>
                <w:color w:val="auto"/>
              </w:rPr>
              <w:t>F</w:t>
            </w:r>
            <w:r>
              <w:rPr>
                <w:rFonts w:ascii="Arial" w:cs="Arial" w:eastAsia="Arial" w:hAnsi="Arial"/>
                <w:sz w:val="11"/>
                <w:szCs w:val="11"/>
                <w:color w:val="auto"/>
              </w:rPr>
              <w:t>IRST</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06/15/2015</w:t>
            </w: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12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11.30%*</w:t>
            </w:r>
          </w:p>
        </w:tc>
        <w:tc>
          <w:tcPr>
            <w:tcW w:w="8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L+600</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13,000,000</w:t>
            </w:r>
          </w:p>
        </w:tc>
        <w:tc>
          <w:tcPr>
            <w:tcW w:w="22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12,886,250</w:t>
            </w:r>
          </w:p>
        </w:tc>
        <w:tc>
          <w:tcPr>
            <w:tcW w:w="22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12,431,250</w:t>
            </w:r>
          </w:p>
        </w:tc>
        <w:tc>
          <w:tcPr>
            <w:tcW w:w="0" w:type="dxa"/>
            <w:vAlign w:val="bottom"/>
          </w:tcPr>
          <w:p>
            <w:pPr>
              <w:spacing w:after="0"/>
              <w:rPr>
                <w:sz w:val="1"/>
                <w:szCs w:val="1"/>
                <w:color w:val="auto"/>
              </w:rPr>
            </w:pPr>
          </w:p>
        </w:tc>
      </w:tr>
      <w:tr>
        <w:trPr>
          <w:trHeight w:val="156"/>
        </w:trPr>
        <w:tc>
          <w:tcPr>
            <w:tcW w:w="34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78,250,000</w:t>
            </w: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75,260,488</w:t>
            </w: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67,748,750</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Common Equity**—2.6%</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V</w:t>
            </w:r>
            <w:r>
              <w:rPr>
                <w:rFonts w:ascii="Arial" w:cs="Arial" w:eastAsia="Arial" w:hAnsi="Arial"/>
                <w:sz w:val="11"/>
                <w:szCs w:val="11"/>
                <w:color w:val="auto"/>
              </w:rPr>
              <w:t>SS</w:t>
            </w:r>
            <w:r>
              <w:rPr>
                <w:rFonts w:ascii="Arial" w:cs="Arial" w:eastAsia="Arial" w:hAnsi="Arial"/>
                <w:sz w:val="14"/>
                <w:szCs w:val="14"/>
                <w:color w:val="auto"/>
              </w:rPr>
              <w:t>-</w:t>
            </w:r>
            <w:r>
              <w:rPr>
                <w:rFonts w:ascii="Arial" w:cs="Arial" w:eastAsia="Arial" w:hAnsi="Arial"/>
                <w:sz w:val="11"/>
                <w:szCs w:val="11"/>
                <w:color w:val="auto"/>
              </w:rPr>
              <w:t>AHC</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L.L.C.</w:t>
            </w:r>
          </w:p>
        </w:tc>
        <w:tc>
          <w:tcPr>
            <w:tcW w:w="10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6"/>
              </w:rPr>
              <w:t>OTHER MEDIA</w:t>
            </w:r>
          </w:p>
        </w:tc>
        <w:tc>
          <w:tcPr>
            <w:tcW w:w="220" w:type="dxa"/>
            <w:vAlign w:val="bottom"/>
          </w:tcPr>
          <w:p>
            <w:pPr>
              <w:spacing w:after="0"/>
              <w:rPr>
                <w:sz w:val="12"/>
                <w:szCs w:val="12"/>
                <w:color w:val="auto"/>
              </w:rPr>
            </w:pP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3,269,685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5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3"/>
              </w:rPr>
              <w:t>LEISURE, AMUSEMENT,</w:t>
            </w: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ERFORMANCE</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10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MOTION PICTURES &amp;</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3,750,000</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9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5"/>
              </w:rPr>
              <w:t>ENTERTAINMENT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40,500</w:t>
            </w:r>
          </w:p>
        </w:tc>
        <w:tc>
          <w:tcPr>
            <w:tcW w:w="22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6,750,000</w:t>
            </w:r>
          </w:p>
        </w:tc>
        <w:tc>
          <w:tcPr>
            <w:tcW w:w="22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7,019,685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274" w:right="239" w:bottom="1440" w:gutter="0" w:footer="0" w:header="0"/>
        </w:sectPr>
      </w:pPr>
    </w:p>
    <w:bookmarkStart w:id="145" w:name="page146"/>
    <w:bookmarkEnd w:id="145"/>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Basis Point</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Current</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Above</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3640" w:type="dxa"/>
            <w:vAlign w:val="bottom"/>
            <w:gridSpan w:val="3"/>
            <w:vMerge w:val="continue"/>
          </w:tcPr>
          <w:p>
            <w:pPr>
              <w:spacing w:after="0"/>
              <w:rPr>
                <w:sz w:val="15"/>
                <w:szCs w:val="15"/>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Maturity</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Coupon</w:t>
            </w:r>
          </w:p>
        </w:tc>
        <w:tc>
          <w:tcPr>
            <w:tcW w:w="86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12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5"/>
                <w:szCs w:val="15"/>
                <w:color w:val="auto"/>
              </w:rPr>
            </w:pPr>
          </w:p>
        </w:tc>
        <w:tc>
          <w:tcPr>
            <w:tcW w:w="920" w:type="dxa"/>
            <w:vAlign w:val="bottom"/>
            <w:gridSpan w:val="2"/>
          </w:tcPr>
          <w:p>
            <w:pPr>
              <w:ind w:left="2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6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Debt—58.8%</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tcPr>
          <w:p>
            <w:pPr>
              <w:spacing w:after="0" w:line="138" w:lineRule="exact"/>
              <w:rPr>
                <w:sz w:val="20"/>
                <w:szCs w:val="20"/>
                <w:color w:val="auto"/>
              </w:rPr>
            </w:pPr>
            <w:r>
              <w:rPr>
                <w:rFonts w:ascii="Arial" w:cs="Arial" w:eastAsia="Arial" w:hAnsi="Arial"/>
                <w:sz w:val="14"/>
                <w:szCs w:val="14"/>
                <w:color w:val="auto"/>
              </w:rPr>
              <w:t>B</w:t>
            </w:r>
            <w:r>
              <w:rPr>
                <w:rFonts w:ascii="Arial" w:cs="Arial" w:eastAsia="Arial" w:hAnsi="Arial"/>
                <w:sz w:val="11"/>
                <w:szCs w:val="11"/>
                <w:color w:val="auto"/>
              </w:rPr>
              <w:t>ERRY</w:t>
            </w:r>
            <w:r>
              <w:rPr>
                <w:rFonts w:ascii="Arial" w:cs="Arial" w:eastAsia="Arial" w:hAnsi="Arial"/>
                <w:sz w:val="14"/>
                <w:szCs w:val="14"/>
                <w:color w:val="auto"/>
              </w:rPr>
              <w:t xml:space="preserve"> P</w:t>
            </w:r>
            <w:r>
              <w:rPr>
                <w:rFonts w:ascii="Arial" w:cs="Arial" w:eastAsia="Arial" w:hAnsi="Arial"/>
                <w:sz w:val="11"/>
                <w:szCs w:val="11"/>
                <w:color w:val="auto"/>
              </w:rPr>
              <w:t>LASTICS</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91"/>
              </w:rPr>
              <w:t>CONTAINERS,</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9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04/03/2015</w:t>
            </w:r>
          </w:p>
        </w:tc>
        <w:tc>
          <w:tcPr>
            <w:tcW w:w="1880" w:type="dxa"/>
            <w:vAlign w:val="bottom"/>
          </w:tcPr>
          <w:p>
            <w:pPr>
              <w:jc w:val="center"/>
              <w:spacing w:after="0" w:line="159" w:lineRule="exact"/>
              <w:rPr>
                <w:sz w:val="20"/>
                <w:szCs w:val="20"/>
                <w:color w:val="auto"/>
              </w:rPr>
            </w:pPr>
            <w:r>
              <w:rPr>
                <w:rFonts w:ascii="Arial" w:cs="Arial" w:eastAsia="Arial" w:hAnsi="Arial"/>
                <w:sz w:val="14"/>
                <w:szCs w:val="14"/>
                <w:color w:val="auto"/>
                <w:w w:val="93"/>
              </w:rPr>
              <w:t>PACKAGING &amp; GLASS</w:t>
            </w:r>
          </w:p>
        </w:tc>
        <w:tc>
          <w:tcPr>
            <w:tcW w:w="112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7.34%</w:t>
            </w:r>
          </w:p>
        </w:tc>
        <w:tc>
          <w:tcPr>
            <w:tcW w:w="86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L+200</w:t>
            </w:r>
          </w:p>
        </w:tc>
        <w:tc>
          <w:tcPr>
            <w:tcW w:w="104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   7,462,500</w:t>
            </w:r>
          </w:p>
        </w:tc>
        <w:tc>
          <w:tcPr>
            <w:tcW w:w="102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   7,462,500</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   7,274,602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w:t>
            </w:r>
            <w:r>
              <w:rPr>
                <w:rFonts w:ascii="Arial" w:cs="Arial" w:eastAsia="Arial" w:hAnsi="Arial"/>
                <w:sz w:val="11"/>
                <w:szCs w:val="11"/>
                <w:color w:val="auto"/>
              </w:rPr>
              <w:t>URLINGTON</w:t>
            </w:r>
            <w:r>
              <w:rPr>
                <w:rFonts w:ascii="Arial" w:cs="Arial" w:eastAsia="Arial" w:hAnsi="Arial"/>
                <w:sz w:val="14"/>
                <w:szCs w:val="14"/>
                <w:color w:val="auto"/>
              </w:rPr>
              <w:t xml:space="preserve"> C</w:t>
            </w:r>
            <w:r>
              <w:rPr>
                <w:rFonts w:ascii="Arial" w:cs="Arial" w:eastAsia="Arial" w:hAnsi="Arial"/>
                <w:sz w:val="11"/>
                <w:szCs w:val="11"/>
                <w:color w:val="auto"/>
              </w:rPr>
              <w:t>OAT</w:t>
            </w:r>
            <w:r>
              <w:rPr>
                <w:rFonts w:ascii="Arial" w:cs="Arial" w:eastAsia="Arial" w:hAnsi="Arial"/>
                <w:sz w:val="14"/>
                <w:szCs w:val="14"/>
                <w:color w:val="auto"/>
              </w:rPr>
              <w:t xml:space="preserve"> F</w:t>
            </w:r>
            <w:r>
              <w:rPr>
                <w:rFonts w:ascii="Arial" w:cs="Arial" w:eastAsia="Arial" w:hAnsi="Arial"/>
                <w:sz w:val="11"/>
                <w:szCs w:val="11"/>
                <w:color w:val="auto"/>
              </w:rPr>
              <w:t>ACTORY</w:t>
            </w:r>
            <w:r>
              <w:rPr>
                <w:rFonts w:ascii="Arial" w:cs="Arial" w:eastAsia="Arial" w:hAnsi="Arial"/>
                <w:sz w:val="14"/>
                <w:szCs w:val="14"/>
                <w:color w:val="auto"/>
              </w:rPr>
              <w:t xml:space="preserve"> W</w:t>
            </w:r>
            <w:r>
              <w:rPr>
                <w:rFonts w:ascii="Arial" w:cs="Arial" w:eastAsia="Arial" w:hAnsi="Arial"/>
                <w:sz w:val="11"/>
                <w:szCs w:val="11"/>
                <w:color w:val="auto"/>
              </w:rPr>
              <w:t>AREHOUSE</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9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05/28/2013</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RETAIL STORE</w:t>
            </w:r>
          </w:p>
        </w:tc>
        <w:tc>
          <w:tcPr>
            <w:tcW w:w="11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7.76%</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L+225</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7,896,473</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7,887,537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7,571,975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HARTER</w:t>
            </w:r>
            <w:r>
              <w:rPr>
                <w:rFonts w:ascii="Arial" w:cs="Arial" w:eastAsia="Arial" w:hAnsi="Arial"/>
                <w:sz w:val="14"/>
                <w:szCs w:val="14"/>
                <w:color w:val="auto"/>
              </w:rPr>
              <w:t xml:space="preserve"> C</w:t>
            </w:r>
            <w:r>
              <w:rPr>
                <w:rFonts w:ascii="Arial" w:cs="Arial" w:eastAsia="Arial" w:hAnsi="Arial"/>
                <w:sz w:val="11"/>
                <w:szCs w:val="11"/>
                <w:color w:val="auto"/>
              </w:rPr>
              <w:t>OMMUNICATIONS</w:t>
            </w:r>
            <w:r>
              <w:rPr>
                <w:rFonts w:ascii="Arial" w:cs="Arial" w:eastAsia="Arial" w:hAnsi="Arial"/>
                <w:sz w:val="14"/>
                <w:szCs w:val="14"/>
                <w:color w:val="auto"/>
              </w:rPr>
              <w:t xml:space="preserve"> O</w:t>
            </w:r>
            <w:r>
              <w:rPr>
                <w:rFonts w:ascii="Arial" w:cs="Arial" w:eastAsia="Arial" w:hAnsi="Arial"/>
                <w:sz w:val="11"/>
                <w:szCs w:val="11"/>
                <w:color w:val="auto"/>
              </w:rPr>
              <w:t>PERATING</w:t>
            </w:r>
            <w:r>
              <w:rPr>
                <w:rFonts w:ascii="Arial" w:cs="Arial" w:eastAsia="Arial" w:hAnsi="Arial"/>
                <w:sz w:val="14"/>
                <w:szCs w:val="14"/>
                <w:color w:val="auto"/>
              </w:rPr>
              <w:t>, L.L.C.</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03/06/2014</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6"/>
              </w:rPr>
              <w:t>CABLE TELEVISION</w:t>
            </w:r>
          </w:p>
        </w:tc>
        <w:tc>
          <w:tcPr>
            <w:tcW w:w="11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7.13%</w:t>
            </w:r>
          </w:p>
        </w:tc>
        <w:tc>
          <w:tcPr>
            <w:tcW w:w="8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L+200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15,000,000</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14,992,740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14,468,310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OHR</w:t>
            </w:r>
            <w:r>
              <w:rPr>
                <w:rFonts w:ascii="Arial" w:cs="Arial" w:eastAsia="Arial" w:hAnsi="Arial"/>
                <w:sz w:val="14"/>
                <w:szCs w:val="14"/>
                <w:color w:val="auto"/>
              </w:rPr>
              <w:t xml:space="preserve"> H</w:t>
            </w:r>
            <w:r>
              <w:rPr>
                <w:rFonts w:ascii="Arial" w:cs="Arial" w:eastAsia="Arial" w:hAnsi="Arial"/>
                <w:sz w:val="11"/>
                <w:szCs w:val="11"/>
                <w:color w:val="auto"/>
              </w:rPr>
              <w:t>OLDINGS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4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01/31/2013</w:t>
            </w: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HEALTH CARE,</w:t>
            </w:r>
          </w:p>
        </w:tc>
        <w:tc>
          <w:tcPr>
            <w:tcW w:w="112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8.04%</w:t>
            </w:r>
          </w:p>
        </w:tc>
        <w:tc>
          <w:tcPr>
            <w:tcW w:w="860" w:type="dxa"/>
            <w:vAlign w:val="bottom"/>
            <w:gridSpan w:val="2"/>
            <w:shd w:val="clear" w:color="auto" w:fill="CCEEFF"/>
          </w:tcPr>
          <w:p>
            <w:pPr>
              <w:ind w:left="400"/>
              <w:spacing w:after="0" w:line="138" w:lineRule="exact"/>
              <w:rPr>
                <w:sz w:val="20"/>
                <w:szCs w:val="20"/>
                <w:color w:val="auto"/>
              </w:rPr>
            </w:pPr>
            <w:r>
              <w:rPr>
                <w:rFonts w:ascii="Arial" w:cs="Arial" w:eastAsia="Arial" w:hAnsi="Arial"/>
                <w:sz w:val="14"/>
                <w:szCs w:val="14"/>
                <w:color w:val="auto"/>
              </w:rPr>
              <w:t>L+250</w:t>
            </w:r>
          </w:p>
        </w:tc>
        <w:tc>
          <w:tcPr>
            <w:tcW w:w="104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2,985,000</w:t>
            </w:r>
          </w:p>
        </w:tc>
        <w:tc>
          <w:tcPr>
            <w:tcW w:w="102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2,985,000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2,388,000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EDUCATION &amp;</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7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CHILDCARE</w:t>
            </w: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FR B</w:t>
            </w:r>
            <w:r>
              <w:rPr>
                <w:rFonts w:ascii="Arial" w:cs="Arial" w:eastAsia="Arial" w:hAnsi="Arial"/>
                <w:sz w:val="11"/>
                <w:szCs w:val="11"/>
                <w:color w:val="auto"/>
              </w:rPr>
              <w:t>RAND</w:t>
            </w:r>
            <w:r>
              <w:rPr>
                <w:rFonts w:ascii="Arial" w:cs="Arial" w:eastAsia="Arial" w:hAnsi="Arial"/>
                <w:sz w:val="14"/>
                <w:szCs w:val="14"/>
                <w:color w:val="auto"/>
              </w:rPr>
              <w:t xml:space="preserve"> A</w:t>
            </w:r>
            <w:r>
              <w:rPr>
                <w:rFonts w:ascii="Arial" w:cs="Arial" w:eastAsia="Arial" w:hAnsi="Arial"/>
                <w:sz w:val="11"/>
                <w:szCs w:val="11"/>
                <w:color w:val="auto"/>
              </w:rPr>
              <w:t>CQUISITION</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02/07/2014</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3"/>
              </w:rPr>
              <w:t>ENERGY / UTILITIES</w:t>
            </w:r>
          </w:p>
        </w:tc>
        <w:tc>
          <w:tcPr>
            <w:tcW w:w="11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7.53%</w:t>
            </w:r>
          </w:p>
        </w:tc>
        <w:tc>
          <w:tcPr>
            <w:tcW w:w="8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L+225</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1,990,000</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1,990,000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1,887,183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ATEHOUSE</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xml:space="preserve"> O</w:t>
            </w:r>
            <w:r>
              <w:rPr>
                <w:rFonts w:ascii="Arial" w:cs="Arial" w:eastAsia="Arial" w:hAnsi="Arial"/>
                <w:sz w:val="11"/>
                <w:szCs w:val="11"/>
                <w:color w:val="auto"/>
              </w:rPr>
              <w:t>PERATING</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08/28/2014</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MEDIA</w:t>
            </w:r>
          </w:p>
        </w:tc>
        <w:tc>
          <w:tcPr>
            <w:tcW w:w="11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7.47%</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L+200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7,000,000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6,405,000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ENERAL</w:t>
            </w:r>
            <w:r>
              <w:rPr>
                <w:rFonts w:ascii="Arial" w:cs="Arial" w:eastAsia="Arial" w:hAnsi="Arial"/>
                <w:sz w:val="14"/>
                <w:szCs w:val="14"/>
                <w:color w:val="auto"/>
              </w:rPr>
              <w:t xml:space="preserve"> N</w:t>
            </w:r>
            <w:r>
              <w:rPr>
                <w:rFonts w:ascii="Arial" w:cs="Arial" w:eastAsia="Arial" w:hAnsi="Arial"/>
                <w:sz w:val="11"/>
                <w:szCs w:val="11"/>
                <w:color w:val="auto"/>
              </w:rPr>
              <w:t>UTRITION</w:t>
            </w:r>
            <w:r>
              <w:rPr>
                <w:rFonts w:ascii="Arial" w:cs="Arial" w:eastAsia="Arial" w:hAnsi="Arial"/>
                <w:sz w:val="14"/>
                <w:szCs w:val="14"/>
                <w:color w:val="auto"/>
              </w:rPr>
              <w:t xml:space="preserve"> C</w:t>
            </w:r>
            <w:r>
              <w:rPr>
                <w:rFonts w:ascii="Arial" w:cs="Arial" w:eastAsia="Arial" w:hAnsi="Arial"/>
                <w:sz w:val="11"/>
                <w:szCs w:val="11"/>
                <w:color w:val="auto"/>
              </w:rPr>
              <w:t>ENTERS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09/16/2013</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0"/>
              </w:rPr>
              <w:t>RETAIL STORE</w:t>
            </w:r>
          </w:p>
        </w:tc>
        <w:tc>
          <w:tcPr>
            <w:tcW w:w="11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7.61%</w:t>
            </w:r>
          </w:p>
        </w:tc>
        <w:tc>
          <w:tcPr>
            <w:tcW w:w="8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L+225</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6,483,750</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6,487,788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6,147,405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w:t>
            </w:r>
            <w:r>
              <w:rPr>
                <w:rFonts w:ascii="Arial" w:cs="Arial" w:eastAsia="Arial" w:hAnsi="Arial"/>
                <w:sz w:val="11"/>
                <w:szCs w:val="11"/>
                <w:color w:val="auto"/>
              </w:rPr>
              <w:t>REATWIDE</w:t>
            </w:r>
            <w:r>
              <w:rPr>
                <w:rFonts w:ascii="Arial" w:cs="Arial" w:eastAsia="Arial" w:hAnsi="Arial"/>
                <w:sz w:val="14"/>
                <w:szCs w:val="14"/>
                <w:color w:val="auto"/>
              </w:rPr>
              <w:t xml:space="preserve"> L</w:t>
            </w:r>
            <w:r>
              <w:rPr>
                <w:rFonts w:ascii="Arial" w:cs="Arial" w:eastAsia="Arial" w:hAnsi="Arial"/>
                <w:sz w:val="11"/>
                <w:szCs w:val="11"/>
                <w:color w:val="auto"/>
              </w:rPr>
              <w:t>OGISTICS</w:t>
            </w:r>
            <w:r>
              <w:rPr>
                <w:rFonts w:ascii="Arial" w:cs="Arial" w:eastAsia="Arial" w:hAnsi="Arial"/>
                <w:sz w:val="14"/>
                <w:szCs w:val="14"/>
                <w:color w:val="auto"/>
              </w:rPr>
              <w:t xml:space="preserve"> S</w:t>
            </w:r>
            <w:r>
              <w:rPr>
                <w:rFonts w:ascii="Arial" w:cs="Arial" w:eastAsia="Arial" w:hAnsi="Arial"/>
                <w:sz w:val="11"/>
                <w:szCs w:val="11"/>
                <w:color w:val="auto"/>
              </w:rPr>
              <w:t>ERVICES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12/19/2013</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CARGO TRANSPORT</w:t>
            </w:r>
          </w:p>
        </w:tc>
        <w:tc>
          <w:tcPr>
            <w:tcW w:w="11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8.70%</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L+350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6,947,500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6,947,500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6,079,062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ANLEY</w:t>
            </w:r>
            <w:r>
              <w:rPr>
                <w:rFonts w:ascii="Arial" w:cs="Arial" w:eastAsia="Arial" w:hAnsi="Arial"/>
                <w:sz w:val="14"/>
                <w:szCs w:val="14"/>
                <w:color w:val="auto"/>
              </w:rPr>
              <w:t>-W</w:t>
            </w:r>
            <w:r>
              <w:rPr>
                <w:rFonts w:ascii="Arial" w:cs="Arial" w:eastAsia="Arial" w:hAnsi="Arial"/>
                <w:sz w:val="11"/>
                <w:szCs w:val="11"/>
                <w:color w:val="auto"/>
              </w:rPr>
              <w:t>OOD</w:t>
            </w:r>
            <w:r>
              <w:rPr>
                <w:rFonts w:ascii="Arial" w:cs="Arial" w:eastAsia="Arial" w:hAnsi="Arial"/>
                <w:sz w:val="14"/>
                <w:szCs w:val="14"/>
                <w:color w:val="auto"/>
              </w:rPr>
              <w:t>, L.L.C.</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03/08/2014</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11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7.60%</w:t>
            </w:r>
          </w:p>
        </w:tc>
        <w:tc>
          <w:tcPr>
            <w:tcW w:w="8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L+225</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9,000,000</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7,845,003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AWKER</w:t>
            </w:r>
            <w:r>
              <w:rPr>
                <w:rFonts w:ascii="Arial" w:cs="Arial" w:eastAsia="Arial" w:hAnsi="Arial"/>
                <w:sz w:val="14"/>
                <w:szCs w:val="14"/>
                <w:color w:val="auto"/>
              </w:rPr>
              <w:t xml:space="preserve"> B</w:t>
            </w:r>
            <w:r>
              <w:rPr>
                <w:rFonts w:ascii="Arial" w:cs="Arial" w:eastAsia="Arial" w:hAnsi="Arial"/>
                <w:sz w:val="11"/>
                <w:szCs w:val="11"/>
                <w:color w:val="auto"/>
              </w:rPr>
              <w:t>EECHCRAFT</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03/28/2014</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AEROSPACE &amp; DEFENSE</w:t>
            </w:r>
          </w:p>
        </w:tc>
        <w:tc>
          <w:tcPr>
            <w:tcW w:w="11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7.21%</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L+200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1,990,780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1,990,780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1,930,226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94"/>
              </w:rPr>
              <w:t>HEALTH CARE,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EALTH</w:t>
            </w:r>
            <w:r>
              <w:rPr>
                <w:rFonts w:ascii="Arial" w:cs="Arial" w:eastAsia="Arial" w:hAnsi="Arial"/>
                <w:sz w:val="14"/>
                <w:szCs w:val="14"/>
                <w:color w:val="auto"/>
              </w:rPr>
              <w:t xml:space="preserve"> M</w:t>
            </w:r>
            <w:r>
              <w:rPr>
                <w:rFonts w:ascii="Arial" w:cs="Arial" w:eastAsia="Arial" w:hAnsi="Arial"/>
                <w:sz w:val="11"/>
                <w:szCs w:val="11"/>
                <w:color w:val="auto"/>
              </w:rPr>
              <w:t>ANAGEMENT</w:t>
            </w:r>
            <w:r>
              <w:rPr>
                <w:rFonts w:ascii="Arial" w:cs="Arial" w:eastAsia="Arial" w:hAnsi="Arial"/>
                <w:sz w:val="14"/>
                <w:szCs w:val="14"/>
                <w:color w:val="auto"/>
              </w:rPr>
              <w:t xml:space="preserve"> A</w:t>
            </w:r>
            <w:r>
              <w:rPr>
                <w:rFonts w:ascii="Arial" w:cs="Arial" w:eastAsia="Arial" w:hAnsi="Arial"/>
                <w:sz w:val="11"/>
                <w:szCs w:val="11"/>
                <w:color w:val="auto"/>
              </w:rPr>
              <w:t>SSOCIATES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02/28/2014</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6"/>
              </w:rPr>
              <w:t>EDUCATION &amp;</w:t>
            </w:r>
          </w:p>
        </w:tc>
        <w:tc>
          <w:tcPr>
            <w:tcW w:w="11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6.95%</w:t>
            </w:r>
          </w:p>
        </w:tc>
        <w:tc>
          <w:tcPr>
            <w:tcW w:w="8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L+175</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9,950,000</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9,950,000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9,441,615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jc w:val="center"/>
              <w:spacing w:after="0" w:line="159" w:lineRule="exact"/>
              <w:rPr>
                <w:sz w:val="20"/>
                <w:szCs w:val="20"/>
                <w:color w:val="auto"/>
              </w:rPr>
            </w:pPr>
            <w:r>
              <w:rPr>
                <w:rFonts w:ascii="Arial" w:cs="Arial" w:eastAsia="Arial" w:hAnsi="Arial"/>
                <w:sz w:val="14"/>
                <w:szCs w:val="14"/>
                <w:color w:val="auto"/>
                <w:w w:val="93"/>
              </w:rPr>
              <w:t>CHILDCARE</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w:t>
            </w:r>
            <w:r>
              <w:rPr>
                <w:rFonts w:ascii="Arial" w:cs="Arial" w:eastAsia="Arial" w:hAnsi="Arial"/>
                <w:sz w:val="11"/>
                <w:szCs w:val="11"/>
                <w:color w:val="auto"/>
              </w:rPr>
              <w:t>UGHES</w:t>
            </w:r>
            <w:r>
              <w:rPr>
                <w:rFonts w:ascii="Arial" w:cs="Arial" w:eastAsia="Arial" w:hAnsi="Arial"/>
                <w:sz w:val="14"/>
                <w:szCs w:val="14"/>
                <w:color w:val="auto"/>
              </w:rPr>
              <w:t xml:space="preserve"> N</w:t>
            </w:r>
            <w:r>
              <w:rPr>
                <w:rFonts w:ascii="Arial" w:cs="Arial" w:eastAsia="Arial" w:hAnsi="Arial"/>
                <w:sz w:val="11"/>
                <w:szCs w:val="11"/>
                <w:color w:val="auto"/>
              </w:rPr>
              <w:t>ETWORK</w:t>
            </w:r>
            <w:r>
              <w:rPr>
                <w:rFonts w:ascii="Arial" w:cs="Arial" w:eastAsia="Arial" w:hAnsi="Arial"/>
                <w:sz w:val="14"/>
                <w:szCs w:val="14"/>
                <w:color w:val="auto"/>
              </w:rPr>
              <w:t xml:space="preserve"> S</w:t>
            </w:r>
            <w:r>
              <w:rPr>
                <w:rFonts w:ascii="Arial" w:cs="Arial" w:eastAsia="Arial" w:hAnsi="Arial"/>
                <w:sz w:val="11"/>
                <w:szCs w:val="11"/>
                <w:color w:val="auto"/>
              </w:rPr>
              <w:t>YSTEMS</w:t>
            </w:r>
            <w:r>
              <w:rPr>
                <w:rFonts w:ascii="Arial" w:cs="Arial" w:eastAsia="Arial" w:hAnsi="Arial"/>
                <w:sz w:val="14"/>
                <w:szCs w:val="14"/>
                <w:color w:val="auto"/>
              </w:rPr>
              <w:t>, L.L.C.</w:t>
            </w:r>
          </w:p>
        </w:tc>
        <w:tc>
          <w:tcPr>
            <w:tcW w:w="9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04/15/2014</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TELECOMMUNICATIONS</w:t>
            </w:r>
          </w:p>
        </w:tc>
        <w:tc>
          <w:tcPr>
            <w:tcW w:w="11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8.06%</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L+250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5,000,000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4,625,000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94"/>
              </w:rPr>
              <w:t>HOME &amp; OFFICE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J</w:t>
            </w:r>
            <w:r>
              <w:rPr>
                <w:rFonts w:ascii="Arial" w:cs="Arial" w:eastAsia="Arial" w:hAnsi="Arial"/>
                <w:sz w:val="11"/>
                <w:szCs w:val="11"/>
                <w:color w:val="auto"/>
              </w:rPr>
              <w:t>ACUZZI</w:t>
            </w:r>
            <w:r>
              <w:rPr>
                <w:rFonts w:ascii="Arial" w:cs="Arial" w:eastAsia="Arial" w:hAnsi="Arial"/>
                <w:sz w:val="14"/>
                <w:szCs w:val="14"/>
                <w:color w:val="auto"/>
              </w:rPr>
              <w:t xml:space="preserve"> B</w:t>
            </w:r>
            <w:r>
              <w:rPr>
                <w:rFonts w:ascii="Arial" w:cs="Arial" w:eastAsia="Arial" w:hAnsi="Arial"/>
                <w:sz w:val="11"/>
                <w:szCs w:val="11"/>
                <w:color w:val="auto"/>
              </w:rPr>
              <w:t>RANDS</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02/07/2014</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0"/>
              </w:rPr>
              <w:t>FURNISHINGS, HOUSE</w:t>
            </w:r>
          </w:p>
        </w:tc>
        <w:tc>
          <w:tcPr>
            <w:tcW w:w="11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7.44%</w:t>
            </w:r>
          </w:p>
        </w:tc>
        <w:tc>
          <w:tcPr>
            <w:tcW w:w="8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L+225</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9,963,514</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9,963,514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8,947,235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jc w:val="center"/>
              <w:spacing w:after="0" w:line="159" w:lineRule="exact"/>
              <w:rPr>
                <w:sz w:val="20"/>
                <w:szCs w:val="20"/>
                <w:color w:val="auto"/>
              </w:rPr>
            </w:pPr>
            <w:r>
              <w:rPr>
                <w:rFonts w:ascii="Arial" w:cs="Arial" w:eastAsia="Arial" w:hAnsi="Arial"/>
                <w:sz w:val="14"/>
                <w:szCs w:val="14"/>
                <w:color w:val="auto"/>
                <w:w w:val="93"/>
              </w:rPr>
              <w:t>WARES &amp; DURABLES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EVEL</w:t>
            </w:r>
            <w:r>
              <w:rPr>
                <w:rFonts w:ascii="Arial" w:cs="Arial" w:eastAsia="Arial" w:hAnsi="Arial"/>
                <w:sz w:val="14"/>
                <w:szCs w:val="14"/>
                <w:color w:val="auto"/>
              </w:rPr>
              <w:t xml:space="preserve"> 3 F</w:t>
            </w:r>
            <w:r>
              <w:rPr>
                <w:rFonts w:ascii="Arial" w:cs="Arial" w:eastAsia="Arial" w:hAnsi="Arial"/>
                <w:sz w:val="11"/>
                <w:szCs w:val="11"/>
                <w:color w:val="auto"/>
              </w:rPr>
              <w:t>INANCING</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03/13/2014</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TELECOMMUNICATIONS</w:t>
            </w:r>
          </w:p>
        </w:tc>
        <w:tc>
          <w:tcPr>
            <w:tcW w:w="11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7.61%</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L+225</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2,000,000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1,939,642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EVLAD</w:t>
            </w:r>
            <w:r>
              <w:rPr>
                <w:rFonts w:ascii="Arial" w:cs="Arial" w:eastAsia="Arial" w:hAnsi="Arial"/>
                <w:sz w:val="14"/>
                <w:szCs w:val="14"/>
                <w:color w:val="auto"/>
              </w:rPr>
              <w:t>, L.L.C.</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03/08/2014</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0"/>
              </w:rPr>
              <w:t>CONSUMER PRODUCTS</w:t>
            </w:r>
          </w:p>
        </w:tc>
        <w:tc>
          <w:tcPr>
            <w:tcW w:w="11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7.58%</w:t>
            </w:r>
          </w:p>
        </w:tc>
        <w:tc>
          <w:tcPr>
            <w:tcW w:w="8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L+225</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4,842,920</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4,842,920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3,357,757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w:t>
            </w:r>
            <w:r>
              <w:rPr>
                <w:rFonts w:ascii="Arial" w:cs="Arial" w:eastAsia="Arial" w:hAnsi="Arial"/>
                <w:sz w:val="11"/>
                <w:szCs w:val="11"/>
                <w:color w:val="auto"/>
              </w:rPr>
              <w:t>ONGVIEW</w:t>
            </w:r>
            <w:r>
              <w:rPr>
                <w:rFonts w:ascii="Arial" w:cs="Arial" w:eastAsia="Arial" w:hAnsi="Arial"/>
                <w:sz w:val="14"/>
                <w:szCs w:val="14"/>
                <w:color w:val="auto"/>
              </w:rPr>
              <w:t xml:space="preserve"> P</w:t>
            </w:r>
            <w:r>
              <w:rPr>
                <w:rFonts w:ascii="Arial" w:cs="Arial" w:eastAsia="Arial" w:hAnsi="Arial"/>
                <w:sz w:val="11"/>
                <w:szCs w:val="11"/>
                <w:color w:val="auto"/>
              </w:rPr>
              <w:t>OWER</w:t>
            </w:r>
            <w:r>
              <w:rPr>
                <w:rFonts w:ascii="Arial" w:cs="Arial" w:eastAsia="Arial" w:hAnsi="Arial"/>
                <w:sz w:val="14"/>
                <w:szCs w:val="14"/>
                <w:color w:val="auto"/>
              </w:rPr>
              <w:t>, L.L.C.</w:t>
            </w:r>
          </w:p>
        </w:tc>
        <w:tc>
          <w:tcPr>
            <w:tcW w:w="9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02/28/2014</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UTILITIES</w:t>
            </w:r>
          </w:p>
        </w:tc>
        <w:tc>
          <w:tcPr>
            <w:tcW w:w="11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7.56%</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L+225</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2,020,000</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2,020,000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1,939,200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20" w:type="dxa"/>
            <w:vAlign w:val="bottom"/>
            <w:gridSpan w:val="2"/>
          </w:tcPr>
          <w:p>
            <w:pPr>
              <w:spacing w:after="0" w:line="176" w:lineRule="exact"/>
              <w:rPr>
                <w:sz w:val="20"/>
                <w:szCs w:val="20"/>
                <w:color w:val="auto"/>
              </w:rPr>
            </w:pPr>
            <w:r>
              <w:rPr>
                <w:rFonts w:ascii="Arial" w:cs="Arial" w:eastAsia="Arial" w:hAnsi="Arial"/>
                <w:sz w:val="13"/>
                <w:szCs w:val="13"/>
                <w:color w:val="auto"/>
              </w:rPr>
              <w:t>L</w:t>
            </w:r>
            <w:r>
              <w:rPr>
                <w:rFonts w:ascii="Arial" w:cs="Arial" w:eastAsia="Arial" w:hAnsi="Arial"/>
                <w:sz w:val="10"/>
                <w:szCs w:val="10"/>
                <w:color w:val="auto"/>
              </w:rPr>
              <w:t>ONGVIEW</w:t>
            </w:r>
            <w:r>
              <w:rPr>
                <w:rFonts w:ascii="Arial" w:cs="Arial" w:eastAsia="Arial" w:hAnsi="Arial"/>
                <w:sz w:val="13"/>
                <w:szCs w:val="13"/>
                <w:color w:val="auto"/>
              </w:rPr>
              <w:t xml:space="preserve"> P</w:t>
            </w:r>
            <w:r>
              <w:rPr>
                <w:rFonts w:ascii="Arial" w:cs="Arial" w:eastAsia="Arial" w:hAnsi="Arial"/>
                <w:sz w:val="10"/>
                <w:szCs w:val="10"/>
                <w:color w:val="auto"/>
              </w:rPr>
              <w:t>OWER</w:t>
            </w:r>
            <w:r>
              <w:rPr>
                <w:rFonts w:ascii="Arial" w:cs="Arial" w:eastAsia="Arial" w:hAnsi="Arial"/>
                <w:sz w:val="13"/>
                <w:szCs w:val="13"/>
                <w:color w:val="auto"/>
              </w:rPr>
              <w:t>, L.L.C.</w:t>
            </w:r>
            <w:r>
              <w:rPr>
                <w:rFonts w:ascii="Arial" w:cs="Arial" w:eastAsia="Arial" w:hAnsi="Arial"/>
                <w:sz w:val="20"/>
                <w:szCs w:val="20"/>
                <w:color w:val="auto"/>
                <w:vertAlign w:val="superscript"/>
              </w:rPr>
              <w:t>(4)</w:t>
            </w:r>
          </w:p>
        </w:tc>
        <w:tc>
          <w:tcPr>
            <w:tcW w:w="940" w:type="dxa"/>
            <w:vAlign w:val="bottom"/>
            <w:gridSpan w:val="2"/>
          </w:tcPr>
          <w:p>
            <w:pPr>
              <w:ind w:left="120"/>
              <w:spacing w:after="0"/>
              <w:rPr>
                <w:sz w:val="20"/>
                <w:szCs w:val="20"/>
                <w:color w:val="auto"/>
              </w:rPr>
            </w:pPr>
            <w:r>
              <w:rPr>
                <w:rFonts w:ascii="Arial" w:cs="Arial" w:eastAsia="Arial" w:hAnsi="Arial"/>
                <w:sz w:val="14"/>
                <w:szCs w:val="14"/>
                <w:color w:val="auto"/>
              </w:rPr>
              <w:t>02/28/2014</w:t>
            </w:r>
          </w:p>
        </w:tc>
        <w:tc>
          <w:tcPr>
            <w:tcW w:w="1880" w:type="dxa"/>
            <w:vAlign w:val="bottom"/>
          </w:tcPr>
          <w:p>
            <w:pPr>
              <w:jc w:val="center"/>
              <w:spacing w:after="0"/>
              <w:rPr>
                <w:sz w:val="20"/>
                <w:szCs w:val="20"/>
                <w:color w:val="auto"/>
              </w:rPr>
            </w:pPr>
            <w:r>
              <w:rPr>
                <w:rFonts w:ascii="Arial" w:cs="Arial" w:eastAsia="Arial" w:hAnsi="Arial"/>
                <w:sz w:val="14"/>
                <w:szCs w:val="14"/>
                <w:color w:val="auto"/>
                <w:w w:val="97"/>
              </w:rPr>
              <w:t>UTILITIES</w:t>
            </w:r>
          </w:p>
        </w:tc>
        <w:tc>
          <w:tcPr>
            <w:tcW w:w="20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980,000</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980,000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940,800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ACH</w:t>
            </w:r>
            <w:r>
              <w:rPr>
                <w:rFonts w:ascii="Arial" w:cs="Arial" w:eastAsia="Arial" w:hAnsi="Arial"/>
                <w:sz w:val="14"/>
                <w:szCs w:val="14"/>
                <w:color w:val="auto"/>
              </w:rPr>
              <w:t xml:space="preserve"> G</w:t>
            </w:r>
            <w:r>
              <w:rPr>
                <w:rFonts w:ascii="Arial" w:cs="Arial" w:eastAsia="Arial" w:hAnsi="Arial"/>
                <w:sz w:val="11"/>
                <w:szCs w:val="11"/>
                <w:color w:val="auto"/>
              </w:rPr>
              <w:t>EN</w:t>
            </w:r>
            <w:r>
              <w:rPr>
                <w:rFonts w:ascii="Arial" w:cs="Arial" w:eastAsia="Arial" w:hAnsi="Arial"/>
                <w:sz w:val="14"/>
                <w:szCs w:val="14"/>
                <w:color w:val="auto"/>
              </w:rPr>
              <w:t>, L.L.C.</w:t>
            </w:r>
          </w:p>
        </w:tc>
        <w:tc>
          <w:tcPr>
            <w:tcW w:w="9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02/22/2014</w:t>
            </w: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UTILITIES</w:t>
            </w:r>
          </w:p>
        </w:tc>
        <w:tc>
          <w:tcPr>
            <w:tcW w:w="11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7.34%</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L+200</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3,972,813</w:t>
            </w:r>
          </w:p>
        </w:tc>
        <w:tc>
          <w:tcPr>
            <w:tcW w:w="10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3,971,545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3,845,683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274" w:right="239" w:bottom="1440" w:gutter="0" w:footer="0" w:header="0"/>
        </w:sectPr>
      </w:pPr>
    </w:p>
    <w:bookmarkStart w:id="146" w:name="page147"/>
    <w:bookmarkEnd w:id="146"/>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Basis Point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Spread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Current</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Above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(2)</w:t>
            </w:r>
          </w:p>
        </w:tc>
        <w:tc>
          <w:tcPr>
            <w:tcW w:w="0" w:type="dxa"/>
            <w:vAlign w:val="bottom"/>
          </w:tcPr>
          <w:p>
            <w:pPr>
              <w:spacing w:after="0"/>
              <w:rPr>
                <w:sz w:val="1"/>
                <w:szCs w:val="1"/>
                <w:color w:val="auto"/>
              </w:rPr>
            </w:pPr>
          </w:p>
        </w:tc>
      </w:tr>
      <w:tr>
        <w:trPr>
          <w:trHeight w:val="176"/>
        </w:trPr>
        <w:tc>
          <w:tcPr>
            <w:tcW w:w="3080" w:type="dxa"/>
            <w:vAlign w:val="bottom"/>
            <w:gridSpan w:val="3"/>
            <w:vMerge w:val="continue"/>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Maturity</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00" w:type="dxa"/>
            <w:vAlign w:val="bottom"/>
          </w:tcPr>
          <w:p>
            <w:pPr>
              <w:spacing w:after="0"/>
              <w:rPr>
                <w:sz w:val="15"/>
                <w:szCs w:val="15"/>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Coupon</w:t>
            </w:r>
          </w:p>
        </w:tc>
        <w:tc>
          <w:tcPr>
            <w:tcW w:w="1000" w:type="dxa"/>
            <w:vAlign w:val="bottom"/>
            <w:gridSpan w:val="2"/>
          </w:tcPr>
          <w:p>
            <w:pPr>
              <w:jc w:val="center"/>
              <w:ind w:right="2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160" w:type="dxa"/>
            <w:vAlign w:val="bottom"/>
          </w:tcPr>
          <w:p>
            <w:pPr>
              <w:spacing w:after="0"/>
              <w:rPr>
                <w:sz w:val="15"/>
                <w:szCs w:val="15"/>
                <w:color w:val="auto"/>
              </w:rPr>
            </w:pPr>
          </w:p>
        </w:tc>
        <w:tc>
          <w:tcPr>
            <w:tcW w:w="760" w:type="dxa"/>
            <w:vAlign w:val="bottom"/>
          </w:tcPr>
          <w:p>
            <w:pPr>
              <w:jc w:val="right"/>
              <w:ind w:right="292"/>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Debt—(continued)</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tcPr>
          <w:p>
            <w:pPr>
              <w:jc w:val="center"/>
              <w:spacing w:after="0" w:line="138" w:lineRule="exact"/>
              <w:rPr>
                <w:sz w:val="20"/>
                <w:szCs w:val="20"/>
                <w:color w:val="auto"/>
              </w:rPr>
            </w:pPr>
            <w:r>
              <w:rPr>
                <w:rFonts w:ascii="Arial" w:cs="Arial" w:eastAsia="Arial" w:hAnsi="Arial"/>
                <w:sz w:val="14"/>
                <w:szCs w:val="14"/>
                <w:color w:val="auto"/>
                <w:w w:val="94"/>
              </w:rPr>
              <w:t>HOME &amp; OFFICE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gridSpan w:val="3"/>
          </w:tcPr>
          <w:p>
            <w:pPr>
              <w:spacing w:after="0" w:line="149" w:lineRule="exact"/>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ATTRESS</w:t>
            </w:r>
            <w:r>
              <w:rPr>
                <w:rFonts w:ascii="Arial" w:cs="Arial" w:eastAsia="Arial" w:hAnsi="Arial"/>
                <w:sz w:val="14"/>
                <w:szCs w:val="14"/>
                <w:color w:val="auto"/>
              </w:rPr>
              <w:t xml:space="preserve"> H</w:t>
            </w:r>
            <w:r>
              <w:rPr>
                <w:rFonts w:ascii="Arial" w:cs="Arial" w:eastAsia="Arial" w:hAnsi="Arial"/>
                <w:sz w:val="11"/>
                <w:szCs w:val="11"/>
                <w:color w:val="auto"/>
              </w:rPr>
              <w:t>OLDING</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01/18/2014</w:t>
            </w: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90"/>
              </w:rPr>
              <w:t>FURNISHINGS, HOUSE</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7.61%</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L+225</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3,990,000</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3,990,000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3,740,625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jc w:val="center"/>
              <w:spacing w:after="0" w:line="159" w:lineRule="exact"/>
              <w:rPr>
                <w:sz w:val="20"/>
                <w:szCs w:val="20"/>
                <w:color w:val="auto"/>
              </w:rPr>
            </w:pPr>
            <w:r>
              <w:rPr>
                <w:rFonts w:ascii="Arial" w:cs="Arial" w:eastAsia="Arial" w:hAnsi="Arial"/>
                <w:sz w:val="14"/>
                <w:szCs w:val="14"/>
                <w:color w:val="auto"/>
                <w:w w:val="94"/>
              </w:rPr>
              <w:t>WARES &amp; DURABLES</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C</w:t>
            </w:r>
            <w:r>
              <w:rPr>
                <w:rFonts w:ascii="Arial" w:cs="Arial" w:eastAsia="Arial" w:hAnsi="Arial"/>
                <w:sz w:val="14"/>
                <w:szCs w:val="14"/>
                <w:color w:val="auto"/>
              </w:rPr>
              <w:t>J</w:t>
            </w:r>
            <w:r>
              <w:rPr>
                <w:rFonts w:ascii="Arial" w:cs="Arial" w:eastAsia="Arial" w:hAnsi="Arial"/>
                <w:sz w:val="11"/>
                <w:szCs w:val="11"/>
                <w:color w:val="auto"/>
              </w:rPr>
              <w:t>UNKIN</w:t>
            </w:r>
            <w:r>
              <w:rPr>
                <w:rFonts w:ascii="Arial" w:cs="Arial" w:eastAsia="Arial" w:hAnsi="Arial"/>
                <w:sz w:val="14"/>
                <w:szCs w:val="14"/>
                <w:color w:val="auto"/>
              </w:rPr>
              <w:t xml:space="preserve"> C</w:t>
            </w:r>
            <w:r>
              <w:rPr>
                <w:rFonts w:ascii="Arial" w:cs="Arial" w:eastAsia="Arial" w:hAnsi="Arial"/>
                <w:sz w:val="11"/>
                <w:szCs w:val="11"/>
                <w:color w:val="auto"/>
              </w:rPr>
              <w:t>ORP</w:t>
            </w: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01/31/2014</w:t>
            </w: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OIL &amp; GAS</w:t>
            </w:r>
          </w:p>
        </w:tc>
        <w:tc>
          <w:tcPr>
            <w:tcW w:w="11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7.45%</w:t>
            </w:r>
          </w:p>
        </w:tc>
        <w:tc>
          <w:tcPr>
            <w:tcW w:w="1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L+225</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982,525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982,525</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965,331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ITCHELL</w:t>
            </w:r>
            <w:r>
              <w:rPr>
                <w:rFonts w:ascii="Arial" w:cs="Arial" w:eastAsia="Arial" w:hAnsi="Arial"/>
                <w:sz w:val="14"/>
                <w:szCs w:val="14"/>
                <w:color w:val="auto"/>
              </w:rPr>
              <w:t xml:space="preserve"> I</w:t>
            </w:r>
            <w:r>
              <w:rPr>
                <w:rFonts w:ascii="Arial" w:cs="Arial" w:eastAsia="Arial" w:hAnsi="Arial"/>
                <w:sz w:val="11"/>
                <w:szCs w:val="11"/>
                <w:color w:val="auto"/>
              </w:rPr>
              <w:t>NTERNATIONAL</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03/28/2014</w:t>
            </w: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7.20%</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L+200</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3,980,000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3,980,000</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3,835,725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HOME &amp; OFFICE</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w:t>
            </w:r>
            <w:r>
              <w:rPr>
                <w:rFonts w:ascii="Arial" w:cs="Arial" w:eastAsia="Arial" w:hAnsi="Arial"/>
                <w:sz w:val="11"/>
                <w:szCs w:val="11"/>
                <w:color w:val="auto"/>
              </w:rPr>
              <w:t>ATIONAL</w:t>
            </w:r>
            <w:r>
              <w:rPr>
                <w:rFonts w:ascii="Arial" w:cs="Arial" w:eastAsia="Arial" w:hAnsi="Arial"/>
                <w:sz w:val="14"/>
                <w:szCs w:val="14"/>
                <w:color w:val="auto"/>
              </w:rPr>
              <w:t xml:space="preserve"> B</w:t>
            </w:r>
            <w:r>
              <w:rPr>
                <w:rFonts w:ascii="Arial" w:cs="Arial" w:eastAsia="Arial" w:hAnsi="Arial"/>
                <w:sz w:val="11"/>
                <w:szCs w:val="11"/>
                <w:color w:val="auto"/>
              </w:rPr>
              <w:t>EDDING</w:t>
            </w:r>
            <w:r>
              <w:rPr>
                <w:rFonts w:ascii="Arial" w:cs="Arial" w:eastAsia="Arial" w:hAnsi="Arial"/>
                <w:sz w:val="14"/>
                <w:szCs w:val="14"/>
                <w:color w:val="auto"/>
              </w:rPr>
              <w:t xml:space="preserve"> C</w:t>
            </w:r>
            <w:r>
              <w:rPr>
                <w:rFonts w:ascii="Arial" w:cs="Arial" w:eastAsia="Arial" w:hAnsi="Arial"/>
                <w:sz w:val="11"/>
                <w:szCs w:val="11"/>
                <w:color w:val="auto"/>
              </w:rPr>
              <w:t>O</w:t>
            </w:r>
            <w:r>
              <w:rPr>
                <w:rFonts w:ascii="Arial" w:cs="Arial" w:eastAsia="Arial" w:hAnsi="Arial"/>
                <w:sz w:val="14"/>
                <w:szCs w:val="14"/>
                <w:color w:val="auto"/>
              </w:rPr>
              <w:t>., L.L.C.</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08/31/2011</w:t>
            </w: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FURNISHINGS, HOUSE</w:t>
            </w:r>
          </w:p>
        </w:tc>
        <w:tc>
          <w:tcPr>
            <w:tcW w:w="11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7.43%</w:t>
            </w:r>
          </w:p>
        </w:tc>
        <w:tc>
          <w:tcPr>
            <w:tcW w:w="1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L+200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6,965,000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6,971,653</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6,668,988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WARES &amp; DURABLES</w:t>
            </w: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ENTON</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02/01/2013</w:t>
            </w: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7.59%</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L+225</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4,975,000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4,975,000</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4,716,922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HILOSOPHY</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03/16/2014</w:t>
            </w: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CONSUMER PRODUCTS</w:t>
            </w:r>
          </w:p>
        </w:tc>
        <w:tc>
          <w:tcPr>
            <w:tcW w:w="11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7.36%</w:t>
            </w:r>
          </w:p>
        </w:tc>
        <w:tc>
          <w:tcPr>
            <w:tcW w:w="1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L+200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1,493,333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1,493,333</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ROQUEST</w:t>
            </w:r>
            <w:r>
              <w:rPr>
                <w:rFonts w:ascii="Arial" w:cs="Arial" w:eastAsia="Arial" w:hAnsi="Arial"/>
                <w:sz w:val="14"/>
                <w:szCs w:val="14"/>
                <w:color w:val="auto"/>
              </w:rPr>
              <w:t xml:space="preserve"> CSA, L.L.C.</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02/09/2014</w:t>
            </w: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92"/>
              </w:rPr>
              <w:t>EDUCATION</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8.20%</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L+300</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955,833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955,833</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936,716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w:t>
            </w:r>
            <w:r>
              <w:rPr>
                <w:rFonts w:ascii="Arial" w:cs="Arial" w:eastAsia="Arial" w:hAnsi="Arial"/>
                <w:sz w:val="11"/>
                <w:szCs w:val="11"/>
                <w:color w:val="auto"/>
              </w:rPr>
              <w:t>UESTEX</w:t>
            </w:r>
            <w:r>
              <w:rPr>
                <w:rFonts w:ascii="Arial" w:cs="Arial" w:eastAsia="Arial" w:hAnsi="Arial"/>
                <w:sz w:val="14"/>
                <w:szCs w:val="14"/>
                <w:color w:val="auto"/>
              </w:rPr>
              <w:t xml:space="preserve"> M</w:t>
            </w:r>
            <w:r>
              <w:rPr>
                <w:rFonts w:ascii="Arial" w:cs="Arial" w:eastAsia="Arial" w:hAnsi="Arial"/>
                <w:sz w:val="11"/>
                <w:szCs w:val="11"/>
                <w:color w:val="auto"/>
              </w:rPr>
              <w:t>EDIA</w:t>
            </w:r>
            <w:r>
              <w:rPr>
                <w:rFonts w:ascii="Arial" w:cs="Arial" w:eastAsia="Arial" w:hAnsi="Arial"/>
                <w:sz w:val="14"/>
                <w:szCs w:val="14"/>
                <w:color w:val="auto"/>
              </w:rPr>
              <w:t xml:space="preserve"> G</w:t>
            </w:r>
            <w:r>
              <w:rPr>
                <w:rFonts w:ascii="Arial" w:cs="Arial" w:eastAsia="Arial" w:hAnsi="Arial"/>
                <w:sz w:val="11"/>
                <w:szCs w:val="11"/>
                <w:color w:val="auto"/>
              </w:rPr>
              <w:t>ROUP</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05/04/2014</w:t>
            </w: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11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8.56%</w:t>
            </w:r>
          </w:p>
        </w:tc>
        <w:tc>
          <w:tcPr>
            <w:tcW w:w="1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L+300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4,974,167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4,974,167</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4,839,742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EADER</w:t>
            </w: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xml:space="preserve"> D</w:t>
            </w:r>
            <w:r>
              <w:rPr>
                <w:rFonts w:ascii="Arial" w:cs="Arial" w:eastAsia="Arial" w:hAnsi="Arial"/>
                <w:sz w:val="11"/>
                <w:szCs w:val="11"/>
                <w:color w:val="auto"/>
              </w:rPr>
              <w:t>IGEST</w:t>
            </w:r>
            <w:r>
              <w:rPr>
                <w:rFonts w:ascii="Arial" w:cs="Arial" w:eastAsia="Arial" w:hAnsi="Arial"/>
                <w:sz w:val="14"/>
                <w:szCs w:val="14"/>
                <w:color w:val="auto"/>
              </w:rPr>
              <w:t xml:space="preserve"> A</w:t>
            </w:r>
            <w:r>
              <w:rPr>
                <w:rFonts w:ascii="Arial" w:cs="Arial" w:eastAsia="Arial" w:hAnsi="Arial"/>
                <w:sz w:val="11"/>
                <w:szCs w:val="11"/>
                <w:color w:val="auto"/>
              </w:rPr>
              <w:t>SSOCIATION</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03/02/2014</w:t>
            </w: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94"/>
              </w:rPr>
              <w:t>PRINTING &amp; PUBLISHING</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7.43%</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L+200</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995,006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995,006</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940,281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EXNORD</w:t>
            </w:r>
            <w:r>
              <w:rPr>
                <w:rFonts w:ascii="Arial" w:cs="Arial" w:eastAsia="Arial" w:hAnsi="Arial"/>
                <w:sz w:val="14"/>
                <w:szCs w:val="14"/>
                <w:color w:val="auto"/>
              </w:rPr>
              <w:t>, L.L.C.</w:t>
            </w:r>
          </w:p>
        </w:tc>
        <w:tc>
          <w:tcPr>
            <w:tcW w:w="96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07/19/2013</w:t>
            </w:r>
          </w:p>
        </w:tc>
        <w:tc>
          <w:tcPr>
            <w:tcW w:w="20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MANUFACTURING/</w:t>
            </w:r>
          </w:p>
        </w:tc>
        <w:tc>
          <w:tcPr>
            <w:tcW w:w="1160" w:type="dxa"/>
            <w:vAlign w:val="bottom"/>
            <w:gridSpan w:val="3"/>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7.64%</w:t>
            </w:r>
          </w:p>
        </w:tc>
        <w:tc>
          <w:tcPr>
            <w:tcW w:w="100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L+225</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4,937,500</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4,937,500</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4,835,664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BASIC INDUSTRIES</w:t>
            </w: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ITEL</w:t>
            </w:r>
            <w:r>
              <w:rPr>
                <w:rFonts w:ascii="Arial" w:cs="Arial" w:eastAsia="Arial" w:hAnsi="Arial"/>
                <w:sz w:val="14"/>
                <w:szCs w:val="14"/>
                <w:color w:val="auto"/>
              </w:rPr>
              <w:t>, L.L.C.</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01/30/2014</w:t>
            </w: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7.78%</w:t>
            </w:r>
          </w:p>
        </w:tc>
        <w:tc>
          <w:tcPr>
            <w:tcW w:w="10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L+250</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2,867,302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2,867,302</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2,680,927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w:t>
            </w:r>
            <w:r>
              <w:rPr>
                <w:rFonts w:ascii="Arial" w:cs="Arial" w:eastAsia="Arial" w:hAnsi="Arial"/>
                <w:sz w:val="11"/>
                <w:szCs w:val="11"/>
                <w:color w:val="auto"/>
              </w:rPr>
              <w:t>NIVISION</w:t>
            </w:r>
            <w:r>
              <w:rPr>
                <w:rFonts w:ascii="Arial" w:cs="Arial" w:eastAsia="Arial" w:hAnsi="Arial"/>
                <w:sz w:val="14"/>
                <w:szCs w:val="14"/>
                <w:color w:val="auto"/>
              </w:rPr>
              <w:t xml:space="preserve"> C</w:t>
            </w:r>
            <w:r>
              <w:rPr>
                <w:rFonts w:ascii="Arial" w:cs="Arial" w:eastAsia="Arial" w:hAnsi="Arial"/>
                <w:sz w:val="11"/>
                <w:szCs w:val="11"/>
                <w:color w:val="auto"/>
              </w:rPr>
              <w:t>OMMUNICATIONS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5"/>
              </w:rPr>
              <w:t>BROADCASTING &amp;</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09/29/2014</w:t>
            </w:r>
          </w:p>
        </w:tc>
        <w:tc>
          <w:tcPr>
            <w:tcW w:w="20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ENTERTAINMENT</w:t>
            </w:r>
          </w:p>
        </w:tc>
        <w:tc>
          <w:tcPr>
            <w:tcW w:w="116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7.57%</w:t>
            </w:r>
          </w:p>
        </w:tc>
        <w:tc>
          <w:tcPr>
            <w:tcW w:w="10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L+225</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14,093,960</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14,093,960</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13,389,262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1"/>
                <w:szCs w:val="11"/>
                <w:color w:val="auto"/>
              </w:rPr>
              <w:t>U</w:t>
            </w:r>
            <w:r>
              <w:rPr>
                <w:rFonts w:ascii="Arial" w:cs="Arial" w:eastAsia="Arial" w:hAnsi="Arial"/>
                <w:sz w:val="9"/>
                <w:szCs w:val="9"/>
                <w:color w:val="auto"/>
              </w:rPr>
              <w:t>NIVISION</w:t>
            </w:r>
            <w:r>
              <w:rPr>
                <w:rFonts w:ascii="Arial" w:cs="Arial" w:eastAsia="Arial" w:hAnsi="Arial"/>
                <w:sz w:val="11"/>
                <w:szCs w:val="11"/>
                <w:color w:val="auto"/>
              </w:rPr>
              <w:t xml:space="preserve"> C</w:t>
            </w:r>
            <w:r>
              <w:rPr>
                <w:rFonts w:ascii="Arial" w:cs="Arial" w:eastAsia="Arial" w:hAnsi="Arial"/>
                <w:sz w:val="9"/>
                <w:szCs w:val="9"/>
                <w:color w:val="auto"/>
              </w:rPr>
              <w:t>OMMUNICATIONS</w:t>
            </w:r>
            <w:r>
              <w:rPr>
                <w:rFonts w:ascii="Arial" w:cs="Arial" w:eastAsia="Arial" w:hAnsi="Arial"/>
                <w:sz w:val="11"/>
                <w:szCs w:val="11"/>
                <w:color w:val="auto"/>
              </w:rPr>
              <w:t>, I</w:t>
            </w:r>
            <w:r>
              <w:rPr>
                <w:rFonts w:ascii="Arial" w:cs="Arial" w:eastAsia="Arial" w:hAnsi="Arial"/>
                <w:sz w:val="9"/>
                <w:szCs w:val="9"/>
                <w:color w:val="auto"/>
              </w:rPr>
              <w:t>NC</w:t>
            </w:r>
            <w:r>
              <w:rPr>
                <w:rFonts w:ascii="Arial" w:cs="Arial" w:eastAsia="Arial" w:hAnsi="Arial"/>
                <w:sz w:val="11"/>
                <w:szCs w:val="11"/>
                <w:color w:val="auto"/>
              </w:rPr>
              <w:t xml:space="preserve">. </w:t>
            </w:r>
            <w:r>
              <w:rPr>
                <w:rFonts w:ascii="Arial" w:cs="Arial" w:eastAsia="Arial" w:hAnsi="Arial"/>
                <w:sz w:val="17"/>
                <w:szCs w:val="17"/>
                <w:color w:val="auto"/>
                <w:vertAlign w:val="superscript"/>
              </w:rPr>
              <w:t>(4)</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09/29/2014</w:t>
            </w: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95"/>
              </w:rPr>
              <w:t>BROADCASTING &amp;</w:t>
            </w:r>
          </w:p>
        </w:tc>
        <w:tc>
          <w:tcPr>
            <w:tcW w:w="200" w:type="dxa"/>
            <w:vAlign w:val="bottom"/>
          </w:tcPr>
          <w:p>
            <w:pPr>
              <w:spacing w:after="0"/>
              <w:rPr>
                <w:sz w:val="12"/>
                <w:szCs w:val="12"/>
                <w:color w:val="auto"/>
              </w:rPr>
            </w:pP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906,040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906,040</w:t>
            </w:r>
          </w:p>
        </w:tc>
        <w:tc>
          <w:tcPr>
            <w:tcW w:w="160" w:type="dxa"/>
            <w:vAlign w:val="bottom"/>
          </w:tcPr>
          <w:p>
            <w:pPr>
              <w:spacing w:after="0"/>
              <w:rPr>
                <w:sz w:val="12"/>
                <w:szCs w:val="12"/>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860,738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94"/>
              </w:rPr>
              <w:t>ENTERTAINMENT</w:t>
            </w: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w:t>
            </w:r>
            <w:r>
              <w:rPr>
                <w:rFonts w:ascii="Arial" w:cs="Arial" w:eastAsia="Arial" w:hAnsi="Arial"/>
                <w:sz w:val="11"/>
                <w:szCs w:val="11"/>
                <w:color w:val="auto"/>
              </w:rPr>
              <w:t>ALASSIS</w:t>
            </w:r>
            <w:r>
              <w:rPr>
                <w:rFonts w:ascii="Arial" w:cs="Arial" w:eastAsia="Arial" w:hAnsi="Arial"/>
                <w:sz w:val="14"/>
                <w:szCs w:val="14"/>
                <w:color w:val="auto"/>
              </w:rPr>
              <w:t xml:space="preserve"> C</w:t>
            </w:r>
            <w:r>
              <w:rPr>
                <w:rFonts w:ascii="Arial" w:cs="Arial" w:eastAsia="Arial" w:hAnsi="Arial"/>
                <w:sz w:val="11"/>
                <w:szCs w:val="11"/>
                <w:color w:val="auto"/>
              </w:rPr>
              <w:t>OMMUNICATIONS</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03/02/2014</w:t>
            </w: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PRINTING &amp; PUBLISHING</w:t>
            </w:r>
          </w:p>
        </w:tc>
        <w:tc>
          <w:tcPr>
            <w:tcW w:w="11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6.95%</w:t>
            </w:r>
          </w:p>
        </w:tc>
        <w:tc>
          <w:tcPr>
            <w:tcW w:w="1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L+175</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7,061,899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7,061,899</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6,549,911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gridSpan w:val="2"/>
          </w:tcPr>
          <w:p>
            <w:pPr>
              <w:spacing w:after="0" w:line="176" w:lineRule="exact"/>
              <w:rPr>
                <w:sz w:val="20"/>
                <w:szCs w:val="20"/>
                <w:color w:val="auto"/>
              </w:rPr>
            </w:pPr>
            <w:r>
              <w:rPr>
                <w:rFonts w:ascii="Arial" w:cs="Arial" w:eastAsia="Arial" w:hAnsi="Arial"/>
                <w:sz w:val="13"/>
                <w:szCs w:val="13"/>
                <w:color w:val="auto"/>
              </w:rPr>
              <w:t>V</w:t>
            </w:r>
            <w:r>
              <w:rPr>
                <w:rFonts w:ascii="Arial" w:cs="Arial" w:eastAsia="Arial" w:hAnsi="Arial"/>
                <w:sz w:val="10"/>
                <w:szCs w:val="10"/>
                <w:color w:val="auto"/>
              </w:rPr>
              <w:t>ALASSIS</w:t>
            </w:r>
            <w:r>
              <w:rPr>
                <w:rFonts w:ascii="Arial" w:cs="Arial" w:eastAsia="Arial" w:hAnsi="Arial"/>
                <w:sz w:val="13"/>
                <w:szCs w:val="13"/>
                <w:color w:val="auto"/>
              </w:rPr>
              <w:t xml:space="preserve"> C</w:t>
            </w:r>
            <w:r>
              <w:rPr>
                <w:rFonts w:ascii="Arial" w:cs="Arial" w:eastAsia="Arial" w:hAnsi="Arial"/>
                <w:sz w:val="10"/>
                <w:szCs w:val="10"/>
                <w:color w:val="auto"/>
              </w:rPr>
              <w:t>OMMUNICATIONS</w:t>
            </w:r>
            <w:r>
              <w:rPr>
                <w:rFonts w:ascii="Arial" w:cs="Arial" w:eastAsia="Arial" w:hAnsi="Arial"/>
                <w:sz w:val="13"/>
                <w:szCs w:val="13"/>
                <w:color w:val="auto"/>
              </w:rPr>
              <w:t>, I</w:t>
            </w:r>
            <w:r>
              <w:rPr>
                <w:rFonts w:ascii="Arial" w:cs="Arial" w:eastAsia="Arial" w:hAnsi="Arial"/>
                <w:sz w:val="10"/>
                <w:szCs w:val="10"/>
                <w:color w:val="auto"/>
              </w:rPr>
              <w:t>NC</w:t>
            </w:r>
            <w:r>
              <w:rPr>
                <w:rFonts w:ascii="Arial" w:cs="Arial" w:eastAsia="Arial" w:hAnsi="Arial"/>
                <w:sz w:val="13"/>
                <w:szCs w:val="13"/>
                <w:color w:val="auto"/>
              </w:rPr>
              <w:t xml:space="preserve">. </w:t>
            </w:r>
            <w:r>
              <w:rPr>
                <w:rFonts w:ascii="Arial" w:cs="Arial" w:eastAsia="Arial" w:hAnsi="Arial"/>
                <w:sz w:val="20"/>
                <w:szCs w:val="20"/>
                <w:color w:val="auto"/>
                <w:vertAlign w:val="superscript"/>
              </w:rPr>
              <w:t>(4)</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03/02/2014</w:t>
            </w: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PRINTING &amp; PUBLISHING</w:t>
            </w:r>
          </w:p>
        </w:tc>
        <w:tc>
          <w:tcPr>
            <w:tcW w:w="200" w:type="dxa"/>
            <w:vAlign w:val="bottom"/>
          </w:tcPr>
          <w:p>
            <w:pPr>
              <w:spacing w:after="0"/>
              <w:rPr>
                <w:sz w:val="15"/>
                <w:szCs w:val="15"/>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2,103,908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2,103,908</w:t>
            </w:r>
          </w:p>
        </w:tc>
        <w:tc>
          <w:tcPr>
            <w:tcW w:w="16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1,951,375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w:t>
            </w:r>
            <w:r>
              <w:rPr>
                <w:rFonts w:ascii="Arial" w:cs="Arial" w:eastAsia="Arial" w:hAnsi="Arial"/>
                <w:sz w:val="11"/>
                <w:szCs w:val="11"/>
                <w:color w:val="auto"/>
              </w:rPr>
              <w:t>ESTERN</w:t>
            </w:r>
            <w:r>
              <w:rPr>
                <w:rFonts w:ascii="Arial" w:cs="Arial" w:eastAsia="Arial" w:hAnsi="Arial"/>
                <w:sz w:val="14"/>
                <w:szCs w:val="14"/>
                <w:color w:val="auto"/>
              </w:rPr>
              <w:t xml:space="preserve"> R</w:t>
            </w:r>
            <w:r>
              <w:rPr>
                <w:rFonts w:ascii="Arial" w:cs="Arial" w:eastAsia="Arial" w:hAnsi="Arial"/>
                <w:sz w:val="11"/>
                <w:szCs w:val="11"/>
                <w:color w:val="auto"/>
              </w:rPr>
              <w:t>EFINING</w:t>
            </w:r>
            <w:r>
              <w:rPr>
                <w:rFonts w:ascii="Arial" w:cs="Arial" w:eastAsia="Arial" w:hAnsi="Arial"/>
                <w:sz w:val="14"/>
                <w:szCs w:val="14"/>
                <w:color w:val="auto"/>
              </w:rPr>
              <w:t>, I</w:t>
            </w:r>
            <w:r>
              <w:rPr>
                <w:rFonts w:ascii="Arial" w:cs="Arial" w:eastAsia="Arial" w:hAnsi="Arial"/>
                <w:sz w:val="11"/>
                <w:szCs w:val="11"/>
                <w:color w:val="auto"/>
              </w:rPr>
              <w:t>NC</w:t>
            </w: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05/30/2014</w:t>
            </w:r>
          </w:p>
        </w:tc>
        <w:tc>
          <w:tcPr>
            <w:tcW w:w="2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OIL &amp; GAS</w:t>
            </w:r>
          </w:p>
        </w:tc>
        <w:tc>
          <w:tcPr>
            <w:tcW w:w="11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6.88%</w:t>
            </w:r>
          </w:p>
        </w:tc>
        <w:tc>
          <w:tcPr>
            <w:tcW w:w="10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L+175</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3,714,286</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3,714,286</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3,640,000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170,481,009</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170,474,236</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158,929,905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—107.6%</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314,881,870</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291,016,608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274" w:right="239" w:bottom="1440" w:gutter="0" w:footer="0" w:header="0"/>
        </w:sectPr>
      </w:pPr>
    </w:p>
    <w:bookmarkStart w:id="147" w:name="page148"/>
    <w:bookmarkEnd w:id="147"/>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COPRORATION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Point</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Issuer name</w:t>
            </w:r>
            <w:r>
              <w:rPr>
                <w:rFonts w:ascii="Arial" w:cs="Arial" w:eastAsia="Arial" w:hAnsi="Arial"/>
                <w:sz w:val="22"/>
                <w:szCs w:val="22"/>
                <w:b w:val="1"/>
                <w:bCs w:val="1"/>
                <w:color w:val="auto"/>
                <w:vertAlign w:val="superscript"/>
              </w:rPr>
              <w:t>(1)</w:t>
            </w: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Current</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4"/>
              </w:rPr>
              <w:t>Above</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3960" w:type="dxa"/>
            <w:vAlign w:val="bottom"/>
            <w:gridSpan w:val="4"/>
            <w:vMerge w:val="continue"/>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Maturity</w:t>
            </w: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86"/>
              </w:rPr>
              <w:t>Industry</w:t>
            </w:r>
          </w:p>
        </w:tc>
        <w:tc>
          <w:tcPr>
            <w:tcW w:w="34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Coupon</w:t>
            </w:r>
          </w:p>
        </w:tc>
        <w:tc>
          <w:tcPr>
            <w:tcW w:w="4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(3)</w:t>
            </w:r>
          </w:p>
        </w:tc>
        <w:tc>
          <w:tcPr>
            <w:tcW w:w="340" w:type="dxa"/>
            <w:vAlign w:val="bottom"/>
          </w:tcPr>
          <w:p>
            <w:pPr>
              <w:spacing w:after="0"/>
              <w:rPr>
                <w:sz w:val="15"/>
                <w:szCs w:val="15"/>
                <w:color w:val="auto"/>
              </w:rPr>
            </w:pPr>
          </w:p>
        </w:tc>
        <w:tc>
          <w:tcPr>
            <w:tcW w:w="960" w:type="dxa"/>
            <w:vAlign w:val="bottom"/>
          </w:tcPr>
          <w:p>
            <w:pPr>
              <w:jc w:val="right"/>
              <w:ind w:right="302"/>
              <w:spacing w:after="0"/>
              <w:rPr>
                <w:sz w:val="20"/>
                <w:szCs w:val="20"/>
                <w:color w:val="auto"/>
              </w:rPr>
            </w:pPr>
            <w:r>
              <w:rPr>
                <w:rFonts w:ascii="Arial" w:cs="Arial" w:eastAsia="Arial" w:hAnsi="Arial"/>
                <w:sz w:val="14"/>
                <w:szCs w:val="14"/>
                <w:b w:val="1"/>
                <w:bCs w:val="1"/>
                <w:color w:val="auto"/>
              </w:rPr>
              <w:t>Par</w:t>
            </w:r>
          </w:p>
        </w:tc>
        <w:tc>
          <w:tcPr>
            <w:tcW w:w="340" w:type="dxa"/>
            <w:vAlign w:val="bottom"/>
          </w:tcPr>
          <w:p>
            <w:pPr>
              <w:spacing w:after="0"/>
              <w:rPr>
                <w:sz w:val="15"/>
                <w:szCs w:val="15"/>
                <w:color w:val="auto"/>
              </w:rPr>
            </w:pPr>
          </w:p>
        </w:tc>
        <w:tc>
          <w:tcPr>
            <w:tcW w:w="980" w:type="dxa"/>
            <w:vAlign w:val="bottom"/>
          </w:tcPr>
          <w:p>
            <w:pPr>
              <w:jc w:val="right"/>
              <w:ind w:right="282"/>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equivalents—95.4%</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U.S. T</w:t>
            </w:r>
            <w:r>
              <w:rPr>
                <w:rFonts w:ascii="Arial" w:cs="Arial" w:eastAsia="Arial" w:hAnsi="Arial"/>
                <w:sz w:val="14"/>
                <w:szCs w:val="14"/>
                <w:color w:val="auto"/>
              </w:rPr>
              <w:t>REASURY</w:t>
            </w:r>
            <w:r>
              <w:rPr>
                <w:rFonts w:ascii="Arial" w:cs="Arial" w:eastAsia="Arial" w:hAnsi="Arial"/>
                <w:sz w:val="18"/>
                <w:szCs w:val="18"/>
                <w:color w:val="auto"/>
              </w:rPr>
              <w:t xml:space="preserve"> B</w:t>
            </w:r>
            <w:r>
              <w:rPr>
                <w:rFonts w:ascii="Arial" w:cs="Arial" w:eastAsia="Arial" w:hAnsi="Arial"/>
                <w:sz w:val="14"/>
                <w:szCs w:val="14"/>
                <w:color w:val="auto"/>
              </w:rPr>
              <w:t>ILL</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12/27/2007</w:t>
            </w:r>
          </w:p>
        </w:tc>
        <w:tc>
          <w:tcPr>
            <w:tcW w:w="520" w:type="dxa"/>
            <w:vAlign w:val="bottom"/>
          </w:tcPr>
          <w:p>
            <w:pPr>
              <w:spacing w:after="0"/>
              <w:rPr>
                <w:sz w:val="18"/>
                <w:szCs w:val="18"/>
                <w:color w:val="auto"/>
              </w:rPr>
            </w:pP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3.64%</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$255,000,000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$252,759,931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$ 252,703,215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ONEY</w:t>
            </w:r>
            <w:r>
              <w:rPr>
                <w:rFonts w:ascii="Arial" w:cs="Arial" w:eastAsia="Arial" w:hAnsi="Arial"/>
                <w:sz w:val="18"/>
                <w:szCs w:val="18"/>
                <w:color w:val="auto"/>
              </w:rPr>
              <w:t xml:space="preserve"> M</w:t>
            </w:r>
            <w:r>
              <w:rPr>
                <w:rFonts w:ascii="Arial" w:cs="Arial" w:eastAsia="Arial" w:hAnsi="Arial"/>
                <w:sz w:val="14"/>
                <w:szCs w:val="14"/>
                <w:color w:val="auto"/>
              </w:rPr>
              <w:t>ARKET</w:t>
            </w:r>
            <w:r>
              <w:rPr>
                <w:rFonts w:ascii="Arial" w:cs="Arial" w:eastAsia="Arial" w:hAnsi="Arial"/>
                <w:sz w:val="18"/>
                <w:szCs w:val="18"/>
                <w:color w:val="auto"/>
              </w:rPr>
              <w:t>—M</w:t>
            </w:r>
            <w:r>
              <w:rPr>
                <w:rFonts w:ascii="Arial" w:cs="Arial" w:eastAsia="Arial" w:hAnsi="Arial"/>
                <w:sz w:val="14"/>
                <w:szCs w:val="14"/>
                <w:color w:val="auto"/>
              </w:rPr>
              <w:t>UTUAL</w:t>
            </w:r>
            <w:r>
              <w:rPr>
                <w:rFonts w:ascii="Arial" w:cs="Arial" w:eastAsia="Arial" w:hAnsi="Arial"/>
                <w:sz w:val="18"/>
                <w:szCs w:val="18"/>
                <w:color w:val="auto"/>
              </w:rPr>
              <w:t xml:space="preserve"> F</w:t>
            </w:r>
            <w:r>
              <w:rPr>
                <w:rFonts w:ascii="Arial" w:cs="Arial" w:eastAsia="Arial" w:hAnsi="Arial"/>
                <w:sz w:val="14"/>
                <w:szCs w:val="14"/>
                <w:color w:val="auto"/>
              </w:rPr>
              <w:t>UNDS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5,256,420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5,256,420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5,256,420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Total Cash Equivalents—95.4%</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260,256,420</w:t>
            </w:r>
          </w:p>
        </w:tc>
        <w:tc>
          <w:tcPr>
            <w:tcW w:w="3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258,016,351</w:t>
            </w:r>
          </w:p>
        </w:tc>
        <w:tc>
          <w:tcPr>
            <w:tcW w:w="3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257,959,635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Investments and Cash Equivalents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573,946,197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572,898,221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$ 548,976,243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6"/>
              </w:rPr>
              <w:t>Liabilities in Excess of Other Assets— (103.0%)</w:t>
            </w: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gridSpan w:val="4"/>
            <w:vMerge w:val="continue"/>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6"/>
              </w:rPr>
              <w:t>(278,583,149)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Assets— 100.0%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$ 270,393,094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160" w:hanging="332"/>
        <w:spacing w:after="0" w:line="259"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do not “control” and are not an “affiliate” of any of our portfolio companies, each as defined in the 1940 Act. In general, under the 1940 Act, we would be presumed to “control” a portfolio company if we owned 25% or more of its voting securities and would be deemed to be an “affiliate” of a portfolio company if we owned 5% or more of its voting securities.</w:t>
      </w:r>
    </w:p>
    <w:p>
      <w:pPr>
        <w:spacing w:after="0" w:line="59"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Valued based on our accounting policy (see note 2 to our financial statements).</w:t>
      </w:r>
    </w:p>
    <w:p>
      <w:pPr>
        <w:spacing w:after="0" w:line="90" w:lineRule="exact"/>
        <w:rPr>
          <w:rFonts w:ascii="Arial" w:cs="Arial" w:eastAsia="Arial" w:hAnsi="Arial"/>
          <w:sz w:val="18"/>
          <w:szCs w:val="18"/>
          <w:color w:val="auto"/>
        </w:rPr>
      </w:pPr>
    </w:p>
    <w:p>
      <w:pPr>
        <w:ind w:left="340" w:right="100" w:hanging="332"/>
        <w:spacing w:after="0" w:line="268"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or, “L”).</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purchases of securities with delayed draws. These securities do not have a basis point spread above index.</w:t>
      </w:r>
    </w:p>
    <w:p>
      <w:pPr>
        <w:spacing w:after="0" w:line="90" w:lineRule="exact"/>
        <w:rPr>
          <w:rFonts w:ascii="Arial" w:cs="Arial" w:eastAsia="Arial" w:hAnsi="Arial"/>
          <w:sz w:val="18"/>
          <w:szCs w:val="18"/>
          <w:color w:val="auto"/>
        </w:rPr>
      </w:pPr>
    </w:p>
    <w:p>
      <w:pPr>
        <w:ind w:left="340" w:right="420" w:hanging="332"/>
        <w:spacing w:after="0" w:line="268"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1" w:lineRule="exact"/>
        <w:rPr>
          <w:sz w:val="20"/>
          <w:szCs w:val="20"/>
          <w:color w:val="auto"/>
        </w:rPr>
      </w:pPr>
    </w:p>
    <w:p>
      <w:pPr>
        <w:ind w:right="7980" w:firstLine="8"/>
        <w:spacing w:after="0" w:line="362" w:lineRule="auto"/>
        <w:tabs>
          <w:tab w:leader="none" w:pos="338"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Coupon payable in cash or payment in kind. ** Non-income producing.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274" w:right="239"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PennantPark Investment Corporation (“PennantPark Investment” or “Company”)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first lien secured debt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 and the purchase of first lien secured debt.</w:t>
      </w:r>
    </w:p>
    <w:p>
      <w:pPr>
        <w:spacing w:after="0" w:line="12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 Actual results could differ from these estimates.</w:t>
      </w:r>
    </w:p>
    <w:p>
      <w:pPr>
        <w:spacing w:after="0" w:line="14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10-Q and Article 6 or 10 of Regulation S-X, as appropriate. In accordance with Article 6-09 of Regulation S-X under the Exchange Act, we are providing a Statement of Changes in Net Assets in lieu of a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460" w:firstLine="443"/>
        <w:spacing w:after="0" w:line="287" w:lineRule="auto"/>
        <w:tabs>
          <w:tab w:leader="none" w:pos="1137" w:val="left"/>
        </w:tabs>
        <w:numPr>
          <w:ilvl w:val="0"/>
          <w:numId w:val="92"/>
        </w:numPr>
        <w:rPr>
          <w:rFonts w:ascii="Arial" w:cs="Arial" w:eastAsia="Arial" w:hAnsi="Arial"/>
          <w:sz w:val="16"/>
          <w:szCs w:val="16"/>
          <w:color w:val="auto"/>
        </w:rPr>
      </w:pPr>
      <w:r>
        <w:rPr>
          <w:rFonts w:ascii="Arial" w:cs="Arial" w:eastAsia="Arial" w:hAnsi="Arial"/>
          <w:sz w:val="16"/>
          <w:szCs w:val="16"/>
          <w:color w:val="auto"/>
        </w:rPr>
        <w:t>Security transactions are recorded on a trade-date basis.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securities with maturities greater than 60 days generally are valued by an independent pricing service or at the bid prices from at least two broker/dealers (if available, otherwise by a principal market maker or a primary market dealer). We expect that there will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With respect to investments for which there is no readily available market value, valuation methods may include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274" w:right="239" w:bottom="1440" w:gutter="0" w:footer="0" w:header="0"/>
        </w:sectPr>
      </w:pPr>
    </w:p>
    <w:bookmarkStart w:id="149" w:name="page150"/>
    <w:bookmarkEnd w:id="149"/>
    <w:p>
      <w:pPr>
        <w:ind w:left="46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comparisons of financial ratios of the portfolio companies that issued such private securities to peer companies that are public. 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are believed to be inaccurate, our board of directors undertakes a multi-step valuation process each quarter, as described below:</w:t>
      </w:r>
    </w:p>
    <w:p>
      <w:pPr>
        <w:spacing w:after="0" w:line="51" w:lineRule="exact"/>
        <w:rPr>
          <w:sz w:val="20"/>
          <w:szCs w:val="20"/>
          <w:color w:val="auto"/>
        </w:rPr>
      </w:pPr>
    </w:p>
    <w:p>
      <w:pPr>
        <w:ind w:left="460" w:right="200" w:firstLine="443"/>
        <w:spacing w:after="0" w:line="268" w:lineRule="auto"/>
        <w:tabs>
          <w:tab w:leader="none" w:pos="1147"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460" w:right="120" w:firstLine="443"/>
        <w:spacing w:after="0" w:line="256" w:lineRule="auto"/>
        <w:tabs>
          <w:tab w:leader="none" w:pos="1147"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board of directors also engages one or more independent valuation firms to conduct independent appraisals of our investments for which market quotations are not readily available or are readily available but believed to be inaccurate.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460" w:right="40" w:firstLine="443"/>
        <w:spacing w:after="0" w:line="332" w:lineRule="auto"/>
        <w:tabs>
          <w:tab w:leader="none" w:pos="1147"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the Investment Adviser, the respective independent valuation firms and the audit committee.</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(b) Investments purchased within 60 days of maturity are valued at cost plus accreted discount, or minus amortized premium, which approximates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value.</w:t>
      </w:r>
    </w:p>
    <w:p>
      <w:pPr>
        <w:spacing w:after="0" w:line="84" w:lineRule="exact"/>
        <w:rPr>
          <w:sz w:val="20"/>
          <w:szCs w:val="20"/>
          <w:color w:val="auto"/>
        </w:rPr>
      </w:pPr>
    </w:p>
    <w:p>
      <w:pPr>
        <w:ind w:left="460" w:right="60" w:firstLine="443"/>
        <w:spacing w:after="0" w:line="323" w:lineRule="auto"/>
        <w:tabs>
          <w:tab w:leader="none" w:pos="1137" w:val="left"/>
        </w:tabs>
        <w:numPr>
          <w:ilvl w:val="0"/>
          <w:numId w:val="94"/>
        </w:numPr>
        <w:rPr>
          <w:rFonts w:ascii="Arial" w:cs="Arial" w:eastAsia="Arial" w:hAnsi="Arial"/>
          <w:sz w:val="15"/>
          <w:szCs w:val="15"/>
          <w:color w:val="auto"/>
        </w:rPr>
      </w:pPr>
      <w:r>
        <w:rPr>
          <w:rFonts w:ascii="Arial" w:cs="Arial" w:eastAsia="Arial" w:hAnsi="Arial"/>
          <w:sz w:val="15"/>
          <w:szCs w:val="15"/>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6" w:lineRule="exact"/>
        <w:rPr>
          <w:rFonts w:ascii="Arial" w:cs="Arial" w:eastAsia="Arial" w:hAnsi="Arial"/>
          <w:sz w:val="15"/>
          <w:szCs w:val="15"/>
          <w:color w:val="auto"/>
        </w:rPr>
      </w:pPr>
    </w:p>
    <w:p>
      <w:pPr>
        <w:ind w:left="460" w:right="40" w:firstLine="443"/>
        <w:spacing w:after="0" w:line="291" w:lineRule="auto"/>
        <w:tabs>
          <w:tab w:leader="none" w:pos="1147" w:val="left"/>
        </w:tabs>
        <w:numPr>
          <w:ilvl w:val="0"/>
          <w:numId w:val="94"/>
        </w:numPr>
        <w:rPr>
          <w:rFonts w:ascii="Arial" w:cs="Arial" w:eastAsia="Arial" w:hAnsi="Arial"/>
          <w:sz w:val="16"/>
          <w:szCs w:val="16"/>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payment-in-kind, or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the ex-dividend date.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280" w:right="239" w:bottom="1440" w:gutter="0" w:footer="0" w:header="0"/>
        </w:sectPr>
      </w:pPr>
    </w:p>
    <w:bookmarkStart w:id="150" w:name="page151"/>
    <w:bookmarkEnd w:id="150"/>
    <w:p>
      <w:pPr>
        <w:ind w:left="460" w:firstLine="443"/>
        <w:spacing w:after="0" w:line="287" w:lineRule="auto"/>
        <w:tabs>
          <w:tab w:leader="none" w:pos="1137" w:val="left"/>
        </w:tabs>
        <w:numPr>
          <w:ilvl w:val="0"/>
          <w:numId w:val="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Before May 1, 2007 PennantPark Investment was taxed as a corporation under Subchapter C of the Internal Revenue Code of 1986, as amended (the “Code”), and subject to corporate-level federal, state and local taxes. From May 1, 2007, PennantPark Investment has complied with the requirements of Subchapter M of the Code, and expects to be subject to tax as a regulated investment company, or “RIC”. As a corporation, PennantPark Investment accounted for income taxes using the asset liability method prescribed by FASB Statement No. 109, “Accounting for Income Taxes.” Under this method, income taxes were provided for amounts currently payable and for amounts deferred as tax assets and liabilities based on differences between the financial statement carrying amounts and the tax bases of existing assets and liabilities. Federal, state and local taxes of $105,880 were accrued and included in PennantPark Investment’s statement of operations for the year ended September 30, 2007. These amounts were paid to the tax authorities in December 2007. Based upon PennantPark Investment’s qualification and election to be subject to tax as a RIC as of its next taxable year-end, we do not anticipate any material taxes in the future. The Company recognizes in its financial statements the effect of a tax position when it is more likely than not, based on the technical merits, that the position will be sustained upon examination.</w:t>
      </w:r>
    </w:p>
    <w:p>
      <w:pPr>
        <w:spacing w:after="0" w:line="41" w:lineRule="exact"/>
        <w:rPr>
          <w:rFonts w:ascii="Arial" w:cs="Arial" w:eastAsia="Arial" w:hAnsi="Arial"/>
          <w:sz w:val="16"/>
          <w:szCs w:val="16"/>
          <w:color w:val="auto"/>
        </w:rPr>
      </w:pPr>
    </w:p>
    <w:p>
      <w:pPr>
        <w:ind w:left="460" w:right="60" w:firstLine="443"/>
        <w:spacing w:after="0" w:line="259" w:lineRule="auto"/>
        <w:tabs>
          <w:tab w:leader="none" w:pos="1117"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59" w:lineRule="exact"/>
        <w:rPr>
          <w:rFonts w:ascii="Arial" w:cs="Arial" w:eastAsia="Arial" w:hAnsi="Arial"/>
          <w:sz w:val="18"/>
          <w:szCs w:val="18"/>
          <w:color w:val="auto"/>
        </w:rPr>
      </w:pPr>
    </w:p>
    <w:p>
      <w:pPr>
        <w:ind w:left="460" w:firstLine="443"/>
        <w:spacing w:after="0" w:line="291" w:lineRule="auto"/>
        <w:tabs>
          <w:tab w:leader="none" w:pos="1147"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 September 2006, the Financial Accounting Standards Board issued Statement of Financial Accounting Standards (“SFAS”) 157, Fair Value Measurements,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At this time, PennantPark Investment is in the process of reviewing SFAS 157 against its valuation policies to determine future applicability.</w:t>
      </w:r>
    </w:p>
    <w:p>
      <w:pPr>
        <w:spacing w:after="0" w:line="39" w:lineRule="exact"/>
        <w:rPr>
          <w:rFonts w:ascii="Arial" w:cs="Arial" w:eastAsia="Arial" w:hAnsi="Arial"/>
          <w:sz w:val="16"/>
          <w:szCs w:val="16"/>
          <w:color w:val="auto"/>
        </w:rPr>
      </w:pPr>
    </w:p>
    <w:p>
      <w:pPr>
        <w:ind w:left="460" w:right="140" w:firstLine="443"/>
        <w:spacing w:after="0" w:line="256"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February 2007, the FASB issued Statement No. 159, The Fair Value Option for Financial Assets and Financial Liabilities—Including an Amendment of FASB Statement No. 115. 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w:t>
      </w:r>
    </w:p>
    <w:p>
      <w:pPr>
        <w:spacing w:after="0" w:line="14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This statement is effective for fiscal years beginning after November 15, 2007, and interim periods within those fiscal years. The Company does not expect the adoption of this statement to have a significant effect on the Company’s financial position or its result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PennantPark Investment has entered into an Investment Management Agreement with PennantPark Investment Advisers, LLC under which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(“adjusted gross assets”)) (see note 9). Although the base management fee is 2.00% of adjusted gross assets, the Investment Adviser has agreed to waive a portion of the base management fee such that the base management fee will equal 1.50% from the consummation of the initial public offering through September 30, 2007; 1.75% from October 1, 2007 through March 31, 2008; and 2.00% thereafter. For the period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280" w:right="259" w:bottom="1440" w:gutter="0" w:footer="0" w:header="0"/>
        </w:sectPr>
      </w:pPr>
    </w:p>
    <w:bookmarkStart w:id="151" w:name="page152"/>
    <w:bookmarkEnd w:id="151"/>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the commencement of operations to the consummation of the initial public offering there were no Management Fees. For services rendered under our Investment Management Agreement during the period commencing from the closing of the initial public offering through and including the first six months of operations, the base management fee is payable monthly in arrears. For services rendered under our Investment Management Agreement after that time, the base management fee will be payable quarterly in arrears. For the first quarter of operations, the base management fee was calculated based on the initial value of adjusted gross assets. Subsequently, the base management fee is calculated based on the average value of adjusted gross assets at the end of the two most recently completed calendar quarters, and appropriately adjusted for any share issuances or repurchases during the current calendar quarter. Base investment advisory fees for any partial month or quarter are appropriately pro rated. For the three months ended December 31, 2007, the Investment Adviser received a base management fee of $1.4 million from the Company.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our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 in 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46" w:lineRule="exact"/>
        <w:rPr>
          <w:sz w:val="20"/>
          <w:szCs w:val="20"/>
          <w:color w:val="auto"/>
        </w:rPr>
      </w:pPr>
    </w:p>
    <w:p>
      <w:pPr>
        <w:ind w:left="460" w:right="60" w:firstLine="443"/>
        <w:spacing w:after="0" w:line="294" w:lineRule="auto"/>
        <w:tabs>
          <w:tab w:leader="none" w:pos="1147"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35" w:lineRule="exact"/>
        <w:rPr>
          <w:sz w:val="20"/>
          <w:szCs w:val="20"/>
          <w:color w:val="auto"/>
        </w:rPr>
      </w:pPr>
    </w:p>
    <w:p>
      <w:pPr>
        <w:ind w:left="460" w:right="20" w:firstLine="438"/>
        <w:spacing w:after="0" w:line="290"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our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will be calculated for a period of shorter than twelve calendar months to take into account any realized capital gains computed net of all realized capital losses and unrealized capital depreciation from inception. For the three months ended December 31, 2007, the Investment Adviser received an Incentive Fee of approximately $447,000 from the Company.</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PennantPark Investment has also entered into an Administration Agreement with PennantPark Investment Administration, LLC (the “Administrator” or “PennantPark Investment Administration”) under which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279" w:right="239" w:bottom="1440" w:gutter="0" w:footer="0" w:header="0"/>
        </w:sectPr>
      </w:pPr>
    </w:p>
    <w:bookmarkStart w:id="152" w:name="page153"/>
    <w:bookmarkEnd w:id="152"/>
    <w:p>
      <w:pPr>
        <w:ind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our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 For the three months ended December 31, 2007, the Investment Adviser was reimbursed approximately $594,000 from the Company, including expenses it incurred on behalf of the Administrator, for services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ORGANIZATIONAL AND OFFERING EXPENSES</w:t>
      </w:r>
    </w:p>
    <w:p>
      <w:pPr>
        <w:spacing w:after="0" w:line="96"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A portion of the net proceeds of the Company’s initial public offering was used for organizational, offering and other expenses. Organizational expenses were treated as expenses incurred. Offering costs of $21,309,375 were charged to net assets after the completion of the initial public offering on April 24, 2007.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ASSET VALUE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31, 2007, PennantPark Investment’s total net assets and net asset value per share were $254,221,308 and $12.07,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decrease in net assets resulting from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2"/>
              </w:rPr>
              <w:t>Three Months Ended</w:t>
            </w:r>
          </w:p>
        </w:tc>
      </w:tr>
      <w:tr>
        <w:trPr>
          <w:trHeight w:val="149"/>
        </w:trPr>
        <w:tc>
          <w:tcPr>
            <w:tcW w:w="78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61"/>
        </w:trPr>
        <w:tc>
          <w:tcPr>
            <w:tcW w:w="78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decrease in net assets per share resulting from operations:</w:t>
            </w:r>
          </w:p>
        </w:tc>
        <w:tc>
          <w:tcPr>
            <w:tcW w:w="244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(11,536,656)</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21,068,772</w:t>
            </w:r>
          </w:p>
        </w:tc>
        <w:tc>
          <w:tcPr>
            <w:tcW w:w="6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decrease in net assets per share resulting from operations:</w:t>
            </w:r>
          </w:p>
        </w:tc>
        <w:tc>
          <w:tcPr>
            <w:tcW w:w="244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Purchases and sales/repayments of long-term investments for the three months ended December 31, 2007 totaled $71.5 million and $4.4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5"/>
          </w:tcPr>
          <w:p>
            <w:pPr>
              <w:ind w:left="600"/>
              <w:spacing w:after="0"/>
              <w:rPr>
                <w:sz w:val="20"/>
                <w:szCs w:val="20"/>
                <w:color w:val="auto"/>
              </w:rPr>
            </w:pPr>
            <w:r>
              <w:rPr>
                <w:rFonts w:ascii="Arial" w:cs="Arial" w:eastAsia="Arial" w:hAnsi="Arial"/>
                <w:sz w:val="14"/>
                <w:szCs w:val="14"/>
                <w:b w:val="1"/>
                <w:bCs w:val="1"/>
                <w:color w:val="auto"/>
              </w:rPr>
              <w:t>December 31, 2007</w:t>
            </w:r>
          </w:p>
        </w:tc>
        <w:tc>
          <w:tcPr>
            <w:tcW w:w="180" w:type="dxa"/>
            <w:vAlign w:val="bottom"/>
          </w:tcPr>
          <w:p>
            <w:pPr>
              <w:spacing w:after="0"/>
              <w:rPr>
                <w:sz w:val="14"/>
                <w:szCs w:val="14"/>
                <w:color w:val="auto"/>
              </w:rPr>
            </w:pPr>
          </w:p>
        </w:tc>
        <w:tc>
          <w:tcPr>
            <w:tcW w:w="24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81,788,219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81,780,690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258,016,351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257,959,635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First lien</w:t>
            </w: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165,934,444</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148,781,962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170,474,236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158,929,905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Second lien</w:t>
            </w: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126,948,281</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113,499,500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75,260,488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Subordinated debt/corporate notes</w:t>
            </w: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82,529,980</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73,304,219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62,397,146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57,318,268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6,750,000</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6,604,931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6,750,000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vMerge w:val="continue"/>
          </w:tcPr>
          <w:p>
            <w:pPr>
              <w:spacing w:after="0"/>
              <w:rPr>
                <w:sz w:val="19"/>
                <w:szCs w:val="19"/>
                <w:color w:val="auto"/>
              </w:rPr>
            </w:pPr>
          </w:p>
        </w:tc>
        <w:tc>
          <w:tcPr>
            <w:tcW w:w="20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463,950,924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423,971,302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572,898,221</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548,976,243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80" w:type="dxa"/>
            <w:vAlign w:val="bottom"/>
          </w:tcPr>
          <w:p>
            <w:pPr>
              <w:spacing w:after="0"/>
              <w:rPr>
                <w:sz w:val="24"/>
                <w:szCs w:val="24"/>
                <w:color w:val="auto"/>
              </w:rPr>
            </w:pPr>
          </w:p>
        </w:tc>
        <w:tc>
          <w:tcPr>
            <w:tcW w:w="2000" w:type="dxa"/>
            <w:vAlign w:val="bottom"/>
            <w:gridSpan w:val="3"/>
          </w:tcPr>
          <w:p>
            <w:pPr>
              <w:jc w:val="right"/>
              <w:ind w:right="100"/>
              <w:spacing w:after="0"/>
              <w:rPr>
                <w:sz w:val="20"/>
                <w:szCs w:val="20"/>
                <w:color w:val="auto"/>
              </w:rPr>
            </w:pPr>
            <w:r>
              <w:rPr>
                <w:rFonts w:ascii="Arial" w:cs="Arial" w:eastAsia="Arial" w:hAnsi="Arial"/>
                <w:sz w:val="18"/>
                <w:szCs w:val="18"/>
                <w:color w:val="auto"/>
              </w:rPr>
              <w:t>F-37</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53" w:name="page154"/>
    <w:bookmarkEnd w:id="15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cost represents the original cost adjusted for the accretion of discounts and amortization of premiums on debt investments, if any.</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December 31, 2007 and September 30, 2007.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98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85"/>
              </w:rPr>
              <w:t>December 31,</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846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1180" w:type="dxa"/>
            <w:vAlign w:val="bottom"/>
          </w:tcPr>
          <w:p>
            <w:pPr>
              <w:spacing w:after="0"/>
              <w:rPr>
                <w:sz w:val="14"/>
                <w:szCs w:val="14"/>
                <w:color w:val="auto"/>
              </w:rPr>
            </w:pPr>
          </w:p>
        </w:tc>
        <w:tc>
          <w:tcPr>
            <w:tcW w:w="8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Other Media</w:t>
            </w:r>
          </w:p>
        </w:tc>
        <w:tc>
          <w:tcPr>
            <w:tcW w:w="70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Healthcare, Education &amp; Childcare</w:t>
            </w:r>
          </w:p>
        </w:tc>
        <w:tc>
          <w:tcPr>
            <w:tcW w:w="1980" w:type="dxa"/>
            <w:vAlign w:val="bottom"/>
            <w:gridSpan w:val="2"/>
          </w:tcPr>
          <w:p>
            <w:pPr>
              <w:jc w:val="right"/>
              <w:ind w:right="118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 Plastics &amp; Rubber</w:t>
            </w:r>
          </w:p>
        </w:tc>
        <w:tc>
          <w:tcPr>
            <w:tcW w:w="19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Energy/Utilities</w:t>
            </w:r>
          </w:p>
        </w:tc>
        <w:tc>
          <w:tcPr>
            <w:tcW w:w="1980" w:type="dxa"/>
            <w:vAlign w:val="bottom"/>
            <w:gridSpan w:val="2"/>
          </w:tcPr>
          <w:p>
            <w:pPr>
              <w:jc w:val="right"/>
              <w:ind w:right="1180"/>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19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980" w:type="dxa"/>
            <w:vAlign w:val="bottom"/>
            <w:gridSpan w:val="2"/>
          </w:tcPr>
          <w:p>
            <w:pPr>
              <w:jc w:val="right"/>
              <w:ind w:right="1180"/>
              <w:spacing w:after="0"/>
              <w:rPr>
                <w:sz w:val="20"/>
                <w:szCs w:val="20"/>
                <w:color w:val="auto"/>
              </w:rPr>
            </w:pPr>
            <w:r>
              <w:rPr>
                <w:rFonts w:ascii="Arial" w:cs="Arial" w:eastAsia="Arial" w:hAnsi="Arial"/>
                <w:sz w:val="18"/>
                <w:szCs w:val="18"/>
                <w:color w:val="auto"/>
              </w:rPr>
              <w:t>6</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19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1980" w:type="dxa"/>
            <w:vAlign w:val="bottom"/>
            <w:gridSpan w:val="2"/>
          </w:tcPr>
          <w:p>
            <w:pPr>
              <w:jc w:val="right"/>
              <w:ind w:right="1180"/>
              <w:spacing w:after="0"/>
              <w:rPr>
                <w:sz w:val="20"/>
                <w:szCs w:val="20"/>
                <w:color w:val="auto"/>
              </w:rPr>
            </w:pPr>
            <w:r>
              <w:rPr>
                <w:rFonts w:ascii="Arial" w:cs="Arial" w:eastAsia="Arial" w:hAnsi="Arial"/>
                <w:sz w:val="18"/>
                <w:szCs w:val="18"/>
                <w:color w:val="auto"/>
              </w:rPr>
              <w:t>5</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 Housewares, &amp; Durable Consumer Products</w:t>
            </w:r>
          </w:p>
        </w:tc>
        <w:tc>
          <w:tcPr>
            <w:tcW w:w="19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Leisure, Amusement, Motion Pictures, Entertainment</w:t>
            </w:r>
          </w:p>
        </w:tc>
        <w:tc>
          <w:tcPr>
            <w:tcW w:w="1980" w:type="dxa"/>
            <w:vAlign w:val="bottom"/>
            <w:gridSpan w:val="2"/>
          </w:tcPr>
          <w:p>
            <w:pPr>
              <w:jc w:val="right"/>
              <w:ind w:right="1180"/>
              <w:spacing w:after="0"/>
              <w:rPr>
                <w:sz w:val="20"/>
                <w:szCs w:val="20"/>
                <w:color w:val="auto"/>
              </w:rPr>
            </w:pPr>
            <w:r>
              <w:rPr>
                <w:rFonts w:ascii="Arial" w:cs="Arial" w:eastAsia="Arial" w:hAnsi="Arial"/>
                <w:sz w:val="18"/>
                <w:szCs w:val="18"/>
                <w:color w:val="auto"/>
              </w:rPr>
              <w:t>5</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Broadcasting and Entertainment</w:t>
            </w:r>
          </w:p>
        </w:tc>
        <w:tc>
          <w:tcPr>
            <w:tcW w:w="19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Cable Television</w:t>
            </w:r>
          </w:p>
        </w:tc>
        <w:tc>
          <w:tcPr>
            <w:tcW w:w="1980" w:type="dxa"/>
            <w:vAlign w:val="bottom"/>
            <w:gridSpan w:val="2"/>
          </w:tcPr>
          <w:p>
            <w:pPr>
              <w:jc w:val="right"/>
              <w:ind w:right="1180"/>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Store</w:t>
            </w:r>
          </w:p>
        </w:tc>
        <w:tc>
          <w:tcPr>
            <w:tcW w:w="19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980" w:type="dxa"/>
            <w:vAlign w:val="bottom"/>
            <w:gridSpan w:val="2"/>
          </w:tcPr>
          <w:p>
            <w:pPr>
              <w:jc w:val="right"/>
              <w:ind w:right="1180"/>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19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1980" w:type="dxa"/>
            <w:vAlign w:val="bottom"/>
            <w:gridSpan w:val="2"/>
          </w:tcPr>
          <w:p>
            <w:pPr>
              <w:jc w:val="right"/>
              <w:ind w:right="1180"/>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Containers, Packaging and Glass</w:t>
            </w:r>
          </w:p>
        </w:tc>
        <w:tc>
          <w:tcPr>
            <w:tcW w:w="19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Media</w:t>
            </w:r>
          </w:p>
        </w:tc>
        <w:tc>
          <w:tcPr>
            <w:tcW w:w="1980" w:type="dxa"/>
            <w:vAlign w:val="bottom"/>
            <w:gridSpan w:val="2"/>
          </w:tcPr>
          <w:p>
            <w:pPr>
              <w:jc w:val="right"/>
              <w:ind w:right="1180"/>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Utilities</w:t>
            </w:r>
          </w:p>
        </w:tc>
        <w:tc>
          <w:tcPr>
            <w:tcW w:w="19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Manufacturing / Basic Industries</w:t>
            </w:r>
          </w:p>
        </w:tc>
        <w:tc>
          <w:tcPr>
            <w:tcW w:w="1980" w:type="dxa"/>
            <w:vAlign w:val="bottom"/>
            <w:gridSpan w:val="2"/>
          </w:tcPr>
          <w:p>
            <w:pPr>
              <w:jc w:val="right"/>
              <w:ind w:right="118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19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1980" w:type="dxa"/>
            <w:vAlign w:val="bottom"/>
            <w:gridSpan w:val="2"/>
          </w:tcPr>
          <w:p>
            <w:pPr>
              <w:jc w:val="right"/>
              <w:ind w:right="118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60" w:type="dxa"/>
            <w:vAlign w:val="bottom"/>
            <w:gridSpan w:val="3"/>
          </w:tcPr>
          <w:p>
            <w:pPr>
              <w:spacing w:after="0"/>
              <w:rPr>
                <w:sz w:val="20"/>
                <w:szCs w:val="20"/>
                <w:color w:val="auto"/>
              </w:rPr>
            </w:pPr>
            <w:r>
              <w:rPr>
                <w:rFonts w:ascii="Arial" w:cs="Arial" w:eastAsia="Arial" w:hAnsi="Arial"/>
                <w:sz w:val="18"/>
                <w:szCs w:val="18"/>
                <w:b w:val="1"/>
                <w:bCs w:val="1"/>
                <w:color w:val="auto"/>
              </w:rPr>
              <w:t>Total Investments</w:t>
            </w:r>
          </w:p>
        </w:tc>
        <w:tc>
          <w:tcPr>
            <w:tcW w:w="1980" w:type="dxa"/>
            <w:vAlign w:val="bottom"/>
            <w:gridSpan w:val="2"/>
          </w:tcPr>
          <w:p>
            <w:pPr>
              <w:jc w:val="right"/>
              <w:ind w:right="104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Pending investment in longer-term portfolio holdings, PennantPark Investment may invest temporarily in U.S. Treasury Bills (of varying maturities), repurchase agreements, money markets or repo-like treasury securities. These temporary investments with maturities of 90 days or less will be deemed cash equivalents and are included in the Schedule of Investments. At the end of each fiscal quarter, PennantPark Investment typically takes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or by utilizing repurchase agreements or other balance sheet transactions as it deems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REPURCHASE AGREEMENTS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280" w:right="239" w:bottom="1440" w:gutter="0" w:footer="0" w:header="0"/>
        </w:sectPr>
      </w:pPr>
    </w:p>
    <w:bookmarkStart w:id="154" w:name="page155"/>
    <w:bookmarkEnd w:id="154"/>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at December 31,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 11,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0"/>
              </w:rPr>
              <w:t>Three months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December 31,</w:t>
            </w:r>
          </w:p>
        </w:tc>
        <w:tc>
          <w:tcPr>
            <w:tcW w:w="420" w:type="dxa"/>
            <w:vAlign w:val="bottom"/>
          </w:tcPr>
          <w:p>
            <w:pPr>
              <w:spacing w:after="0"/>
              <w:rPr>
                <w:sz w:val="12"/>
                <w:szCs w:val="12"/>
                <w:color w:val="auto"/>
              </w:rPr>
            </w:pPr>
          </w:p>
        </w:tc>
        <w:tc>
          <w:tcPr>
            <w:tcW w:w="12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2007</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beginning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0.23</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and unrealized loss</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(0.77)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(0.54)</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22"/>
                <w:szCs w:val="22"/>
                <w:color w:val="auto"/>
                <w:vertAlign w:val="superscript"/>
              </w:rPr>
              <w:t>(1)</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Offering costs related to public offering</w:t>
            </w:r>
          </w:p>
        </w:tc>
        <w:tc>
          <w:tcPr>
            <w:tcW w:w="140" w:type="dxa"/>
            <w:vAlign w:val="bottom"/>
          </w:tcPr>
          <w:p>
            <w:pPr>
              <w:spacing w:after="0"/>
              <w:rPr>
                <w:sz w:val="18"/>
                <w:szCs w:val="18"/>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40" w:type="dxa"/>
            <w:vAlign w:val="bottom"/>
            <w:gridSpan w:val="2"/>
          </w:tcPr>
          <w:p>
            <w:pPr>
              <w:spacing w:after="0"/>
              <w:rPr>
                <w:sz w:val="20"/>
                <w:szCs w:val="20"/>
                <w:color w:val="auto"/>
              </w:rPr>
            </w:pPr>
            <w:r>
              <w:rPr>
                <w:rFonts w:ascii="Arial" w:cs="Arial" w:eastAsia="Arial" w:hAnsi="Arial"/>
                <w:sz w:val="18"/>
                <w:szCs w:val="18"/>
                <w:color w:val="auto"/>
              </w:rPr>
              <w:t>Net asset value, end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12.07</w:t>
            </w:r>
          </w:p>
        </w:tc>
        <w:tc>
          <w:tcPr>
            <w:tcW w:w="620" w:type="dxa"/>
            <w:vAlign w:val="bottom"/>
          </w:tcPr>
          <w:p>
            <w:pPr>
              <w:spacing w:after="0"/>
              <w:rPr>
                <w:sz w:val="19"/>
                <w:szCs w:val="19"/>
                <w:color w:val="auto"/>
              </w:rPr>
            </w:pP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line="217" w:lineRule="exact"/>
              <w:rPr>
                <w:sz w:val="20"/>
                <w:szCs w:val="20"/>
                <w:color w:val="auto"/>
              </w:rPr>
            </w:pPr>
            <w:r>
              <w:rPr>
                <w:rFonts w:ascii="Arial" w:cs="Arial" w:eastAsia="Arial" w:hAnsi="Arial"/>
                <w:sz w:val="18"/>
                <w:szCs w:val="18"/>
                <w:color w:val="auto"/>
              </w:rPr>
              <w:t>Total return</w:t>
            </w:r>
            <w:r>
              <w:rPr>
                <w:rFonts w:ascii="Arial" w:cs="Arial" w:eastAsia="Arial" w:hAnsi="Arial"/>
                <w:sz w:val="22"/>
                <w:szCs w:val="22"/>
                <w:color w:val="auto"/>
                <w:vertAlign w:val="superscript"/>
              </w:rPr>
              <w:t>(2)</w:t>
            </w: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(23.58)%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21,068,772</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Ratio/Supplemental Data:</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22"/>
                <w:szCs w:val="22"/>
                <w:color w:val="auto"/>
                <w:vertAlign w:val="superscript"/>
              </w:rPr>
              <w:t>(3)</w:t>
            </w: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line="217" w:lineRule="exact"/>
              <w:rPr>
                <w:sz w:val="20"/>
                <w:szCs w:val="20"/>
                <w:color w:val="auto"/>
              </w:rPr>
            </w:pPr>
            <w:r>
              <w:rPr>
                <w:rFonts w:ascii="Arial" w:cs="Arial" w:eastAsia="Arial" w:hAnsi="Arial"/>
                <w:sz w:val="18"/>
                <w:szCs w:val="18"/>
                <w:color w:val="auto"/>
              </w:rPr>
              <w:t>3.76%</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40" w:type="dxa"/>
            <w:vAlign w:val="bottom"/>
          </w:tcPr>
          <w:p>
            <w:pPr>
              <w:spacing w:after="0"/>
              <w:rPr>
                <w:sz w:val="18"/>
                <w:szCs w:val="18"/>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8"/>
                <w:szCs w:val="18"/>
                <w:color w:val="auto"/>
              </w:rPr>
              <w:t>1.65%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line="217" w:lineRule="exact"/>
              <w:rPr>
                <w:sz w:val="20"/>
                <w:szCs w:val="20"/>
                <w:color w:val="auto"/>
              </w:rPr>
            </w:pPr>
            <w:r>
              <w:rPr>
                <w:rFonts w:ascii="Arial" w:cs="Arial" w:eastAsia="Arial" w:hAnsi="Arial"/>
                <w:sz w:val="18"/>
                <w:szCs w:val="18"/>
                <w:color w:val="auto"/>
              </w:rPr>
              <w:t>1.50%</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Total expenses to average net assets</w:t>
            </w:r>
            <w:r>
              <w:rPr>
                <w:rFonts w:ascii="Arial" w:cs="Arial" w:eastAsia="Arial" w:hAnsi="Arial"/>
                <w:sz w:val="22"/>
                <w:szCs w:val="22"/>
                <w:color w:val="auto"/>
                <w:vertAlign w:val="superscript"/>
              </w:rPr>
              <w:t>(3)</w:t>
            </w: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line="217" w:lineRule="exact"/>
              <w:rPr>
                <w:sz w:val="20"/>
                <w:szCs w:val="20"/>
                <w:color w:val="auto"/>
              </w:rPr>
            </w:pPr>
            <w:r>
              <w:rPr>
                <w:rFonts w:ascii="Arial" w:cs="Arial" w:eastAsia="Arial" w:hAnsi="Arial"/>
                <w:sz w:val="18"/>
                <w:szCs w:val="18"/>
                <w:color w:val="auto"/>
              </w:rPr>
              <w:t>5.26%</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8"/>
                <w:szCs w:val="18"/>
                <w:color w:val="auto"/>
              </w:rPr>
              <w:t>7.13%</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spacing w:after="0" w:line="223" w:lineRule="exact"/>
              <w:rPr>
                <w:sz w:val="20"/>
                <w:szCs w:val="20"/>
                <w:color w:val="auto"/>
              </w:rPr>
            </w:pPr>
            <w:r>
              <w:rPr>
                <w:rFonts w:ascii="Arial" w:cs="Arial" w:eastAsia="Arial" w:hAnsi="Arial"/>
                <w:sz w:val="18"/>
                <w:szCs w:val="18"/>
                <w:color w:val="auto"/>
              </w:rPr>
              <w:t>5.96%</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254,221,308</w:t>
            </w:r>
          </w:p>
        </w:tc>
        <w:tc>
          <w:tcPr>
            <w:tcW w:w="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270,393,094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Average debt outstanding</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59,038,043</w:t>
            </w:r>
          </w:p>
        </w:tc>
        <w:tc>
          <w:tcPr>
            <w:tcW w:w="620" w:type="dxa"/>
            <w:vAlign w:val="bottom"/>
          </w:tcPr>
          <w:p>
            <w:pPr>
              <w:spacing w:after="0"/>
              <w:rPr>
                <w:sz w:val="18"/>
                <w:szCs w:val="18"/>
                <w:color w:val="auto"/>
              </w:rPr>
            </w:pP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817,610</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140" w:type="dxa"/>
            <w:vAlign w:val="bottom"/>
          </w:tcPr>
          <w:p>
            <w:pPr>
              <w:spacing w:after="0"/>
              <w:rPr>
                <w:sz w:val="19"/>
                <w:szCs w:val="19"/>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08"/>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Annualized</w:t>
      </w:r>
    </w:p>
    <w:p>
      <w:pPr>
        <w:spacing w:after="0" w:line="90" w:lineRule="exact"/>
        <w:rPr>
          <w:sz w:val="20"/>
          <w:szCs w:val="20"/>
          <w:color w:val="auto"/>
        </w:rPr>
      </w:pPr>
    </w:p>
    <w:p>
      <w:pPr>
        <w:ind w:left="460" w:right="120" w:hanging="452"/>
        <w:spacing w:after="0" w:line="268"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 or GAAP</w:t>
      </w:r>
    </w:p>
    <w:p>
      <w:pPr>
        <w:spacing w:after="0" w:line="50"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the Company’s dividend reinvestment plan.</w:t>
      </w:r>
    </w:p>
    <w:p>
      <w:pPr>
        <w:spacing w:after="0" w:line="50" w:lineRule="exact"/>
        <w:rPr>
          <w:rFonts w:ascii="Arial" w:cs="Arial" w:eastAsia="Arial" w:hAnsi="Arial"/>
          <w:sz w:val="18"/>
          <w:szCs w:val="18"/>
          <w:color w:val="auto"/>
        </w:rPr>
      </w:pPr>
    </w:p>
    <w:p>
      <w:pPr>
        <w:ind w:left="460" w:right="20" w:hanging="452"/>
        <w:spacing w:after="0" w:line="256"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the three months ended December 31, 2007, the ratio of operating expenses before management fee waiver to average net assets was 5.10%, and the ratio of total expenses before management fee waiver to average net assets was 6.75%. For the period from April 24, 2007 through September 30, 2007, the ratio of operating expenses before management fee waiver to average net assets was 4.28%, and the ratio of total expenses before management fee waiver to average net assets was 5.78%.</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Since inception of initial public offering on April 24,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280"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 CREDIT FACILITY</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On June 25, 2007, PennantPark Investment entered into a Senior Secured Revolving Credit Agreement (the “Credit Agreement”) among PennantPark Investment, various lenders and SunTrust Bank, as administrative agent for the lenders. SunTrust Robinson Humphrey Capital Markets acted as the joint lead arranger and book-runner, and Bear Stearns Corporate Lending Inc. acted as joint lead arranger and syndication agent. As of December 31, there was $91.5 million in outstanding borrowings under the Credit Agreement, with an average interest rate of 5.90%.</w:t>
      </w:r>
    </w:p>
    <w:p>
      <w:pPr>
        <w:spacing w:after="0" w:line="11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Under the Credit Agreement, the lenders agreed to extend credit to PennantPark Investment in an initial aggregate principal or face amount not exceeding $300,000,000 at any one time outstanding. The Credit Agreement is a five-year revolving facility (with a stated maturity date of June 25, 2012) and is secured by substantially all of the assets in PennantPark Investment’s portfolio. Pricing is set at 100 basis points over LIBOR.</w:t>
      </w:r>
    </w:p>
    <w:p>
      <w:pPr>
        <w:spacing w:after="0" w:line="107"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The Credit Agreement contains affirmative and restrictive covenants, including: (a) periodic financial reporting requirements, (b) maintenance of a minimum stockholders’ equity of the greater of (i) 40% of the total assets of PennantPark Investment and its subsidiaries as at the last day of any fiscal quarter and (ii) the sum of (A) $120,000,000 plus (B) 25% of the net proceeds from the sale of equity interests in PennantPark Investment and its subsidiaries after the closing date of the Credit Agreement, (c) maintenance of a ratio of total assets (less total liabilities other than indebtedness) to total indebtedness, in each case of PennantPark Investment, of not less than 2.0:1.0, (d) maintenance of minimum liquidity standards, (e) limitations on the incurrence of additional indebtedness,</w:t>
      </w:r>
    </w:p>
    <w:p>
      <w:pPr>
        <w:spacing w:after="0" w:line="2" w:lineRule="exact"/>
        <w:rPr>
          <w:sz w:val="20"/>
          <w:szCs w:val="20"/>
          <w:color w:val="auto"/>
        </w:rPr>
      </w:pPr>
    </w:p>
    <w:p>
      <w:pPr>
        <w:ind w:firstLine="8"/>
        <w:spacing w:after="0" w:line="287" w:lineRule="auto"/>
        <w:tabs>
          <w:tab w:leader="none" w:pos="219" w:val="left"/>
        </w:tabs>
        <w:numPr>
          <w:ilvl w:val="0"/>
          <w:numId w:val="99"/>
        </w:numPr>
        <w:rPr>
          <w:rFonts w:ascii="Arial" w:cs="Arial" w:eastAsia="Arial" w:hAnsi="Arial"/>
          <w:sz w:val="16"/>
          <w:szCs w:val="16"/>
          <w:color w:val="auto"/>
        </w:rPr>
      </w:pPr>
      <w:r>
        <w:rPr>
          <w:rFonts w:ascii="Arial" w:cs="Arial" w:eastAsia="Arial" w:hAnsi="Arial"/>
          <w:sz w:val="16"/>
          <w:szCs w:val="16"/>
          <w:color w:val="auto"/>
        </w:rPr>
        <w:t>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 stockholders as contemplated to maintain Regulated Investment Company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the Credit Agreement (and the incurrence of certain other permitted debt) will be subject to compliance with a borrowing base that will apply different advance rates to different types of assets in PennantPark Investment’s portfolio. See our Credit Agreement, Exhibit 10.5, to this Report (incorporated by reference), for the definitions of capitalized terms used by us relating to the Credit Agreement but not defined in this note. The Credit Agreement will be used to supplement our equity capital to make additional portfolio investments and for other general corporate purposes.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80"/>
          </w:cols>
          <w:pgMar w:left="240" w:top="274" w:right="279"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i w:val="1"/>
          <w:iCs w:val="1"/>
          <w:color w:val="auto"/>
        </w:rPr>
        <w:t>Financial Statements</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Index to Financial Statements on page F-1 of this Registration Statement is hereby incorporated by reference.</w:t>
      </w:r>
    </w:p>
    <w:p>
      <w:pPr>
        <w:spacing w:after="0" w:line="11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i w:val="1"/>
          <w:iCs w:val="1"/>
          <w:color w:val="auto"/>
        </w:rPr>
        <w:t>Exhibits</w:t>
      </w:r>
    </w:p>
    <w:p>
      <w:pPr>
        <w:spacing w:after="0" w:line="117" w:lineRule="exact"/>
        <w:rPr>
          <w:sz w:val="20"/>
          <w:szCs w:val="20"/>
          <w:color w:val="auto"/>
        </w:rPr>
      </w:pPr>
    </w:p>
    <w:p>
      <w:pPr>
        <w:ind w:left="1380" w:right="160" w:hanging="1372"/>
        <w:spacing w:after="0" w:line="268" w:lineRule="auto"/>
        <w:tabs>
          <w:tab w:leader="none" w:pos="13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Articles of Incorporation of the Registrant (Incorporated by reference to Exhibit 99(a) to the Registrant’s Pre-Effective Amendment No. 1 to the Registration Statement on Form N-2/A (File No. 333-140092), filed on March 5, 2007).</w:t>
      </w:r>
    </w:p>
    <w:p>
      <w:pPr>
        <w:spacing w:after="0" w:line="77" w:lineRule="exact"/>
        <w:rPr>
          <w:rFonts w:ascii="Arial" w:cs="Arial" w:eastAsia="Arial" w:hAnsi="Arial"/>
          <w:sz w:val="18"/>
          <w:szCs w:val="18"/>
          <w:color w:val="auto"/>
        </w:rPr>
      </w:pPr>
    </w:p>
    <w:p>
      <w:pPr>
        <w:ind w:left="1380" w:hanging="1372"/>
        <w:spacing w:after="0" w:line="268" w:lineRule="auto"/>
        <w:tabs>
          <w:tab w:leader="none" w:pos="13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3.2 to the Registrant’s Report on Form 10-K (File No. 814-00736), filed on December 13, 2007).</w:t>
      </w:r>
    </w:p>
    <w:p>
      <w:pPr>
        <w:sectPr>
          <w:pgSz w:w="11900" w:h="16838" w:orient="portrait"/>
          <w:cols w:equalWidth="0" w:num="1">
            <w:col w:w="11400"/>
          </w:cols>
          <w:pgMar w:left="240" w:top="274" w:right="259" w:bottom="144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(d)(1)*</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Specimen Stock Certificate.</w:t>
      </w:r>
    </w:p>
    <w:p>
      <w:pPr>
        <w:spacing w:after="0" w:line="140"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Subscription Certificate.</w:t>
      </w:r>
    </w:p>
    <w:p>
      <w:pPr>
        <w:spacing w:after="0" w:line="139"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Indenture.</w:t>
      </w:r>
    </w:p>
    <w:p>
      <w:pPr>
        <w:spacing w:after="0" w:line="139"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Subscription Agent Agreement.</w:t>
      </w:r>
    </w:p>
    <w:p>
      <w:pPr>
        <w:spacing w:after="0" w:line="139"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Warrant Agreement.</w:t>
      </w:r>
    </w:p>
    <w:p>
      <w:pPr>
        <w:spacing w:after="0" w:line="139"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Dividend Reinvestment Plan.</w:t>
      </w:r>
    </w:p>
    <w:p>
      <w:pPr>
        <w:spacing w:after="0" w:line="139"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Investment Management Agreement between the Registrant and PennantPark Investment Advisers, LLC.</w:t>
      </w:r>
    </w:p>
    <w:p>
      <w:pPr>
        <w:spacing w:after="0" w:line="151"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(h)(1)**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Underwriting Agreement for equity.</w:t>
      </w:r>
    </w:p>
    <w:p>
      <w:pPr>
        <w:spacing w:after="0" w:line="139"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(h)(2)**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Underwriting Agreement for debt.</w:t>
      </w:r>
    </w:p>
    <w:p>
      <w:pPr>
        <w:spacing w:after="0" w:line="139"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(j)(1)*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Custodian Agreement between the Registrant and PFPC Trust Company.</w:t>
      </w:r>
    </w:p>
    <w:p>
      <w:pPr>
        <w:spacing w:after="0" w:line="151"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(k)(1)*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Administration Agreement between the Registrant and PennantPark Investment Administration, LLC.</w:t>
      </w:r>
    </w:p>
    <w:p>
      <w:pPr>
        <w:spacing w:after="0" w:line="139"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(k)(2)*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Stock Transfer Agency Agreement between the Registrant and American Stock Transfer and Trust Company.</w:t>
      </w:r>
    </w:p>
    <w:p>
      <w:pPr>
        <w:spacing w:after="0" w:line="151"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(k)(3)*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Trademark License Agreement.</w:t>
      </w:r>
    </w:p>
    <w:p>
      <w:pPr>
        <w:spacing w:after="0" w:line="151"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(k)(4)</w:t>
      </w:r>
    </w:p>
    <w:p>
      <w:pPr>
        <w:spacing w:after="0" w:line="20" w:lineRule="exact"/>
        <w:rPr>
          <w:sz w:val="20"/>
          <w:szCs w:val="20"/>
          <w:color w:val="auto"/>
        </w:rPr>
      </w:pPr>
      <w:r>
        <w:rPr>
          <w:sz w:val="20"/>
          <w:szCs w:val="20"/>
          <w:color w:val="auto"/>
        </w:rPr>
        <w:br w:type="column"/>
      </w:r>
    </w:p>
    <w:p>
      <w:pPr>
        <w:ind w:right="620"/>
        <w:spacing w:after="0" w:line="268" w:lineRule="auto"/>
        <w:rPr>
          <w:sz w:val="20"/>
          <w:szCs w:val="20"/>
          <w:color w:val="auto"/>
        </w:rPr>
      </w:pPr>
      <w:r>
        <w:rPr>
          <w:rFonts w:ascii="Arial" w:cs="Arial" w:eastAsia="Arial" w:hAnsi="Arial"/>
          <w:sz w:val="18"/>
          <w:szCs w:val="18"/>
          <w:color w:val="auto"/>
        </w:rPr>
        <w:t>Senior Secured Revolving Credit Agreement between Registrant and various lenders (Incorporated by reference to Exhibit 99.2 to the Registrant’s Report on Form 8-K (File No. 814-00736), filed on June 28, 2007).</w:t>
      </w:r>
    </w:p>
    <w:p>
      <w:pPr>
        <w:spacing w:after="0" w:line="78"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(k)(5)*</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Registration Rights Agreement among the Registrant and the purchasers in a private placement of 320,000 shares of common stock of the Registrant.</w:t>
      </w:r>
    </w:p>
    <w:p>
      <w:pPr>
        <w:spacing w:after="0" w:line="78"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Opinion and Consent of Venable LLP.</w:t>
      </w:r>
    </w:p>
    <w:p>
      <w:pPr>
        <w:spacing w:after="0" w:line="151"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(n)(1)*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Consent of Independent Registered Public Accounting Firm.</w:t>
      </w:r>
    </w:p>
    <w:p>
      <w:pPr>
        <w:spacing w:after="0" w:line="140"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(n)(2)*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Awareness Letter of Independent Registered Public Accounting Firm.</w:t>
      </w:r>
    </w:p>
    <w:p>
      <w:pPr>
        <w:spacing w:after="0" w:line="151"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89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780"/>
        <w:spacing w:after="0" w:line="268" w:lineRule="auto"/>
        <w:rPr>
          <w:sz w:val="20"/>
          <w:szCs w:val="20"/>
          <w:color w:val="auto"/>
        </w:rPr>
      </w:pPr>
      <w:r>
        <w:rPr>
          <w:rFonts w:ascii="Arial" w:cs="Arial" w:eastAsia="Arial" w:hAnsi="Arial"/>
          <w:sz w:val="18"/>
          <w:szCs w:val="18"/>
          <w:color w:val="auto"/>
        </w:rPr>
        <w:t>Joint Code of Ethics of the Registrant and PennantPark Investment Advisers, LLC (Incorporated by reference to Exhibit 14.1 to the Registrant’s Report on Form 10-K (File No. 814-00736), filed on December 13, 2007).</w:t>
      </w:r>
    </w:p>
    <w:p>
      <w:pPr>
        <w:spacing w:after="0" w:line="118" w:lineRule="exact"/>
        <w:rPr>
          <w:sz w:val="20"/>
          <w:szCs w:val="20"/>
          <w:color w:val="auto"/>
        </w:rPr>
      </w:pPr>
    </w:p>
    <w:p>
      <w:pPr>
        <w:sectPr>
          <w:pgSz w:w="11900" w:h="16838" w:orient="portrait"/>
          <w:cols w:equalWidth="0" w:num="2">
            <w:col w:w="660" w:space="720"/>
            <w:col w:w="10020"/>
          </w:cols>
          <w:pgMar w:left="240" w:top="274" w:right="259" w:bottom="1440" w:gutter="0" w:footer="0" w:header="0"/>
          <w:type w:val="continuous"/>
        </w:sect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C-1</w:t>
      </w:r>
    </w:p>
    <w:p>
      <w:pPr>
        <w:sectPr>
          <w:pgSz w:w="11900" w:h="16838" w:orient="portrait"/>
          <w:cols w:equalWidth="0" w:num="1">
            <w:col w:w="11400"/>
          </w:cols>
          <w:pgMar w:left="240" w:top="274" w:right="259" w:bottom="1440" w:gutter="0" w:footer="0" w:header="0"/>
          <w:type w:val="continuous"/>
        </w:sectPr>
      </w:pPr>
    </w:p>
    <w:bookmarkStart w:id="157" w:name="page158"/>
    <w:bookmarkEnd w:id="157"/>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26.</w:t>
      </w:r>
      <w:r>
        <w:rPr>
          <w:sz w:val="20"/>
          <w:szCs w:val="20"/>
          <w:color w:val="auto"/>
        </w:rPr>
        <w:tab/>
      </w:r>
      <w:r>
        <w:rPr>
          <w:rFonts w:ascii="Arial" w:cs="Arial" w:eastAsia="Arial" w:hAnsi="Arial"/>
          <w:sz w:val="16"/>
          <w:szCs w:val="16"/>
          <w:b w:val="1"/>
          <w:bCs w:val="1"/>
          <w:color w:val="auto"/>
        </w:rPr>
        <w:t>Marketing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9,825</w:t>
            </w:r>
          </w:p>
        </w:tc>
      </w:tr>
      <w:tr>
        <w:trPr>
          <w:trHeight w:val="216"/>
        </w:trPr>
        <w:tc>
          <w:tcPr>
            <w:tcW w:w="7760" w:type="dxa"/>
            <w:vAlign w:val="bottom"/>
            <w:gridSpan w:val="3"/>
          </w:tcPr>
          <w:p>
            <w:pPr>
              <w:spacing w:after="0"/>
              <w:rPr>
                <w:sz w:val="20"/>
                <w:szCs w:val="20"/>
                <w:color w:val="auto"/>
              </w:rPr>
            </w:pPr>
            <w:r>
              <w:rPr>
                <w:rFonts w:ascii="Arial" w:cs="Arial" w:eastAsia="Arial" w:hAnsi="Arial"/>
                <w:sz w:val="18"/>
                <w:szCs w:val="18"/>
                <w:color w:val="auto"/>
              </w:rPr>
              <w:t>NASDAQ listing fee</w:t>
            </w:r>
          </w:p>
        </w:tc>
        <w:tc>
          <w:tcPr>
            <w:tcW w:w="3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3"/>
              </w:rPr>
              <w:t>25,500</w:t>
            </w:r>
          </w:p>
        </w:tc>
      </w:tr>
      <w:tr>
        <w:trPr>
          <w:trHeight w:val="216"/>
        </w:trPr>
        <w:tc>
          <w:tcPr>
            <w:tcW w:w="7760" w:type="dxa"/>
            <w:vAlign w:val="bottom"/>
            <w:gridSpan w:val="3"/>
          </w:tcPr>
          <w:p>
            <w:pPr>
              <w:spacing w:after="0"/>
              <w:rPr>
                <w:sz w:val="20"/>
                <w:szCs w:val="20"/>
                <w:color w:val="auto"/>
              </w:rPr>
            </w:pPr>
            <w:r>
              <w:rPr>
                <w:rFonts w:ascii="Arial" w:cs="Arial" w:eastAsia="Arial" w:hAnsi="Arial"/>
                <w:sz w:val="18"/>
                <w:szCs w:val="18"/>
                <w:color w:val="auto"/>
              </w:rPr>
              <w:t>Printing (other than certificates)</w:t>
            </w:r>
          </w:p>
        </w:tc>
        <w:tc>
          <w:tcPr>
            <w:tcW w:w="3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gridSpan w:val="3"/>
          </w:tcPr>
          <w:p>
            <w:pPr>
              <w:spacing w:after="0"/>
              <w:rPr>
                <w:sz w:val="20"/>
                <w:szCs w:val="20"/>
                <w:color w:val="auto"/>
              </w:rPr>
            </w:pPr>
            <w:r>
              <w:rPr>
                <w:rFonts w:ascii="Arial" w:cs="Arial" w:eastAsia="Arial" w:hAnsi="Arial"/>
                <w:sz w:val="18"/>
                <w:szCs w:val="18"/>
                <w:color w:val="auto"/>
              </w:rPr>
              <w:t>Accounting fees and expenses</w:t>
            </w:r>
          </w:p>
        </w:tc>
        <w:tc>
          <w:tcPr>
            <w:tcW w:w="3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3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420" w:type="dxa"/>
            <w:vAlign w:val="bottom"/>
          </w:tcPr>
          <w:p>
            <w:pPr>
              <w:spacing w:after="0"/>
              <w:rPr>
                <w:sz w:val="20"/>
                <w:szCs w:val="20"/>
                <w:color w:val="auto"/>
              </w:rPr>
            </w:pPr>
            <w:r>
              <w:rPr>
                <w:rFonts w:ascii="Arial" w:cs="Arial" w:eastAsia="Arial" w:hAnsi="Arial"/>
                <w:sz w:val="18"/>
                <w:szCs w:val="18"/>
                <w:color w:val="auto"/>
                <w:w w:val="99"/>
              </w:rPr>
              <w:t>Total</w:t>
            </w:r>
          </w:p>
        </w:tc>
        <w:tc>
          <w:tcPr>
            <w:tcW w:w="74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w w:val="83"/>
              </w:rPr>
              <w:t>35,325</w:t>
            </w:r>
          </w:p>
        </w:tc>
      </w:tr>
      <w:tr>
        <w:trPr>
          <w:trHeight w:val="102"/>
        </w:trPr>
        <w:tc>
          <w:tcPr>
            <w:tcW w:w="4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6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35"/>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7340" w:type="dxa"/>
            <w:vAlign w:val="bottom"/>
            <w:gridSpan w:val="2"/>
          </w:tcPr>
          <w:p>
            <w:pPr>
              <w:ind w:left="40"/>
              <w:spacing w:after="0"/>
              <w:rPr>
                <w:sz w:val="20"/>
                <w:szCs w:val="20"/>
                <w:color w:val="auto"/>
              </w:rPr>
            </w:pPr>
            <w:r>
              <w:rPr>
                <w:rFonts w:ascii="Arial" w:cs="Arial" w:eastAsia="Arial" w:hAnsi="Arial"/>
                <w:sz w:val="18"/>
                <w:szCs w:val="18"/>
                <w:color w:val="auto"/>
              </w:rPr>
              <w:t>To be filed by Amendment, as applicable.</w:t>
            </w:r>
          </w:p>
        </w:tc>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97"/>
        </w:trPr>
        <w:tc>
          <w:tcPr>
            <w:tcW w:w="420" w:type="dxa"/>
            <w:vAlign w:val="bottom"/>
          </w:tcPr>
          <w:p>
            <w:pPr>
              <w:spacing w:after="0"/>
              <w:rPr>
                <w:sz w:val="20"/>
                <w:szCs w:val="20"/>
                <w:color w:val="auto"/>
              </w:rPr>
            </w:pPr>
            <w:r>
              <w:rPr>
                <w:rFonts w:ascii="Arial" w:cs="Arial" w:eastAsia="Arial" w:hAnsi="Arial"/>
                <w:sz w:val="18"/>
                <w:szCs w:val="18"/>
                <w:color w:val="auto"/>
              </w:rPr>
              <w:t>All</w:t>
            </w:r>
          </w:p>
        </w:tc>
        <w:tc>
          <w:tcPr>
            <w:tcW w:w="7340" w:type="dxa"/>
            <w:vAlign w:val="bottom"/>
            <w:gridSpan w:val="2"/>
          </w:tcPr>
          <w:p>
            <w:pPr>
              <w:ind w:left="40"/>
              <w:spacing w:after="0"/>
              <w:rPr>
                <w:sz w:val="20"/>
                <w:szCs w:val="20"/>
                <w:color w:val="auto"/>
              </w:rPr>
            </w:pPr>
            <w:r>
              <w:rPr>
                <w:rFonts w:ascii="Arial" w:cs="Arial" w:eastAsia="Arial" w:hAnsi="Arial"/>
                <w:sz w:val="18"/>
                <w:szCs w:val="18"/>
                <w:color w:val="auto"/>
              </w:rPr>
              <w:t>of the expense set forth above shall be borne by the Registrant.</w:t>
            </w:r>
          </w:p>
        </w:tc>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 with the registrant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8920" w:type="dxa"/>
            <w:vAlign w:val="bottom"/>
            <w:gridSpan w:val="3"/>
          </w:tcPr>
          <w:p>
            <w:pPr>
              <w:ind w:left="220"/>
              <w:spacing w:after="0"/>
              <w:rPr>
                <w:sz w:val="20"/>
                <w:szCs w:val="20"/>
                <w:color w:val="auto"/>
              </w:rPr>
            </w:pPr>
            <w:r>
              <w:rPr>
                <w:rFonts w:ascii="Arial" w:cs="Arial" w:eastAsia="Arial" w:hAnsi="Arial"/>
                <w:sz w:val="18"/>
                <w:szCs w:val="18"/>
                <w:b w:val="1"/>
                <w:bCs w:val="1"/>
                <w:color w:val="auto"/>
              </w:rPr>
              <w:t>Number of holders of shares</w:t>
            </w:r>
          </w:p>
        </w:tc>
        <w:tc>
          <w:tcPr>
            <w:tcW w:w="1680" w:type="dxa"/>
            <w:vAlign w:val="bottom"/>
          </w:tcPr>
          <w:p>
            <w:pPr>
              <w:spacing w:after="0"/>
              <w:rPr>
                <w:sz w:val="19"/>
                <w:szCs w:val="19"/>
                <w:color w:val="auto"/>
              </w:rPr>
            </w:pPr>
          </w:p>
        </w:tc>
      </w:tr>
      <w:tr>
        <w:trPr>
          <w:trHeight w:val="297"/>
        </w:trPr>
        <w:tc>
          <w:tcPr>
            <w:tcW w:w="9740" w:type="dxa"/>
            <w:vAlign w:val="bottom"/>
            <w:gridSpan w:val="4"/>
          </w:tcPr>
          <w:p>
            <w:pPr>
              <w:ind w:left="460"/>
              <w:spacing w:after="0"/>
              <w:rPr>
                <w:sz w:val="20"/>
                <w:szCs w:val="20"/>
                <w:color w:val="auto"/>
              </w:rPr>
            </w:pPr>
            <w:r>
              <w:rPr>
                <w:rFonts w:ascii="Arial" w:cs="Arial" w:eastAsia="Arial" w:hAnsi="Arial"/>
                <w:sz w:val="18"/>
                <w:szCs w:val="18"/>
                <w:color w:val="auto"/>
              </w:rPr>
              <w:t>As of March 18, 2008:</w:t>
            </w:r>
          </w:p>
        </w:tc>
        <w:tc>
          <w:tcPr>
            <w:tcW w:w="1680" w:type="dxa"/>
            <w:vAlign w:val="bottom"/>
          </w:tcPr>
          <w:p>
            <w:pPr>
              <w:spacing w:after="0"/>
              <w:rPr>
                <w:sz w:val="24"/>
                <w:szCs w:val="24"/>
                <w:color w:val="auto"/>
              </w:rPr>
            </w:pPr>
          </w:p>
        </w:tc>
      </w:tr>
      <w:tr>
        <w:trPr>
          <w:trHeight w:val="353"/>
        </w:trPr>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Class</w:t>
            </w:r>
          </w:p>
        </w:tc>
        <w:tc>
          <w:tcPr>
            <w:tcW w:w="678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Number of Record Holders</w:t>
            </w:r>
          </w:p>
        </w:tc>
      </w:tr>
      <w:tr>
        <w:trPr>
          <w:trHeight w:val="210"/>
        </w:trPr>
        <w:tc>
          <w:tcPr>
            <w:tcW w:w="820" w:type="dxa"/>
            <w:vAlign w:val="bottom"/>
            <w:shd w:val="clear" w:color="auto" w:fill="CCEEFF"/>
          </w:tcPr>
          <w:p>
            <w:pPr>
              <w:spacing w:after="0"/>
              <w:rPr>
                <w:sz w:val="18"/>
                <w:szCs w:val="18"/>
                <w:color w:val="auto"/>
              </w:rPr>
            </w:pPr>
          </w:p>
        </w:tc>
        <w:tc>
          <w:tcPr>
            <w:tcW w:w="8920" w:type="dxa"/>
            <w:vAlign w:val="bottom"/>
            <w:gridSpan w:val="3"/>
            <w:shd w:val="clear" w:color="auto" w:fill="CCEEFF"/>
          </w:tcPr>
          <w:p>
            <w:pPr>
              <w:jc w:val="center"/>
              <w:ind w:right="5440"/>
              <w:spacing w:after="0"/>
              <w:rPr>
                <w:sz w:val="20"/>
                <w:szCs w:val="20"/>
                <w:color w:val="auto"/>
              </w:rPr>
            </w:pPr>
            <w:r>
              <w:rPr>
                <w:rFonts w:ascii="Arial" w:cs="Arial" w:eastAsia="Arial" w:hAnsi="Arial"/>
                <w:sz w:val="18"/>
                <w:szCs w:val="18"/>
                <w:color w:val="auto"/>
                <w:w w:val="88"/>
              </w:rPr>
              <w:t>Common Stock, $0.001 par value</w:t>
            </w:r>
          </w:p>
        </w:tc>
        <w:tc>
          <w:tcPr>
            <w:tcW w:w="16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rPr>
              <w:t>14</w:t>
            </w: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information contained under the heading “Limitation on Liability of Directors and Officers; Indemnification and Advance of Expenses”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Adviser and its officers and directors is set forth in its Form ADV, as filed with the Securities and Exchange Commission (SEC File No. 801-67622), and is incorporated herein by reference.</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accounts, books and other documents required to be maintained by Section 31(a) of the 1940 Act, and the rules thereunder are maintained at the offices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84" w:lineRule="exact"/>
        <w:rPr>
          <w:sz w:val="20"/>
          <w:szCs w:val="20"/>
          <w:color w:val="auto"/>
        </w:rPr>
      </w:pPr>
    </w:p>
    <w:p>
      <w:pPr>
        <w:ind w:left="5580" w:right="2560" w:hanging="4677"/>
        <w:spacing w:after="0" w:line="440" w:lineRule="auto"/>
        <w:tabs>
          <w:tab w:leader="none" w:pos="114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 PennantPark Investment Corporation, 590 Madison Avenue, 15th Floor, New York, NY 10022 C-2</w:t>
      </w:r>
    </w:p>
    <w:p>
      <w:pPr>
        <w:sectPr>
          <w:pgSz w:w="11900" w:h="16838" w:orient="portrait"/>
          <w:cols w:equalWidth="0" w:num="1">
            <w:col w:w="11420"/>
          </w:cols>
          <w:pgMar w:left="240" w:top="274" w:right="239" w:bottom="1440" w:gutter="0" w:footer="0" w:header="0"/>
        </w:sectPr>
      </w:pPr>
    </w:p>
    <w:bookmarkStart w:id="158" w:name="page159"/>
    <w:bookmarkEnd w:id="158"/>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Transfer Agent, American Stock Transfer and Trust Company, 59 Maiden Lane, New York, NY 10038;</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Custodian, PFPC Trust Company, 8800 Tinicum Boulevard, 4th Floor, Philadelphia, PA 19153;</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Adviser, PennantPark Investment Advisers, LLC, 590 Madison Avenue, 15th Floor, New York, NY 10022</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hereby undertakes:</w:t>
      </w:r>
    </w:p>
    <w:p>
      <w:pPr>
        <w:spacing w:after="0" w:line="90" w:lineRule="exact"/>
        <w:rPr>
          <w:sz w:val="20"/>
          <w:szCs w:val="20"/>
          <w:color w:val="auto"/>
        </w:rPr>
      </w:pPr>
    </w:p>
    <w:p>
      <w:pPr>
        <w:jc w:val="both"/>
        <w:ind w:left="460" w:right="180" w:firstLine="443"/>
        <w:spacing w:after="0" w:line="259"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suspend the offering of its units until it amends its prospectus if (a) subsequent to the effective date of its registration statement, the net asset value declines more than 10 percent from its net asset value as of the effective date of the Registration Statement or (b) the net asset value increases to an amount greater than its net proceeds as stated in the prospectus.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920" w:firstLine="421"/>
        <w:spacing w:after="0" w:line="259" w:lineRule="auto"/>
        <w:tabs>
          <w:tab w:leader="none" w:pos="159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59" w:lineRule="exact"/>
        <w:rPr>
          <w:rFonts w:ascii="Arial" w:cs="Arial" w:eastAsia="Arial" w:hAnsi="Arial"/>
          <w:sz w:val="18"/>
          <w:szCs w:val="18"/>
          <w:color w:val="auto"/>
        </w:rPr>
      </w:pPr>
    </w:p>
    <w:p>
      <w:pPr>
        <w:ind w:left="920" w:right="300" w:firstLine="421"/>
        <w:spacing w:after="0" w:line="268" w:lineRule="auto"/>
        <w:tabs>
          <w:tab w:leader="none" w:pos="1647"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 and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50" w:lineRule="exact"/>
        <w:rPr>
          <w:rFonts w:ascii="Arial" w:cs="Arial" w:eastAsia="Arial" w:hAnsi="Arial"/>
          <w:sz w:val="18"/>
          <w:szCs w:val="18"/>
          <w:color w:val="auto"/>
        </w:rPr>
      </w:pPr>
    </w:p>
    <w:p>
      <w:pPr>
        <w:ind w:left="460" w:right="40" w:firstLine="443"/>
        <w:spacing w:after="0" w:line="290" w:lineRule="auto"/>
        <w:tabs>
          <w:tab w:leader="none" w:pos="114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7" w:lineRule="exact"/>
        <w:rPr>
          <w:rFonts w:ascii="Arial" w:cs="Arial" w:eastAsia="Arial" w:hAnsi="Arial"/>
          <w:sz w:val="16"/>
          <w:szCs w:val="16"/>
          <w:color w:val="auto"/>
        </w:rPr>
      </w:pPr>
    </w:p>
    <w:p>
      <w:pPr>
        <w:jc w:val="both"/>
        <w:ind w:left="460" w:firstLine="443"/>
        <w:spacing w:after="0" w:line="306" w:lineRule="auto"/>
        <w:tabs>
          <w:tab w:leader="none" w:pos="114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280" w:right="259" w:bottom="1440" w:gutter="0" w:footer="0" w:header="0"/>
        </w:sectPr>
      </w:pPr>
    </w:p>
    <w:bookmarkStart w:id="159" w:name="page160"/>
    <w:bookmarkEnd w:id="15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by means of any of the following communications, the undersigned Registrant will be a seller to the purchaser and will be considered to offer or sell such securities to the purchaser:</w:t>
      </w:r>
    </w:p>
    <w:p>
      <w:pPr>
        <w:spacing w:after="0" w:line="51" w:lineRule="exact"/>
        <w:rPr>
          <w:sz w:val="20"/>
          <w:szCs w:val="20"/>
          <w:color w:val="auto"/>
        </w:rPr>
      </w:pPr>
    </w:p>
    <w:p>
      <w:pPr>
        <w:ind w:left="460" w:right="240" w:firstLine="421"/>
        <w:spacing w:after="0" w:line="268" w:lineRule="auto"/>
        <w:tabs>
          <w:tab w:leader="none" w:pos="108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pacing w:after="0" w:line="50" w:lineRule="exact"/>
        <w:rPr>
          <w:rFonts w:ascii="Arial" w:cs="Arial" w:eastAsia="Arial" w:hAnsi="Arial"/>
          <w:sz w:val="18"/>
          <w:szCs w:val="18"/>
          <w:color w:val="auto"/>
        </w:rPr>
      </w:pPr>
    </w:p>
    <w:p>
      <w:pPr>
        <w:ind w:left="460" w:right="280" w:firstLine="421"/>
        <w:spacing w:after="0" w:line="332" w:lineRule="auto"/>
        <w:tabs>
          <w:tab w:leader="none" w:pos="113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4" w:lineRule="exact"/>
        <w:rPr>
          <w:rFonts w:ascii="Arial" w:cs="Arial" w:eastAsia="Arial" w:hAnsi="Arial"/>
          <w:sz w:val="16"/>
          <w:szCs w:val="16"/>
          <w:color w:val="auto"/>
        </w:rPr>
      </w:pPr>
    </w:p>
    <w:p>
      <w:pPr>
        <w:ind w:left="1180" w:hanging="299"/>
        <w:spacing w:after="0"/>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860"/>
          </w:cols>
          <w:pgMar w:left="700" w:top="280"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N-2 to be signed on its behalf by the undersigned, thereunto duly authorized, in the City of New York, and State of New York, on the 1st day of April, 2008.</w:t>
      </w:r>
    </w:p>
    <w:p>
      <w:pPr>
        <w:spacing w:after="0" w:line="13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131"/>
        </w:trPr>
        <w:tc>
          <w:tcPr>
            <w:tcW w:w="460" w:type="dxa"/>
            <w:vAlign w:val="bottom"/>
          </w:tcPr>
          <w:p>
            <w:pPr>
              <w:spacing w:after="0" w:line="131" w:lineRule="exact"/>
              <w:rPr>
                <w:sz w:val="20"/>
                <w:szCs w:val="20"/>
                <w:color w:val="auto"/>
              </w:rPr>
            </w:pPr>
            <w:r>
              <w:rPr>
                <w:rFonts w:ascii="Arial" w:cs="Arial" w:eastAsia="Arial" w:hAnsi="Arial"/>
                <w:sz w:val="14"/>
                <w:szCs w:val="14"/>
                <w:b w:val="1"/>
                <w:bCs w:val="1"/>
                <w:color w:val="auto"/>
              </w:rPr>
              <w:t>Name:</w:t>
            </w:r>
          </w:p>
        </w:tc>
        <w:tc>
          <w:tcPr>
            <w:tcW w:w="41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3"/>
              </w:rPr>
              <w:t>Arthur H. Penn</w:t>
            </w:r>
          </w:p>
        </w:tc>
      </w:tr>
      <w:tr>
        <w:trPr>
          <w:trHeight w:val="174"/>
        </w:trPr>
        <w:tc>
          <w:tcPr>
            <w:tcW w:w="46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 and Chairman of the Board</w:t>
            </w:r>
          </w:p>
        </w:tc>
      </w:tr>
    </w:tbl>
    <w:p>
      <w:pPr>
        <w:spacing w:after="0" w:line="141"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KNOW ALL MEN BY THESE PRESENT, each person whose signature appears below hereby constitutes and appoints Aviv Efrat his or her true and lawful attorney-in-fact and agent, with full power of substitution and resubstitution, for him or her and in his or her name, place and stead, in any and all capacities, to sign any and all amendments to this Registration Statement on Form N-2 and any registration statement filed pursuant to Rule 462(b) under the Securities Act, and to file the same, with the Securities and Exchange Commission, granting unto said attorney-in-fact and agent full power and authority to do and perform each and every act and thing requisite and necessary to be done in and about the premises, as fully and to all intents and purposes as he or she might or could do in person, hereby ratifying and confirming all that said attorney-in-fact and agent, or his substitutes, may lawfully do or cause to be done by virtue hereof.</w:t>
      </w:r>
    </w:p>
    <w:p>
      <w:pPr>
        <w:spacing w:after="0" w:line="14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on Form N-2 has been signed by the following persons in the capacities set forth below on the 1st day of April,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vMerge w:val="restart"/>
          </w:tcPr>
          <w:p>
            <w:pPr>
              <w:ind w:left="1580"/>
              <w:spacing w:after="0"/>
              <w:rPr>
                <w:sz w:val="20"/>
                <w:szCs w:val="20"/>
                <w:color w:val="auto"/>
              </w:rPr>
            </w:pPr>
            <w:r>
              <w:rPr>
                <w:rFonts w:ascii="Arial" w:cs="Arial" w:eastAsia="Arial" w:hAnsi="Arial"/>
                <w:sz w:val="18"/>
                <w:szCs w:val="18"/>
                <w:color w:val="auto"/>
                <w:w w:val="83"/>
              </w:rPr>
              <w:t>/s/</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Name</w:t>
            </w:r>
          </w:p>
        </w:tc>
        <w:tc>
          <w:tcPr>
            <w:tcW w:w="23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w w:val="92"/>
              </w:rPr>
              <w:t>A</w:t>
            </w:r>
            <w:r>
              <w:rPr>
                <w:rFonts w:ascii="Arial" w:cs="Arial" w:eastAsia="Arial" w:hAnsi="Arial"/>
                <w:sz w:val="14"/>
                <w:szCs w:val="14"/>
                <w:color w:val="auto"/>
                <w:w w:val="92"/>
              </w:rPr>
              <w:t>RTHUR</w:t>
            </w:r>
            <w:r>
              <w:rPr>
                <w:rFonts w:ascii="Arial" w:cs="Arial" w:eastAsia="Arial" w:hAnsi="Arial"/>
                <w:sz w:val="18"/>
                <w:szCs w:val="18"/>
                <w:color w:val="auto"/>
                <w:w w:val="92"/>
              </w:rPr>
              <w:t xml:space="preserve"> H.</w:t>
            </w:r>
          </w:p>
        </w:tc>
        <w:tc>
          <w:tcPr>
            <w:tcW w:w="2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w:t>
            </w:r>
          </w:p>
        </w:tc>
        <w:tc>
          <w:tcPr>
            <w:tcW w:w="6100" w:type="dxa"/>
            <w:vAlign w:val="bottom"/>
            <w:gridSpan w:val="3"/>
          </w:tcPr>
          <w:p>
            <w:pPr>
              <w:jc w:val="center"/>
              <w:ind w:left="752"/>
              <w:spacing w:after="0"/>
              <w:rPr>
                <w:sz w:val="20"/>
                <w:szCs w:val="20"/>
                <w:color w:val="auto"/>
              </w:rPr>
            </w:pPr>
            <w:r>
              <w:rPr>
                <w:rFonts w:ascii="Arial" w:cs="Arial" w:eastAsia="Arial" w:hAnsi="Arial"/>
                <w:sz w:val="18"/>
                <w:szCs w:val="18"/>
                <w:color w:val="auto"/>
                <w:w w:val="90"/>
              </w:rPr>
              <w:t>Chairman of the Board of Directors and Chief Executive Officer (Principal</w:t>
            </w:r>
          </w:p>
        </w:tc>
        <w:tc>
          <w:tcPr>
            <w:tcW w:w="0" w:type="dxa"/>
            <w:vAlign w:val="bottom"/>
          </w:tcPr>
          <w:p>
            <w:pPr>
              <w:spacing w:after="0"/>
              <w:rPr>
                <w:sz w:val="1"/>
                <w:szCs w:val="1"/>
                <w:color w:val="auto"/>
              </w:rPr>
            </w:pPr>
          </w:p>
        </w:tc>
      </w:tr>
      <w:tr>
        <w:trPr>
          <w:trHeight w:val="202"/>
        </w:trPr>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gridSpan w:val="3"/>
          </w:tcPr>
          <w:p>
            <w:pPr>
              <w:jc w:val="center"/>
              <w:ind w:right="1852"/>
              <w:spacing w:after="0"/>
              <w:rPr>
                <w:sz w:val="20"/>
                <w:szCs w:val="20"/>
                <w:color w:val="auto"/>
              </w:rPr>
            </w:pPr>
            <w:r>
              <w:rPr>
                <w:rFonts w:ascii="Arial" w:cs="Arial" w:eastAsia="Arial" w:hAnsi="Arial"/>
                <w:sz w:val="14"/>
                <w:szCs w:val="14"/>
                <w:b w:val="1"/>
                <w:bCs w:val="1"/>
                <w:color w:val="auto"/>
                <w:w w:val="93"/>
              </w:rPr>
              <w:t>Arthur H. Penn</w:t>
            </w:r>
          </w:p>
        </w:tc>
        <w:tc>
          <w:tcPr>
            <w:tcW w:w="6100" w:type="dxa"/>
            <w:vAlign w:val="bottom"/>
            <w:gridSpan w:val="3"/>
          </w:tcPr>
          <w:p>
            <w:pPr>
              <w:jc w:val="center"/>
              <w:ind w:left="772"/>
              <w:spacing w:after="0" w:line="202" w:lineRule="exact"/>
              <w:rPr>
                <w:sz w:val="20"/>
                <w:szCs w:val="20"/>
                <w:color w:val="auto"/>
              </w:rPr>
            </w:pPr>
            <w:r>
              <w:rPr>
                <w:rFonts w:ascii="Arial" w:cs="Arial" w:eastAsia="Arial" w:hAnsi="Arial"/>
                <w:sz w:val="18"/>
                <w:szCs w:val="18"/>
                <w:color w:val="auto"/>
                <w:w w:val="92"/>
              </w:rPr>
              <w:t>Executive Officer)</w:t>
            </w:r>
          </w:p>
        </w:tc>
        <w:tc>
          <w:tcPr>
            <w:tcW w:w="0" w:type="dxa"/>
            <w:vAlign w:val="bottom"/>
          </w:tcPr>
          <w:p>
            <w:pPr>
              <w:spacing w:after="0"/>
              <w:rPr>
                <w:sz w:val="1"/>
                <w:szCs w:val="1"/>
                <w:color w:val="auto"/>
              </w:rPr>
            </w:pPr>
          </w:p>
        </w:tc>
      </w:tr>
      <w:tr>
        <w:trPr>
          <w:trHeight w:val="424"/>
        </w:trPr>
        <w:tc>
          <w:tcPr>
            <w:tcW w:w="1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3100" w:type="dxa"/>
            <w:vAlign w:val="bottom"/>
            <w:tcBorders>
              <w:bottom w:val="single" w:sz="8" w:color="auto"/>
            </w:tcBorders>
            <w:gridSpan w:val="3"/>
          </w:tcPr>
          <w:p>
            <w:pPr>
              <w:jc w:val="center"/>
              <w:ind w:right="1812"/>
              <w:spacing w:after="0"/>
              <w:rPr>
                <w:sz w:val="20"/>
                <w:szCs w:val="20"/>
                <w:color w:val="auto"/>
              </w:rPr>
            </w:pPr>
            <w:r>
              <w:rPr>
                <w:rFonts w:ascii="Arial" w:cs="Arial" w:eastAsia="Arial" w:hAnsi="Arial"/>
                <w:sz w:val="18"/>
                <w:szCs w:val="18"/>
                <w:color w:val="auto"/>
                <w:w w:val="99"/>
              </w:rPr>
              <w:t>A</w:t>
            </w:r>
            <w:r>
              <w:rPr>
                <w:rFonts w:ascii="Arial" w:cs="Arial" w:eastAsia="Arial" w:hAnsi="Arial"/>
                <w:sz w:val="14"/>
                <w:szCs w:val="14"/>
                <w:color w:val="auto"/>
                <w:w w:val="99"/>
              </w:rPr>
              <w:t>VIV</w:t>
            </w:r>
            <w:r>
              <w:rPr>
                <w:rFonts w:ascii="Arial" w:cs="Arial" w:eastAsia="Arial" w:hAnsi="Arial"/>
                <w:sz w:val="18"/>
                <w:szCs w:val="18"/>
                <w:color w:val="auto"/>
                <w:w w:val="99"/>
              </w:rPr>
              <w:t xml:space="preserve"> E</w:t>
            </w:r>
            <w:r>
              <w:rPr>
                <w:rFonts w:ascii="Arial" w:cs="Arial" w:eastAsia="Arial" w:hAnsi="Arial"/>
                <w:sz w:val="14"/>
                <w:szCs w:val="14"/>
                <w:color w:val="auto"/>
                <w:w w:val="99"/>
              </w:rPr>
              <w:t>FRAT</w:t>
            </w:r>
          </w:p>
        </w:tc>
        <w:tc>
          <w:tcPr>
            <w:tcW w:w="6100" w:type="dxa"/>
            <w:vAlign w:val="bottom"/>
            <w:gridSpan w:val="3"/>
          </w:tcPr>
          <w:p>
            <w:pPr>
              <w:jc w:val="center"/>
              <w:ind w:left="772"/>
              <w:spacing w:after="0"/>
              <w:rPr>
                <w:sz w:val="20"/>
                <w:szCs w:val="20"/>
                <w:color w:val="auto"/>
              </w:rPr>
            </w:pPr>
            <w:r>
              <w:rPr>
                <w:rFonts w:ascii="Arial" w:cs="Arial" w:eastAsia="Arial" w:hAnsi="Arial"/>
                <w:sz w:val="18"/>
                <w:szCs w:val="18"/>
                <w:color w:val="auto"/>
                <w:w w:val="90"/>
              </w:rPr>
              <w:t>Chief Financial Officer and Treasurer (Principal Financial and Accounting</w:t>
            </w:r>
          </w:p>
        </w:tc>
        <w:tc>
          <w:tcPr>
            <w:tcW w:w="0" w:type="dxa"/>
            <w:vAlign w:val="bottom"/>
          </w:tcPr>
          <w:p>
            <w:pPr>
              <w:spacing w:after="0"/>
              <w:rPr>
                <w:sz w:val="1"/>
                <w:szCs w:val="1"/>
                <w:color w:val="auto"/>
              </w:rPr>
            </w:pPr>
          </w:p>
        </w:tc>
      </w:tr>
      <w:tr>
        <w:trPr>
          <w:trHeight w:val="202"/>
        </w:trPr>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gridSpan w:val="3"/>
          </w:tcPr>
          <w:p>
            <w:pPr>
              <w:jc w:val="center"/>
              <w:ind w:right="1852"/>
              <w:spacing w:after="0"/>
              <w:rPr>
                <w:sz w:val="20"/>
                <w:szCs w:val="20"/>
                <w:color w:val="auto"/>
              </w:rPr>
            </w:pPr>
            <w:r>
              <w:rPr>
                <w:rFonts w:ascii="Arial" w:cs="Arial" w:eastAsia="Arial" w:hAnsi="Arial"/>
                <w:sz w:val="14"/>
                <w:szCs w:val="14"/>
                <w:b w:val="1"/>
                <w:bCs w:val="1"/>
                <w:color w:val="auto"/>
                <w:w w:val="91"/>
              </w:rPr>
              <w:t>Aviv Efrat</w:t>
            </w:r>
          </w:p>
        </w:tc>
        <w:tc>
          <w:tcPr>
            <w:tcW w:w="6100" w:type="dxa"/>
            <w:vAlign w:val="bottom"/>
            <w:gridSpan w:val="3"/>
          </w:tcPr>
          <w:p>
            <w:pPr>
              <w:jc w:val="center"/>
              <w:ind w:left="772"/>
              <w:spacing w:after="0" w:line="202" w:lineRule="exact"/>
              <w:rPr>
                <w:sz w:val="20"/>
                <w:szCs w:val="20"/>
                <w:color w:val="auto"/>
              </w:rPr>
            </w:pPr>
            <w:r>
              <w:rPr>
                <w:rFonts w:ascii="Arial" w:cs="Arial" w:eastAsia="Arial" w:hAnsi="Arial"/>
                <w:sz w:val="18"/>
                <w:szCs w:val="18"/>
                <w:color w:val="auto"/>
                <w:w w:val="94"/>
              </w:rPr>
              <w:t>Officer)</w:t>
            </w:r>
          </w:p>
        </w:tc>
        <w:tc>
          <w:tcPr>
            <w:tcW w:w="0" w:type="dxa"/>
            <w:vAlign w:val="bottom"/>
          </w:tcPr>
          <w:p>
            <w:pPr>
              <w:spacing w:after="0"/>
              <w:rPr>
                <w:sz w:val="1"/>
                <w:szCs w:val="1"/>
                <w:color w:val="auto"/>
              </w:rPr>
            </w:pPr>
          </w:p>
        </w:tc>
      </w:tr>
      <w:tr>
        <w:trPr>
          <w:trHeight w:val="427"/>
        </w:trPr>
        <w:tc>
          <w:tcPr>
            <w:tcW w:w="17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4"/>
          </w:tcPr>
          <w:p>
            <w:pPr>
              <w:jc w:val="center"/>
              <w:ind w:right="1632"/>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DAM</w:t>
            </w:r>
            <w:r>
              <w:rPr>
                <w:rFonts w:ascii="Arial" w:cs="Arial" w:eastAsia="Arial" w:hAnsi="Arial"/>
                <w:sz w:val="18"/>
                <w:szCs w:val="18"/>
                <w:color w:val="auto"/>
              </w:rPr>
              <w:t xml:space="preserve"> K. B</w:t>
            </w:r>
            <w:r>
              <w:rPr>
                <w:rFonts w:ascii="Arial" w:cs="Arial" w:eastAsia="Arial" w:hAnsi="Arial"/>
                <w:sz w:val="14"/>
                <w:szCs w:val="14"/>
                <w:color w:val="auto"/>
              </w:rPr>
              <w:t>ERNSTEIN</w:t>
            </w:r>
          </w:p>
        </w:tc>
        <w:tc>
          <w:tcPr>
            <w:tcW w:w="6100" w:type="dxa"/>
            <w:vAlign w:val="bottom"/>
            <w:gridSpan w:val="3"/>
          </w:tcPr>
          <w:p>
            <w:pPr>
              <w:jc w:val="center"/>
              <w:ind w:left="75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00" w:type="dxa"/>
            <w:vAlign w:val="bottom"/>
            <w:gridSpan w:val="3"/>
          </w:tcPr>
          <w:p>
            <w:pPr>
              <w:jc w:val="center"/>
              <w:ind w:right="1852"/>
              <w:spacing w:after="0"/>
              <w:rPr>
                <w:sz w:val="20"/>
                <w:szCs w:val="20"/>
                <w:color w:val="auto"/>
              </w:rPr>
            </w:pPr>
            <w:r>
              <w:rPr>
                <w:rFonts w:ascii="Arial" w:cs="Arial" w:eastAsia="Arial" w:hAnsi="Arial"/>
                <w:sz w:val="14"/>
                <w:szCs w:val="14"/>
                <w:b w:val="1"/>
                <w:bCs w:val="1"/>
                <w:color w:val="auto"/>
                <w:w w:val="89"/>
              </w:rPr>
              <w:t>Adam K. Bernstein</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940" w:type="dxa"/>
            <w:vAlign w:val="bottom"/>
            <w:tcBorders>
              <w:bottom w:val="single" w:sz="8" w:color="auto"/>
            </w:tcBorders>
            <w:gridSpan w:val="2"/>
          </w:tcPr>
          <w:p>
            <w:pPr>
              <w:ind w:left="168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jc w:val="center"/>
              <w:ind w:right="1792"/>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EFFREY</w:t>
            </w:r>
            <w:r>
              <w:rPr>
                <w:rFonts w:ascii="Arial" w:cs="Arial" w:eastAsia="Arial" w:hAnsi="Arial"/>
                <w:sz w:val="18"/>
                <w:szCs w:val="18"/>
                <w:color w:val="auto"/>
                <w:w w:val="97"/>
              </w:rPr>
              <w:t xml:space="preserve"> F</w:t>
            </w:r>
            <w:r>
              <w:rPr>
                <w:rFonts w:ascii="Arial" w:cs="Arial" w:eastAsia="Arial" w:hAnsi="Arial"/>
                <w:sz w:val="14"/>
                <w:szCs w:val="14"/>
                <w:color w:val="auto"/>
                <w:w w:val="97"/>
              </w:rPr>
              <w:t>LUG</w:t>
            </w:r>
          </w:p>
        </w:tc>
        <w:tc>
          <w:tcPr>
            <w:tcW w:w="6100" w:type="dxa"/>
            <w:vAlign w:val="bottom"/>
            <w:gridSpan w:val="3"/>
          </w:tcPr>
          <w:p>
            <w:pPr>
              <w:jc w:val="center"/>
              <w:ind w:left="75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00" w:type="dxa"/>
            <w:vAlign w:val="bottom"/>
            <w:gridSpan w:val="3"/>
          </w:tcPr>
          <w:p>
            <w:pPr>
              <w:jc w:val="center"/>
              <w:ind w:right="1852"/>
              <w:spacing w:after="0"/>
              <w:rPr>
                <w:sz w:val="20"/>
                <w:szCs w:val="20"/>
                <w:color w:val="auto"/>
              </w:rPr>
            </w:pPr>
            <w:r>
              <w:rPr>
                <w:rFonts w:ascii="Arial" w:cs="Arial" w:eastAsia="Arial" w:hAnsi="Arial"/>
                <w:sz w:val="14"/>
                <w:szCs w:val="14"/>
                <w:b w:val="1"/>
                <w:bCs w:val="1"/>
                <w:color w:val="auto"/>
                <w:w w:val="85"/>
              </w:rPr>
              <w:t>Jeffrey Flug</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76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4"/>
          </w:tcPr>
          <w:p>
            <w:pPr>
              <w:jc w:val="center"/>
              <w:ind w:right="163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ARSHALL</w:t>
            </w:r>
            <w:r>
              <w:rPr>
                <w:rFonts w:ascii="Arial" w:cs="Arial" w:eastAsia="Arial" w:hAnsi="Arial"/>
                <w:sz w:val="18"/>
                <w:szCs w:val="18"/>
                <w:color w:val="auto"/>
              </w:rPr>
              <w:t xml:space="preserve"> B</w:t>
            </w:r>
            <w:r>
              <w:rPr>
                <w:rFonts w:ascii="Arial" w:cs="Arial" w:eastAsia="Arial" w:hAnsi="Arial"/>
                <w:sz w:val="14"/>
                <w:szCs w:val="14"/>
                <w:color w:val="auto"/>
              </w:rPr>
              <w:t>ROZOST</w:t>
            </w:r>
          </w:p>
        </w:tc>
        <w:tc>
          <w:tcPr>
            <w:tcW w:w="6100" w:type="dxa"/>
            <w:vAlign w:val="bottom"/>
            <w:gridSpan w:val="3"/>
          </w:tcPr>
          <w:p>
            <w:pPr>
              <w:jc w:val="center"/>
              <w:ind w:left="75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00" w:type="dxa"/>
            <w:vAlign w:val="bottom"/>
            <w:gridSpan w:val="3"/>
          </w:tcPr>
          <w:p>
            <w:pPr>
              <w:jc w:val="center"/>
              <w:ind w:right="1852"/>
              <w:spacing w:after="0"/>
              <w:rPr>
                <w:sz w:val="20"/>
                <w:szCs w:val="20"/>
                <w:color w:val="auto"/>
              </w:rPr>
            </w:pPr>
            <w:r>
              <w:rPr>
                <w:rFonts w:ascii="Arial" w:cs="Arial" w:eastAsia="Arial" w:hAnsi="Arial"/>
                <w:sz w:val="14"/>
                <w:szCs w:val="14"/>
                <w:b w:val="1"/>
                <w:bCs w:val="1"/>
                <w:color w:val="auto"/>
                <w:w w:val="88"/>
              </w:rPr>
              <w:t>Marshall Brozost</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76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w w:val="83"/>
              </w:rPr>
              <w:t>/s/</w:t>
            </w:r>
          </w:p>
        </w:tc>
        <w:tc>
          <w:tcPr>
            <w:tcW w:w="3280" w:type="dxa"/>
            <w:vAlign w:val="bottom"/>
            <w:tcBorders>
              <w:bottom w:val="single" w:sz="8" w:color="auto"/>
            </w:tcBorders>
            <w:gridSpan w:val="4"/>
          </w:tcPr>
          <w:p>
            <w:pPr>
              <w:jc w:val="center"/>
              <w:ind w:right="161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AMUEL</w:t>
            </w:r>
            <w:r>
              <w:rPr>
                <w:rFonts w:ascii="Arial" w:cs="Arial" w:eastAsia="Arial" w:hAnsi="Arial"/>
                <w:sz w:val="18"/>
                <w:szCs w:val="18"/>
                <w:color w:val="auto"/>
              </w:rPr>
              <w:t xml:space="preserve"> L. K</w:t>
            </w:r>
            <w:r>
              <w:rPr>
                <w:rFonts w:ascii="Arial" w:cs="Arial" w:eastAsia="Arial" w:hAnsi="Arial"/>
                <w:sz w:val="14"/>
                <w:szCs w:val="14"/>
                <w:color w:val="auto"/>
              </w:rPr>
              <w:t>ATZ</w:t>
            </w:r>
          </w:p>
        </w:tc>
        <w:tc>
          <w:tcPr>
            <w:tcW w:w="6100" w:type="dxa"/>
            <w:vAlign w:val="bottom"/>
            <w:gridSpan w:val="3"/>
          </w:tcPr>
          <w:p>
            <w:pPr>
              <w:jc w:val="center"/>
              <w:ind w:left="75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00" w:type="dxa"/>
            <w:vAlign w:val="bottom"/>
            <w:gridSpan w:val="3"/>
          </w:tcPr>
          <w:p>
            <w:pPr>
              <w:jc w:val="center"/>
              <w:ind w:right="1852"/>
              <w:spacing w:after="0"/>
              <w:rPr>
                <w:sz w:val="20"/>
                <w:szCs w:val="20"/>
                <w:color w:val="auto"/>
              </w:rPr>
            </w:pPr>
            <w:r>
              <w:rPr>
                <w:rFonts w:ascii="Arial" w:cs="Arial" w:eastAsia="Arial" w:hAnsi="Arial"/>
                <w:sz w:val="14"/>
                <w:szCs w:val="14"/>
                <w:b w:val="1"/>
                <w:bCs w:val="1"/>
                <w:color w:val="auto"/>
                <w:w w:val="88"/>
              </w:rPr>
              <w:t>Samuel L. Katz</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100" w:type="dxa"/>
            <w:vAlign w:val="bottom"/>
            <w:gridSpan w:val="3"/>
          </w:tcPr>
          <w:p>
            <w:pPr>
              <w:ind w:left="540"/>
              <w:spacing w:after="0"/>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117475</wp:posOffset>
            </wp:positionV>
            <wp:extent cx="3687445" cy="55740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68744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840" w:type="dxa"/>
            <w:vAlign w:val="bottom"/>
          </w:tcPr>
          <w:p>
            <w:pPr>
              <w:jc w:val="center"/>
              <w:ind w:right="852"/>
              <w:spacing w:after="0"/>
              <w:rPr>
                <w:sz w:val="20"/>
                <w:szCs w:val="20"/>
                <w:color w:val="auto"/>
              </w:rPr>
            </w:pPr>
            <w:r>
              <w:rPr>
                <w:rFonts w:ascii="Arial" w:cs="Arial" w:eastAsia="Arial" w:hAnsi="Arial"/>
                <w:sz w:val="18"/>
                <w:szCs w:val="18"/>
                <w:b w:val="1"/>
                <w:bCs w:val="1"/>
                <w:color w:val="auto"/>
                <w:w w:val="98"/>
              </w:rPr>
              <w:t>AMERICAN BANK NOTE COMPANY</w:t>
            </w:r>
          </w:p>
        </w:tc>
        <w:tc>
          <w:tcPr>
            <w:tcW w:w="4880" w:type="dxa"/>
            <w:vAlign w:val="bottom"/>
          </w:tcPr>
          <w:p>
            <w:pPr>
              <w:jc w:val="center"/>
              <w:ind w:left="872"/>
              <w:spacing w:after="0"/>
              <w:rPr>
                <w:sz w:val="20"/>
                <w:szCs w:val="20"/>
                <w:color w:val="auto"/>
              </w:rPr>
            </w:pPr>
            <w:r>
              <w:rPr>
                <w:rFonts w:ascii="Arial" w:cs="Arial" w:eastAsia="Arial" w:hAnsi="Arial"/>
                <w:sz w:val="18"/>
                <w:szCs w:val="18"/>
                <w:color w:val="auto"/>
                <w:w w:val="93"/>
              </w:rPr>
              <w:t>PRODUCTION COORDINATOR:</w:t>
            </w:r>
          </w:p>
        </w:tc>
        <w:tc>
          <w:tcPr>
            <w:tcW w:w="0" w:type="dxa"/>
            <w:vAlign w:val="bottom"/>
          </w:tcPr>
          <w:p>
            <w:pPr>
              <w:spacing w:after="0"/>
              <w:rPr>
                <w:sz w:val="1"/>
                <w:szCs w:val="1"/>
                <w:color w:val="auto"/>
              </w:rPr>
            </w:pPr>
          </w:p>
        </w:tc>
      </w:tr>
      <w:tr>
        <w:trPr>
          <w:trHeight w:val="216"/>
        </w:trPr>
        <w:tc>
          <w:tcPr>
            <w:tcW w:w="4840" w:type="dxa"/>
            <w:vAlign w:val="bottom"/>
          </w:tcPr>
          <w:p>
            <w:pPr>
              <w:jc w:val="center"/>
              <w:ind w:right="872"/>
              <w:spacing w:after="0"/>
              <w:rPr>
                <w:sz w:val="20"/>
                <w:szCs w:val="20"/>
                <w:color w:val="auto"/>
              </w:rPr>
            </w:pPr>
            <w:r>
              <w:rPr>
                <w:rFonts w:ascii="Arial" w:cs="Arial" w:eastAsia="Arial" w:hAnsi="Arial"/>
                <w:sz w:val="18"/>
                <w:szCs w:val="18"/>
                <w:b w:val="1"/>
                <w:bCs w:val="1"/>
                <w:color w:val="auto"/>
                <w:w w:val="96"/>
              </w:rPr>
              <w:t>711 ARMSTRONG LANE</w:t>
            </w:r>
          </w:p>
        </w:tc>
        <w:tc>
          <w:tcPr>
            <w:tcW w:w="4880" w:type="dxa"/>
            <w:vAlign w:val="bottom"/>
          </w:tcPr>
          <w:p>
            <w:pPr>
              <w:jc w:val="center"/>
              <w:ind w:left="892"/>
              <w:spacing w:after="0"/>
              <w:rPr>
                <w:sz w:val="20"/>
                <w:szCs w:val="20"/>
                <w:color w:val="auto"/>
              </w:rPr>
            </w:pPr>
            <w:r>
              <w:rPr>
                <w:rFonts w:ascii="Arial" w:cs="Arial" w:eastAsia="Arial" w:hAnsi="Arial"/>
                <w:sz w:val="18"/>
                <w:szCs w:val="18"/>
                <w:color w:val="auto"/>
                <w:w w:val="92"/>
              </w:rPr>
              <w:t xml:space="preserve">DENISE LITTLE </w:t>
            </w:r>
            <w:r>
              <w:rPr>
                <w:rFonts w:ascii="Arial" w:cs="Arial" w:eastAsia="Arial" w:hAnsi="Arial"/>
                <w:sz w:val="18"/>
                <w:szCs w:val="18"/>
                <w:b w:val="1"/>
                <w:bCs w:val="1"/>
                <w:color w:val="auto"/>
                <w:w w:val="92"/>
              </w:rPr>
              <w:t>931-490-1706</w:t>
            </w:r>
          </w:p>
        </w:tc>
        <w:tc>
          <w:tcPr>
            <w:tcW w:w="0" w:type="dxa"/>
            <w:vAlign w:val="bottom"/>
          </w:tcPr>
          <w:p>
            <w:pPr>
              <w:spacing w:after="0"/>
              <w:rPr>
                <w:sz w:val="1"/>
                <w:szCs w:val="1"/>
                <w:color w:val="auto"/>
              </w:rPr>
            </w:pPr>
          </w:p>
        </w:tc>
      </w:tr>
      <w:tr>
        <w:trPr>
          <w:trHeight w:val="216"/>
        </w:trPr>
        <w:tc>
          <w:tcPr>
            <w:tcW w:w="4840" w:type="dxa"/>
            <w:vAlign w:val="bottom"/>
          </w:tcPr>
          <w:p>
            <w:pPr>
              <w:jc w:val="center"/>
              <w:ind w:right="872"/>
              <w:spacing w:after="0"/>
              <w:rPr>
                <w:sz w:val="20"/>
                <w:szCs w:val="20"/>
                <w:color w:val="auto"/>
              </w:rPr>
            </w:pPr>
            <w:r>
              <w:rPr>
                <w:rFonts w:ascii="Arial" w:cs="Arial" w:eastAsia="Arial" w:hAnsi="Arial"/>
                <w:sz w:val="18"/>
                <w:szCs w:val="18"/>
                <w:b w:val="1"/>
                <w:bCs w:val="1"/>
                <w:color w:val="auto"/>
                <w:w w:val="95"/>
              </w:rPr>
              <w:t>COLUMBIA, TENNESSEE 38401</w:t>
            </w:r>
          </w:p>
        </w:tc>
        <w:tc>
          <w:tcPr>
            <w:tcW w:w="4880" w:type="dxa"/>
            <w:vAlign w:val="bottom"/>
          </w:tcPr>
          <w:p>
            <w:pPr>
              <w:jc w:val="center"/>
              <w:ind w:left="892"/>
              <w:spacing w:after="0"/>
              <w:rPr>
                <w:sz w:val="20"/>
                <w:szCs w:val="20"/>
                <w:color w:val="auto"/>
              </w:rPr>
            </w:pPr>
            <w:r>
              <w:rPr>
                <w:rFonts w:ascii="Arial" w:cs="Arial" w:eastAsia="Arial" w:hAnsi="Arial"/>
                <w:sz w:val="18"/>
                <w:szCs w:val="18"/>
                <w:color w:val="auto"/>
                <w:w w:val="90"/>
              </w:rPr>
              <w:t>PROOF OF: APRIL 17, 2007</w:t>
            </w:r>
          </w:p>
        </w:tc>
        <w:tc>
          <w:tcPr>
            <w:tcW w:w="0" w:type="dxa"/>
            <w:vAlign w:val="bottom"/>
          </w:tcPr>
          <w:p>
            <w:pPr>
              <w:spacing w:after="0"/>
              <w:rPr>
                <w:sz w:val="1"/>
                <w:szCs w:val="1"/>
                <w:color w:val="auto"/>
              </w:rPr>
            </w:pPr>
          </w:p>
        </w:tc>
      </w:tr>
      <w:tr>
        <w:trPr>
          <w:trHeight w:val="216"/>
        </w:trPr>
        <w:tc>
          <w:tcPr>
            <w:tcW w:w="4840" w:type="dxa"/>
            <w:vAlign w:val="bottom"/>
          </w:tcPr>
          <w:p>
            <w:pPr>
              <w:jc w:val="center"/>
              <w:ind w:right="852"/>
              <w:spacing w:after="0"/>
              <w:rPr>
                <w:sz w:val="20"/>
                <w:szCs w:val="20"/>
                <w:color w:val="auto"/>
              </w:rPr>
            </w:pPr>
            <w:r>
              <w:rPr>
                <w:rFonts w:ascii="Arial" w:cs="Arial" w:eastAsia="Arial" w:hAnsi="Arial"/>
                <w:sz w:val="18"/>
                <w:szCs w:val="18"/>
                <w:b w:val="1"/>
                <w:bCs w:val="1"/>
                <w:color w:val="auto"/>
                <w:w w:val="89"/>
              </w:rPr>
              <w:t>(931) 388-3003</w:t>
            </w:r>
          </w:p>
        </w:tc>
        <w:tc>
          <w:tcPr>
            <w:tcW w:w="4880" w:type="dxa"/>
            <w:vAlign w:val="bottom"/>
          </w:tcPr>
          <w:p>
            <w:pPr>
              <w:jc w:val="center"/>
              <w:ind w:left="872"/>
              <w:spacing w:after="0"/>
              <w:rPr>
                <w:sz w:val="20"/>
                <w:szCs w:val="20"/>
                <w:color w:val="auto"/>
              </w:rPr>
            </w:pPr>
            <w:r>
              <w:rPr>
                <w:rFonts w:ascii="Arial" w:cs="Arial" w:eastAsia="Arial" w:hAnsi="Arial"/>
                <w:sz w:val="18"/>
                <w:szCs w:val="18"/>
                <w:b w:val="1"/>
                <w:bCs w:val="1"/>
                <w:color w:val="auto"/>
                <w:w w:val="98"/>
              </w:rPr>
              <w:t>PENNANTPARK INVESTMENT CORPORATION</w:t>
            </w:r>
          </w:p>
        </w:tc>
        <w:tc>
          <w:tcPr>
            <w:tcW w:w="0" w:type="dxa"/>
            <w:vAlign w:val="bottom"/>
          </w:tcPr>
          <w:p>
            <w:pPr>
              <w:spacing w:after="0"/>
              <w:rPr>
                <w:sz w:val="1"/>
                <w:szCs w:val="1"/>
                <w:color w:val="auto"/>
              </w:rPr>
            </w:pPr>
          </w:p>
        </w:tc>
      </w:tr>
      <w:tr>
        <w:trPr>
          <w:trHeight w:val="222"/>
        </w:trPr>
        <w:tc>
          <w:tcPr>
            <w:tcW w:w="4840" w:type="dxa"/>
            <w:vAlign w:val="bottom"/>
            <w:vMerge w:val="restart"/>
          </w:tcPr>
          <w:p>
            <w:pPr>
              <w:jc w:val="center"/>
              <w:ind w:right="852"/>
              <w:spacing w:after="0"/>
              <w:rPr>
                <w:sz w:val="20"/>
                <w:szCs w:val="20"/>
                <w:color w:val="auto"/>
              </w:rPr>
            </w:pPr>
            <w:r>
              <w:rPr>
                <w:rFonts w:ascii="Arial" w:cs="Arial" w:eastAsia="Arial" w:hAnsi="Arial"/>
                <w:sz w:val="18"/>
                <w:szCs w:val="18"/>
                <w:b w:val="1"/>
                <w:bCs w:val="1"/>
                <w:color w:val="auto"/>
                <w:w w:val="92"/>
              </w:rPr>
              <w:t>SALES: C. SHARKEY 302-731-7088</w:t>
            </w:r>
          </w:p>
        </w:tc>
        <w:tc>
          <w:tcPr>
            <w:tcW w:w="4880" w:type="dxa"/>
            <w:vAlign w:val="bottom"/>
          </w:tcPr>
          <w:p>
            <w:pPr>
              <w:jc w:val="center"/>
              <w:ind w:left="872"/>
              <w:spacing w:after="0"/>
              <w:rPr>
                <w:sz w:val="20"/>
                <w:szCs w:val="20"/>
                <w:color w:val="auto"/>
              </w:rPr>
            </w:pPr>
            <w:r>
              <w:rPr>
                <w:rFonts w:ascii="Arial" w:cs="Arial" w:eastAsia="Arial" w:hAnsi="Arial"/>
                <w:sz w:val="18"/>
                <w:szCs w:val="18"/>
                <w:b w:val="1"/>
                <w:bCs w:val="1"/>
                <w:color w:val="auto"/>
                <w:w w:val="93"/>
              </w:rPr>
              <w:t>TSB 26760 FC LOT 1</w:t>
            </w:r>
          </w:p>
        </w:tc>
        <w:tc>
          <w:tcPr>
            <w:tcW w:w="0" w:type="dxa"/>
            <w:vAlign w:val="bottom"/>
          </w:tcPr>
          <w:p>
            <w:pPr>
              <w:spacing w:after="0"/>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4880" w:type="dxa"/>
            <w:vAlign w:val="bottom"/>
          </w:tcPr>
          <w:p>
            <w:pPr>
              <w:jc w:val="center"/>
              <w:ind w:left="892"/>
              <w:spacing w:after="0"/>
              <w:rPr>
                <w:sz w:val="20"/>
                <w:szCs w:val="20"/>
                <w:color w:val="auto"/>
              </w:rPr>
            </w:pPr>
            <w:r>
              <w:rPr>
                <w:rFonts w:ascii="Arial" w:cs="Arial" w:eastAsia="Arial" w:hAnsi="Arial"/>
                <w:sz w:val="18"/>
                <w:szCs w:val="18"/>
                <w:color w:val="auto"/>
                <w:w w:val="90"/>
              </w:rPr>
              <w:t>OPERATOR: AP</w:t>
            </w:r>
          </w:p>
        </w:tc>
        <w:tc>
          <w:tcPr>
            <w:tcW w:w="0" w:type="dxa"/>
            <w:vAlign w:val="bottom"/>
          </w:tcPr>
          <w:p>
            <w:pPr>
              <w:spacing w:after="0"/>
              <w:rPr>
                <w:sz w:val="1"/>
                <w:szCs w:val="1"/>
                <w:color w:val="auto"/>
              </w:rPr>
            </w:pPr>
          </w:p>
        </w:tc>
      </w:tr>
      <w:tr>
        <w:trPr>
          <w:trHeight w:val="228"/>
        </w:trPr>
        <w:tc>
          <w:tcPr>
            <w:tcW w:w="4840" w:type="dxa"/>
            <w:vAlign w:val="bottom"/>
          </w:tcPr>
          <w:p>
            <w:pPr>
              <w:jc w:val="center"/>
              <w:ind w:right="872"/>
              <w:spacing w:after="0"/>
              <w:rPr>
                <w:sz w:val="20"/>
                <w:szCs w:val="20"/>
                <w:color w:val="auto"/>
              </w:rPr>
            </w:pPr>
            <w:r>
              <w:rPr>
                <w:rFonts w:ascii="Arial" w:cs="Arial" w:eastAsia="Arial" w:hAnsi="Arial"/>
                <w:sz w:val="18"/>
                <w:szCs w:val="18"/>
                <w:color w:val="auto"/>
                <w:w w:val="91"/>
              </w:rPr>
              <w:t>7 / LIVE JOBS / P / PENNANTPARK 26760 FC Lot 1</w:t>
            </w:r>
          </w:p>
        </w:tc>
        <w:tc>
          <w:tcPr>
            <w:tcW w:w="4880" w:type="dxa"/>
            <w:vAlign w:val="bottom"/>
          </w:tcPr>
          <w:p>
            <w:pPr>
              <w:jc w:val="center"/>
              <w:ind w:left="872"/>
              <w:spacing w:after="0"/>
              <w:rPr>
                <w:sz w:val="20"/>
                <w:szCs w:val="20"/>
                <w:color w:val="auto"/>
              </w:rPr>
            </w:pPr>
            <w:r>
              <w:rPr>
                <w:rFonts w:ascii="Arial" w:cs="Arial" w:eastAsia="Arial" w:hAnsi="Arial"/>
                <w:sz w:val="18"/>
                <w:szCs w:val="18"/>
                <w:b w:val="1"/>
                <w:bCs w:val="1"/>
                <w:color w:val="auto"/>
                <w:w w:val="91"/>
              </w:rPr>
              <w:t>REV. 1</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COLORS SELECTED FOR PRINTING:</w:t>
      </w:r>
      <w:r>
        <w:rPr>
          <w:rFonts w:ascii="Arial" w:cs="Arial" w:eastAsia="Arial" w:hAnsi="Arial"/>
          <w:sz w:val="18"/>
          <w:szCs w:val="18"/>
          <w:color w:val="auto"/>
        </w:rPr>
        <w:t xml:space="preserve"> Logo prints in PMS 2955. PMS 2955 AT 50% AND 25%, Intaglio prints in SC-7 dark blue.</w:t>
      </w:r>
    </w:p>
    <w:p>
      <w:pPr>
        <w:spacing w:after="0" w:line="16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COLOR: This proof was printed from a digital file or artwork on a graphics quality, color laser printer. It is a good representation of the color as it will appear on the final product. However, it is not an exact color rendition, and the final printed product may appear slightly different from the proof due to the difference between the dyes and printing ink.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INITIAL THE APPROPRIATE SELECTION FOR THIS PROOF: ____ OK AS IS ____ OK WITH CHANGES ____ MAKE CHANGES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SEND ANOTHER PROOF</w:t>
      </w:r>
    </w:p>
    <w:p>
      <w:pPr>
        <w:spacing w:after="0" w:line="159"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 TEXT RECEIVED BY MODEM OR E-MAIL IS NOT PROOFREAD WORD FOR WORD.</w:t>
      </w:r>
    </w:p>
    <w:p>
      <w:pPr>
        <w:sectPr>
          <w:pgSz w:w="11900" w:h="16838" w:orient="portrait"/>
          <w:cols w:equalWidth="0" w:num="1">
            <w:col w:w="11420"/>
          </w:cols>
          <w:pgMar w:left="240" w:top="125" w:right="239" w:bottom="1440" w:gutter="0" w:footer="0" w:header="0"/>
        </w:sectPr>
      </w:pPr>
    </w:p>
    <w:bookmarkStart w:id="162" w:name="page163"/>
    <w:bookmarkEnd w:id="162"/>
    <w:p>
      <w:pPr>
        <w:ind w:right="6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Corporation will furnish to any stockholder, on request and without charge, a full statement of the information required by Section 2-211 (b) of the Corporations and Associations Article of the Annotated Code of Maryland with respect to the designations and any preferences, conversion and other rights, voting powers, restrictions, limitations as to dividends and other distributions, qualifications, and terms and conditions of redemption of the stock of each class which the Corporation has authority to issue and, if the Corporation is authorized to issue any preferred or special class in series, (i) the differences in the relative rights and preferences between the shares of each series to the extent set, and (ii) the authority of the Board of Directors to set such rights and preferences of subsequent series. The foregoing summary does not purport to be complete and is subject to and qualified in its entirety by reference to the charter of the Corporation, a copy of which will be sent without charge to each stockholder who so requests. Such request must be made to the Secretary of the Corporation at its principal office or to the Transfer Agent.</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49"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TEN COM</w:t>
            </w:r>
          </w:p>
        </w:tc>
        <w:tc>
          <w:tcPr>
            <w:tcW w:w="4000" w:type="dxa"/>
            <w:vAlign w:val="bottom"/>
            <w:gridSpan w:val="2"/>
          </w:tcPr>
          <w:p>
            <w:pPr>
              <w:ind w:left="300"/>
              <w:spacing w:after="0"/>
              <w:rPr>
                <w:sz w:val="20"/>
                <w:szCs w:val="20"/>
                <w:color w:val="auto"/>
              </w:rPr>
            </w:pPr>
            <w:r>
              <w:rPr>
                <w:rFonts w:ascii="Arial" w:cs="Arial" w:eastAsia="Arial" w:hAnsi="Arial"/>
                <w:sz w:val="18"/>
                <w:szCs w:val="18"/>
                <w:color w:val="auto"/>
              </w:rPr>
              <w:t>– as tenants in common</w:t>
            </w:r>
          </w:p>
        </w:tc>
        <w:tc>
          <w:tcPr>
            <w:tcW w:w="2220" w:type="dxa"/>
            <w:vAlign w:val="bottom"/>
          </w:tcPr>
          <w:p>
            <w:pPr>
              <w:ind w:left="60"/>
              <w:spacing w:after="0"/>
              <w:rPr>
                <w:sz w:val="20"/>
                <w:szCs w:val="20"/>
                <w:color w:val="auto"/>
              </w:rPr>
            </w:pPr>
            <w:r>
              <w:rPr>
                <w:rFonts w:ascii="Arial" w:cs="Arial" w:eastAsia="Arial" w:hAnsi="Arial"/>
                <w:sz w:val="18"/>
                <w:szCs w:val="18"/>
                <w:color w:val="auto"/>
              </w:rPr>
              <w:t>UNIF GIFT MIN ACT –</w:t>
            </w:r>
          </w:p>
        </w:tc>
        <w:tc>
          <w:tcPr>
            <w:tcW w:w="1040" w:type="dxa"/>
            <w:vAlign w:val="bottom"/>
            <w:tcBorders>
              <w:bottom w:val="single" w:sz="8" w:color="auto"/>
            </w:tcBorders>
            <w:gridSpan w:val="2"/>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Custodian</w:t>
            </w:r>
          </w:p>
        </w:tc>
        <w:tc>
          <w:tcPr>
            <w:tcW w:w="880" w:type="dxa"/>
            <w:vAlign w:val="bottom"/>
            <w:tcBorders>
              <w:bottom w:val="single" w:sz="8" w:color="auto"/>
            </w:tcBorders>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228"/>
        </w:trPr>
        <w:tc>
          <w:tcPr>
            <w:tcW w:w="1080" w:type="dxa"/>
            <w:vAlign w:val="bottom"/>
          </w:tcPr>
          <w:p>
            <w:pPr>
              <w:spacing w:after="0"/>
              <w:rPr>
                <w:sz w:val="20"/>
                <w:szCs w:val="20"/>
                <w:color w:val="auto"/>
              </w:rPr>
            </w:pPr>
            <w:r>
              <w:rPr>
                <w:rFonts w:ascii="Arial" w:cs="Arial" w:eastAsia="Arial" w:hAnsi="Arial"/>
                <w:sz w:val="18"/>
                <w:szCs w:val="18"/>
                <w:color w:val="auto"/>
              </w:rPr>
              <w:t>TEN ENT</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3580" w:type="dxa"/>
            <w:vAlign w:val="bottom"/>
          </w:tcPr>
          <w:p>
            <w:pPr>
              <w:ind w:left="60"/>
              <w:spacing w:after="0"/>
              <w:rPr>
                <w:sz w:val="20"/>
                <w:szCs w:val="20"/>
                <w:color w:val="auto"/>
              </w:rPr>
            </w:pPr>
            <w:r>
              <w:rPr>
                <w:rFonts w:ascii="Arial" w:cs="Arial" w:eastAsia="Arial" w:hAnsi="Arial"/>
                <w:sz w:val="18"/>
                <w:szCs w:val="18"/>
                <w:color w:val="auto"/>
              </w:rPr>
              <w:t>as tenants by the entireties</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rPr>
              <w:t>(Cust)</w:t>
            </w:r>
          </w:p>
        </w:tc>
        <w:tc>
          <w:tcPr>
            <w:tcW w:w="800" w:type="dxa"/>
            <w:vAlign w:val="bottom"/>
          </w:tcPr>
          <w:p>
            <w:pPr>
              <w:spacing w:after="0"/>
              <w:rPr>
                <w:sz w:val="19"/>
                <w:szCs w:val="19"/>
                <w:color w:val="auto"/>
              </w:rPr>
            </w:pPr>
          </w:p>
        </w:tc>
        <w:tc>
          <w:tcPr>
            <w:tcW w:w="1060" w:type="dxa"/>
            <w:vAlign w:val="bottom"/>
            <w:gridSpan w:val="3"/>
          </w:tcPr>
          <w:p>
            <w:pPr>
              <w:ind w:left="520"/>
              <w:spacing w:after="0"/>
              <w:rPr>
                <w:sz w:val="20"/>
                <w:szCs w:val="20"/>
                <w:color w:val="auto"/>
              </w:rPr>
            </w:pPr>
            <w:r>
              <w:rPr>
                <w:rFonts w:ascii="Arial" w:cs="Arial" w:eastAsia="Arial" w:hAnsi="Arial"/>
                <w:sz w:val="18"/>
                <w:szCs w:val="18"/>
                <w:color w:val="auto"/>
                <w:w w:val="91"/>
              </w:rPr>
              <w:t>(Minor)</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JT TEN</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3580" w:type="dxa"/>
            <w:vAlign w:val="bottom"/>
          </w:tcPr>
          <w:p>
            <w:pPr>
              <w:ind w:left="60"/>
              <w:spacing w:after="0"/>
              <w:rPr>
                <w:sz w:val="20"/>
                <w:szCs w:val="20"/>
                <w:color w:val="auto"/>
              </w:rPr>
            </w:pPr>
            <w:r>
              <w:rPr>
                <w:rFonts w:ascii="Arial" w:cs="Arial" w:eastAsia="Arial" w:hAnsi="Arial"/>
                <w:sz w:val="18"/>
                <w:szCs w:val="18"/>
                <w:color w:val="auto"/>
                <w:w w:val="91"/>
              </w:rPr>
              <w:t>as joint tenants with right of survivorship and not</w:t>
            </w:r>
          </w:p>
        </w:tc>
        <w:tc>
          <w:tcPr>
            <w:tcW w:w="2220" w:type="dxa"/>
            <w:vAlign w:val="bottom"/>
          </w:tcPr>
          <w:p>
            <w:pPr>
              <w:spacing w:after="0"/>
              <w:rPr>
                <w:sz w:val="18"/>
                <w:szCs w:val="18"/>
                <w:color w:val="auto"/>
              </w:rPr>
            </w:pPr>
          </w:p>
        </w:tc>
        <w:tc>
          <w:tcPr>
            <w:tcW w:w="2900" w:type="dxa"/>
            <w:vAlign w:val="bottom"/>
            <w:gridSpan w:val="6"/>
          </w:tcPr>
          <w:p>
            <w:pPr>
              <w:spacing w:after="0"/>
              <w:rPr>
                <w:sz w:val="20"/>
                <w:szCs w:val="20"/>
                <w:color w:val="auto"/>
              </w:rPr>
            </w:pPr>
            <w:r>
              <w:rPr>
                <w:rFonts w:ascii="Arial" w:cs="Arial" w:eastAsia="Arial" w:hAnsi="Arial"/>
                <w:sz w:val="18"/>
                <w:szCs w:val="18"/>
                <w:color w:val="auto"/>
              </w:rPr>
              <w:t>under Uniform Gifts to Minors</w:t>
            </w:r>
          </w:p>
        </w:tc>
      </w:tr>
      <w:tr>
        <w:trPr>
          <w:trHeight w:val="184"/>
        </w:trPr>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580" w:type="dxa"/>
            <w:vAlign w:val="bottom"/>
          </w:tcPr>
          <w:p>
            <w:pPr>
              <w:ind w:left="100"/>
              <w:spacing w:after="0" w:line="184" w:lineRule="exact"/>
              <w:rPr>
                <w:sz w:val="20"/>
                <w:szCs w:val="20"/>
                <w:color w:val="auto"/>
              </w:rPr>
            </w:pPr>
            <w:r>
              <w:rPr>
                <w:rFonts w:ascii="Arial" w:cs="Arial" w:eastAsia="Arial" w:hAnsi="Arial"/>
                <w:sz w:val="18"/>
                <w:szCs w:val="18"/>
                <w:color w:val="auto"/>
              </w:rPr>
              <w:t>as tenants in common</w:t>
            </w:r>
          </w:p>
        </w:tc>
        <w:tc>
          <w:tcPr>
            <w:tcW w:w="2220" w:type="dxa"/>
            <w:vAlign w:val="bottom"/>
          </w:tcPr>
          <w:p>
            <w:pPr>
              <w:spacing w:after="0"/>
              <w:rPr>
                <w:sz w:val="15"/>
                <w:szCs w:val="15"/>
                <w:color w:val="auto"/>
              </w:rPr>
            </w:pPr>
          </w:p>
        </w:tc>
        <w:tc>
          <w:tcPr>
            <w:tcW w:w="300" w:type="dxa"/>
            <w:vAlign w:val="bottom"/>
          </w:tcPr>
          <w:p>
            <w:pPr>
              <w:spacing w:after="0" w:line="184" w:lineRule="exact"/>
              <w:rPr>
                <w:sz w:val="20"/>
                <w:szCs w:val="20"/>
                <w:color w:val="auto"/>
              </w:rPr>
            </w:pPr>
            <w:r>
              <w:rPr>
                <w:rFonts w:ascii="Arial" w:cs="Arial" w:eastAsia="Arial" w:hAnsi="Arial"/>
                <w:sz w:val="18"/>
                <w:szCs w:val="18"/>
                <w:color w:val="auto"/>
              </w:rPr>
              <w:t>Act</w:t>
            </w:r>
          </w:p>
        </w:tc>
        <w:tc>
          <w:tcPr>
            <w:tcW w:w="7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5"/>
        </w:trPr>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60" w:type="dxa"/>
            <w:vAlign w:val="bottom"/>
            <w:gridSpan w:val="4"/>
          </w:tcPr>
          <w:p>
            <w:pPr>
              <w:jc w:val="center"/>
              <w:ind w:right="1000"/>
              <w:spacing w:after="0"/>
              <w:rPr>
                <w:sz w:val="20"/>
                <w:szCs w:val="20"/>
                <w:color w:val="auto"/>
              </w:rPr>
            </w:pPr>
            <w:r>
              <w:rPr>
                <w:rFonts w:ascii="Arial" w:cs="Arial" w:eastAsia="Arial" w:hAnsi="Arial"/>
                <w:sz w:val="18"/>
                <w:szCs w:val="18"/>
                <w:color w:val="auto"/>
                <w:w w:val="85"/>
              </w:rPr>
              <w:t>(State)</w:t>
            </w:r>
          </w:p>
        </w:tc>
      </w:tr>
    </w:tbl>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value received, ________________________________________________ hereby sell(s), assign(s) and transfer(s) unto</w:t>
      </w:r>
    </w:p>
    <w:p>
      <w:pPr>
        <w:spacing w:after="0" w:line="212" w:lineRule="exact"/>
        <w:rPr>
          <w:sz w:val="20"/>
          <w:szCs w:val="20"/>
          <w:color w:val="auto"/>
        </w:rPr>
      </w:pPr>
    </w:p>
    <w:p>
      <w:pPr>
        <w:jc w:val="center"/>
        <w:ind w:right="6820"/>
        <w:spacing w:after="0"/>
        <w:rPr>
          <w:sz w:val="20"/>
          <w:szCs w:val="20"/>
          <w:color w:val="auto"/>
        </w:rPr>
      </w:pPr>
      <w:r>
        <w:rPr>
          <w:rFonts w:ascii="Arial" w:cs="Arial" w:eastAsia="Arial" w:hAnsi="Arial"/>
          <w:sz w:val="18"/>
          <w:szCs w:val="18"/>
          <w:color w:val="auto"/>
        </w:rPr>
        <w:t>PLEASE INSERT SOCIAL SECURITY OR</w:t>
      </w:r>
    </w:p>
    <w:p>
      <w:pPr>
        <w:spacing w:after="0" w:line="15" w:lineRule="exact"/>
        <w:rPr>
          <w:sz w:val="20"/>
          <w:szCs w:val="20"/>
          <w:color w:val="auto"/>
        </w:rPr>
      </w:pPr>
    </w:p>
    <w:p>
      <w:pPr>
        <w:jc w:val="center"/>
        <w:ind w:right="6820"/>
        <w:spacing w:after="0"/>
        <w:rPr>
          <w:sz w:val="20"/>
          <w:szCs w:val="20"/>
          <w:color w:val="auto"/>
        </w:rPr>
      </w:pPr>
      <w:r>
        <w:rPr>
          <w:rFonts w:ascii="Arial" w:cs="Arial" w:eastAsia="Arial" w:hAnsi="Arial"/>
          <w:sz w:val="18"/>
          <w:szCs w:val="18"/>
          <w:color w:val="auto"/>
        </w:rPr>
        <w:t>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898775" cy="3257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98775" cy="3257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469900</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_____________________________________________________________________________________________________ shares of the Common Stock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Corporation represented by this Certificate and does hereby irrevocably constitute and appoint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 Attorney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 transfer the said shares of Common Stock on the books of the Corporation, with full power of substitution in the premises.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-13970</wp:posOffset>
            </wp:positionV>
            <wp:extent cx="89217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THE SIGNATURE TO THIS ASSIGNMENT MUST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-130175</wp:posOffset>
            </wp:positionV>
            <wp:extent cx="26930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CORRESPOND WITH THE NAME AS WRITTEN</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UPON THE FACE OF THE CERTIFICATE IN EVERY</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PARTICULAR, WITHOUT ALTERATION OR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ENLARGEMENT OR ANY CHANGE WHATEVER.</w:t>
      </w:r>
    </w:p>
    <w:p>
      <w:pPr>
        <w:spacing w:after="0" w:line="375"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 xml:space="preserve">SIGNATURE(S) GUARANTEED: </w:t>
      </w:r>
      <w:r>
        <w:rPr>
          <w:rFonts w:ascii="Arial" w:cs="Arial" w:eastAsia="Arial" w:hAnsi="Arial"/>
          <w:sz w:val="16"/>
          <w:szCs w:val="16"/>
          <w:color w:val="auto"/>
        </w:rPr>
        <w:t>THE SIGNATURE(S) MUST BE GUARANTEED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-115570</wp:posOffset>
            </wp:positionV>
            <wp:extent cx="26930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4"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AN ELIGIBLE GUARANTOR INSTITUTION (BANKS,</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STOCKBROKERS, SAVINGS AND LOAN</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ASSOCIATIONS AND CREDIT UNIONS WITH</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MEMBERSHIP IN AN APPROVED SIGNATURE</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GUARANTEE MEDALLION PROGRAM), PURSUANT</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TO S.E.C. RULE 17Ad-15.</w:t>
      </w:r>
    </w:p>
    <w:p>
      <w:pPr>
        <w:spacing w:after="0" w:line="159"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KEEP THIS CERTIFICATE IN A SAFE PLACE. IF IT IS LOST, STOLEN, MUTILATED OR DESTROYED, THE CORPORATION WILL REQUIRE A BOND OF INDEMNITY AS A CONDITION TO THE ISSUANCE OF A REPLACEMENT CERTIFICATE</w:t>
      </w:r>
      <w:r>
        <w:rPr>
          <w:rFonts w:ascii="Arial" w:cs="Arial" w:eastAsia="Arial" w:hAnsi="Arial"/>
          <w:sz w:val="18"/>
          <w:szCs w:val="18"/>
          <w:color w:val="auto"/>
        </w:rPr>
        <w:t>.</w:t>
      </w:r>
    </w:p>
    <w:p>
      <w:pPr>
        <w:spacing w:after="0" w:line="160"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4880" w:type="dxa"/>
            <w:vAlign w:val="bottom"/>
          </w:tcPr>
          <w:p>
            <w:pPr>
              <w:jc w:val="center"/>
              <w:ind w:right="852"/>
              <w:spacing w:after="0"/>
              <w:rPr>
                <w:sz w:val="20"/>
                <w:szCs w:val="20"/>
                <w:color w:val="auto"/>
              </w:rPr>
            </w:pPr>
            <w:r>
              <w:rPr>
                <w:rFonts w:ascii="Arial" w:cs="Arial" w:eastAsia="Arial" w:hAnsi="Arial"/>
                <w:sz w:val="18"/>
                <w:szCs w:val="18"/>
                <w:b w:val="1"/>
                <w:bCs w:val="1"/>
                <w:color w:val="auto"/>
                <w:w w:val="98"/>
              </w:rPr>
              <w:t>AMERICAN BANK NOTE COMPANY</w:t>
            </w:r>
          </w:p>
        </w:tc>
        <w:tc>
          <w:tcPr>
            <w:tcW w:w="4860" w:type="dxa"/>
            <w:vAlign w:val="bottom"/>
          </w:tcPr>
          <w:p>
            <w:pPr>
              <w:jc w:val="center"/>
              <w:ind w:left="852"/>
              <w:spacing w:after="0"/>
              <w:rPr>
                <w:sz w:val="20"/>
                <w:szCs w:val="20"/>
                <w:color w:val="auto"/>
              </w:rPr>
            </w:pPr>
            <w:r>
              <w:rPr>
                <w:rFonts w:ascii="Arial" w:cs="Arial" w:eastAsia="Arial" w:hAnsi="Arial"/>
                <w:sz w:val="18"/>
                <w:szCs w:val="18"/>
                <w:color w:val="auto"/>
                <w:w w:val="93"/>
              </w:rPr>
              <w:t>PRODUCTION COORDINATOR:</w:t>
            </w:r>
          </w:p>
        </w:tc>
        <w:tc>
          <w:tcPr>
            <w:tcW w:w="0" w:type="dxa"/>
            <w:vAlign w:val="bottom"/>
          </w:tcPr>
          <w:p>
            <w:pPr>
              <w:spacing w:after="0"/>
              <w:rPr>
                <w:sz w:val="1"/>
                <w:szCs w:val="1"/>
                <w:color w:val="auto"/>
              </w:rPr>
            </w:pPr>
          </w:p>
        </w:tc>
      </w:tr>
      <w:tr>
        <w:trPr>
          <w:trHeight w:val="216"/>
        </w:trPr>
        <w:tc>
          <w:tcPr>
            <w:tcW w:w="4880" w:type="dxa"/>
            <w:vAlign w:val="bottom"/>
          </w:tcPr>
          <w:p>
            <w:pPr>
              <w:jc w:val="center"/>
              <w:ind w:right="872"/>
              <w:spacing w:after="0"/>
              <w:rPr>
                <w:sz w:val="20"/>
                <w:szCs w:val="20"/>
                <w:color w:val="auto"/>
              </w:rPr>
            </w:pPr>
            <w:r>
              <w:rPr>
                <w:rFonts w:ascii="Arial" w:cs="Arial" w:eastAsia="Arial" w:hAnsi="Arial"/>
                <w:sz w:val="18"/>
                <w:szCs w:val="18"/>
                <w:b w:val="1"/>
                <w:bCs w:val="1"/>
                <w:color w:val="auto"/>
                <w:w w:val="96"/>
              </w:rPr>
              <w:t>711 ARMSTRONG LANE</w:t>
            </w:r>
          </w:p>
        </w:tc>
        <w:tc>
          <w:tcPr>
            <w:tcW w:w="4860" w:type="dxa"/>
            <w:vAlign w:val="bottom"/>
          </w:tcPr>
          <w:p>
            <w:pPr>
              <w:jc w:val="center"/>
              <w:ind w:left="872"/>
              <w:spacing w:after="0"/>
              <w:rPr>
                <w:sz w:val="20"/>
                <w:szCs w:val="20"/>
                <w:color w:val="auto"/>
              </w:rPr>
            </w:pPr>
            <w:r>
              <w:rPr>
                <w:rFonts w:ascii="Arial" w:cs="Arial" w:eastAsia="Arial" w:hAnsi="Arial"/>
                <w:sz w:val="18"/>
                <w:szCs w:val="18"/>
                <w:color w:val="auto"/>
                <w:w w:val="92"/>
              </w:rPr>
              <w:t xml:space="preserve">DENISE LITTLE </w:t>
            </w:r>
            <w:r>
              <w:rPr>
                <w:rFonts w:ascii="Arial" w:cs="Arial" w:eastAsia="Arial" w:hAnsi="Arial"/>
                <w:sz w:val="18"/>
                <w:szCs w:val="18"/>
                <w:b w:val="1"/>
                <w:bCs w:val="1"/>
                <w:color w:val="auto"/>
                <w:w w:val="92"/>
              </w:rPr>
              <w:t>931-490-1706</w:t>
            </w:r>
          </w:p>
        </w:tc>
        <w:tc>
          <w:tcPr>
            <w:tcW w:w="0" w:type="dxa"/>
            <w:vAlign w:val="bottom"/>
          </w:tcPr>
          <w:p>
            <w:pPr>
              <w:spacing w:after="0"/>
              <w:rPr>
                <w:sz w:val="1"/>
                <w:szCs w:val="1"/>
                <w:color w:val="auto"/>
              </w:rPr>
            </w:pPr>
          </w:p>
        </w:tc>
      </w:tr>
      <w:tr>
        <w:trPr>
          <w:trHeight w:val="216"/>
        </w:trPr>
        <w:tc>
          <w:tcPr>
            <w:tcW w:w="4880" w:type="dxa"/>
            <w:vAlign w:val="bottom"/>
          </w:tcPr>
          <w:p>
            <w:pPr>
              <w:jc w:val="center"/>
              <w:ind w:right="872"/>
              <w:spacing w:after="0"/>
              <w:rPr>
                <w:sz w:val="20"/>
                <w:szCs w:val="20"/>
                <w:color w:val="auto"/>
              </w:rPr>
            </w:pPr>
            <w:r>
              <w:rPr>
                <w:rFonts w:ascii="Arial" w:cs="Arial" w:eastAsia="Arial" w:hAnsi="Arial"/>
                <w:sz w:val="18"/>
                <w:szCs w:val="18"/>
                <w:b w:val="1"/>
                <w:bCs w:val="1"/>
                <w:color w:val="auto"/>
                <w:w w:val="95"/>
              </w:rPr>
              <w:t>COLUMBIA, TENNESSEE 38401</w:t>
            </w:r>
          </w:p>
        </w:tc>
        <w:tc>
          <w:tcPr>
            <w:tcW w:w="4860" w:type="dxa"/>
            <w:vAlign w:val="bottom"/>
          </w:tcPr>
          <w:p>
            <w:pPr>
              <w:jc w:val="center"/>
              <w:ind w:left="872"/>
              <w:spacing w:after="0"/>
              <w:rPr>
                <w:sz w:val="20"/>
                <w:szCs w:val="20"/>
                <w:color w:val="auto"/>
              </w:rPr>
            </w:pPr>
            <w:r>
              <w:rPr>
                <w:rFonts w:ascii="Arial" w:cs="Arial" w:eastAsia="Arial" w:hAnsi="Arial"/>
                <w:sz w:val="18"/>
                <w:szCs w:val="18"/>
                <w:color w:val="auto"/>
                <w:w w:val="90"/>
              </w:rPr>
              <w:t>PROOF OF: APRIL 17, 2007</w:t>
            </w:r>
          </w:p>
        </w:tc>
        <w:tc>
          <w:tcPr>
            <w:tcW w:w="0" w:type="dxa"/>
            <w:vAlign w:val="bottom"/>
          </w:tcPr>
          <w:p>
            <w:pPr>
              <w:spacing w:after="0"/>
              <w:rPr>
                <w:sz w:val="1"/>
                <w:szCs w:val="1"/>
                <w:color w:val="auto"/>
              </w:rPr>
            </w:pPr>
          </w:p>
        </w:tc>
      </w:tr>
      <w:tr>
        <w:trPr>
          <w:trHeight w:val="216"/>
        </w:trPr>
        <w:tc>
          <w:tcPr>
            <w:tcW w:w="4880" w:type="dxa"/>
            <w:vAlign w:val="bottom"/>
          </w:tcPr>
          <w:p>
            <w:pPr>
              <w:jc w:val="center"/>
              <w:ind w:right="852"/>
              <w:spacing w:after="0"/>
              <w:rPr>
                <w:sz w:val="20"/>
                <w:szCs w:val="20"/>
                <w:color w:val="auto"/>
              </w:rPr>
            </w:pPr>
            <w:r>
              <w:rPr>
                <w:rFonts w:ascii="Arial" w:cs="Arial" w:eastAsia="Arial" w:hAnsi="Arial"/>
                <w:sz w:val="18"/>
                <w:szCs w:val="18"/>
                <w:b w:val="1"/>
                <w:bCs w:val="1"/>
                <w:color w:val="auto"/>
                <w:w w:val="89"/>
              </w:rPr>
              <w:t>(931)388-3003</w:t>
            </w:r>
          </w:p>
        </w:tc>
        <w:tc>
          <w:tcPr>
            <w:tcW w:w="4860" w:type="dxa"/>
            <w:vAlign w:val="bottom"/>
          </w:tcPr>
          <w:p>
            <w:pPr>
              <w:jc w:val="center"/>
              <w:ind w:left="852"/>
              <w:spacing w:after="0"/>
              <w:rPr>
                <w:sz w:val="20"/>
                <w:szCs w:val="20"/>
                <w:color w:val="auto"/>
              </w:rPr>
            </w:pPr>
            <w:r>
              <w:rPr>
                <w:rFonts w:ascii="Arial" w:cs="Arial" w:eastAsia="Arial" w:hAnsi="Arial"/>
                <w:sz w:val="18"/>
                <w:szCs w:val="18"/>
                <w:b w:val="1"/>
                <w:bCs w:val="1"/>
                <w:color w:val="auto"/>
                <w:w w:val="98"/>
              </w:rPr>
              <w:t>PENNANTPARK INVESTMENT CORPORATION</w:t>
            </w:r>
          </w:p>
        </w:tc>
        <w:tc>
          <w:tcPr>
            <w:tcW w:w="0" w:type="dxa"/>
            <w:vAlign w:val="bottom"/>
          </w:tcPr>
          <w:p>
            <w:pPr>
              <w:spacing w:after="0"/>
              <w:rPr>
                <w:sz w:val="1"/>
                <w:szCs w:val="1"/>
                <w:color w:val="auto"/>
              </w:rPr>
            </w:pPr>
          </w:p>
        </w:tc>
      </w:tr>
      <w:tr>
        <w:trPr>
          <w:trHeight w:val="222"/>
        </w:trPr>
        <w:tc>
          <w:tcPr>
            <w:tcW w:w="4880" w:type="dxa"/>
            <w:vAlign w:val="bottom"/>
            <w:vMerge w:val="restart"/>
          </w:tcPr>
          <w:p>
            <w:pPr>
              <w:jc w:val="center"/>
              <w:ind w:right="852"/>
              <w:spacing w:after="0"/>
              <w:rPr>
                <w:sz w:val="20"/>
                <w:szCs w:val="20"/>
                <w:color w:val="auto"/>
              </w:rPr>
            </w:pPr>
            <w:r>
              <w:rPr>
                <w:rFonts w:ascii="Arial" w:cs="Arial" w:eastAsia="Arial" w:hAnsi="Arial"/>
                <w:sz w:val="18"/>
                <w:szCs w:val="18"/>
                <w:b w:val="1"/>
                <w:bCs w:val="1"/>
                <w:color w:val="auto"/>
                <w:w w:val="92"/>
              </w:rPr>
              <w:t>SALES: C. SHARKEY 302-731-7088</w:t>
            </w:r>
          </w:p>
        </w:tc>
        <w:tc>
          <w:tcPr>
            <w:tcW w:w="4860" w:type="dxa"/>
            <w:vAlign w:val="bottom"/>
          </w:tcPr>
          <w:p>
            <w:pPr>
              <w:jc w:val="center"/>
              <w:ind w:left="872"/>
              <w:spacing w:after="0"/>
              <w:rPr>
                <w:sz w:val="20"/>
                <w:szCs w:val="20"/>
                <w:color w:val="auto"/>
              </w:rPr>
            </w:pPr>
            <w:r>
              <w:rPr>
                <w:rFonts w:ascii="Arial" w:cs="Arial" w:eastAsia="Arial" w:hAnsi="Arial"/>
                <w:sz w:val="18"/>
                <w:szCs w:val="18"/>
                <w:b w:val="1"/>
                <w:bCs w:val="1"/>
                <w:color w:val="auto"/>
                <w:w w:val="93"/>
              </w:rPr>
              <w:t>TSB 26760 BK LOT 1</w:t>
            </w:r>
          </w:p>
        </w:tc>
        <w:tc>
          <w:tcPr>
            <w:tcW w:w="0" w:type="dxa"/>
            <w:vAlign w:val="bottom"/>
          </w:tcPr>
          <w:p>
            <w:pPr>
              <w:spacing w:after="0"/>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4860" w:type="dxa"/>
            <w:vAlign w:val="bottom"/>
          </w:tcPr>
          <w:p>
            <w:pPr>
              <w:jc w:val="center"/>
              <w:ind w:left="872"/>
              <w:spacing w:after="0"/>
              <w:rPr>
                <w:sz w:val="20"/>
                <w:szCs w:val="20"/>
                <w:color w:val="auto"/>
              </w:rPr>
            </w:pPr>
            <w:r>
              <w:rPr>
                <w:rFonts w:ascii="Arial" w:cs="Arial" w:eastAsia="Arial" w:hAnsi="Arial"/>
                <w:sz w:val="18"/>
                <w:szCs w:val="18"/>
                <w:color w:val="auto"/>
                <w:w w:val="90"/>
              </w:rPr>
              <w:t>OPERATOR: AP</w:t>
            </w:r>
          </w:p>
        </w:tc>
        <w:tc>
          <w:tcPr>
            <w:tcW w:w="0" w:type="dxa"/>
            <w:vAlign w:val="bottom"/>
          </w:tcPr>
          <w:p>
            <w:pPr>
              <w:spacing w:after="0"/>
              <w:rPr>
                <w:sz w:val="1"/>
                <w:szCs w:val="1"/>
                <w:color w:val="auto"/>
              </w:rPr>
            </w:pPr>
          </w:p>
        </w:tc>
      </w:tr>
      <w:tr>
        <w:trPr>
          <w:trHeight w:val="228"/>
        </w:trPr>
        <w:tc>
          <w:tcPr>
            <w:tcW w:w="4880" w:type="dxa"/>
            <w:vAlign w:val="bottom"/>
          </w:tcPr>
          <w:p>
            <w:pPr>
              <w:jc w:val="center"/>
              <w:ind w:right="872"/>
              <w:spacing w:after="0"/>
              <w:rPr>
                <w:sz w:val="20"/>
                <w:szCs w:val="20"/>
                <w:color w:val="auto"/>
              </w:rPr>
            </w:pPr>
            <w:r>
              <w:rPr>
                <w:rFonts w:ascii="Arial" w:cs="Arial" w:eastAsia="Arial" w:hAnsi="Arial"/>
                <w:sz w:val="18"/>
                <w:szCs w:val="18"/>
                <w:color w:val="auto"/>
                <w:w w:val="92"/>
              </w:rPr>
              <w:t>7 / LIVE JOBS / P / PENNANTPARK 26760 BK Lot 1</w:t>
            </w:r>
          </w:p>
        </w:tc>
        <w:tc>
          <w:tcPr>
            <w:tcW w:w="4860" w:type="dxa"/>
            <w:vAlign w:val="bottom"/>
          </w:tcPr>
          <w:p>
            <w:pPr>
              <w:jc w:val="center"/>
              <w:ind w:left="852"/>
              <w:spacing w:after="0"/>
              <w:rPr>
                <w:sz w:val="20"/>
                <w:szCs w:val="20"/>
                <w:color w:val="auto"/>
              </w:rPr>
            </w:pPr>
            <w:r>
              <w:rPr>
                <w:rFonts w:ascii="Arial" w:cs="Arial" w:eastAsia="Arial" w:hAnsi="Arial"/>
                <w:sz w:val="18"/>
                <w:szCs w:val="18"/>
                <w:b w:val="1"/>
                <w:bCs w:val="1"/>
                <w:color w:val="auto"/>
                <w:w w:val="91"/>
              </w:rPr>
              <w:t>REV. 1</w:t>
            </w: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INITIAL THE APPROPRIATE SELECTION FOR THIS PROOF: ____ OK AS IS ____ OK WITH CHANGES ____ MAKE CHANGES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SEND ANOTHER PROOF</w:t>
      </w:r>
    </w:p>
    <w:p>
      <w:pPr>
        <w:sectPr>
          <w:pgSz w:w="11900" w:h="16838" w:orient="portrait"/>
          <w:cols w:equalWidth="0" w:num="1">
            <w:col w:w="11400"/>
          </w:cols>
          <w:pgMar w:left="240" w:top="280" w:right="25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165"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PennantPark Investment Corporation., a Maryland corporation (the “Corporation”), hereby adopts the following plan (the “Plan”) with respect to distributions declared by its Board of Directors on shares of its Common Stock:</w:t>
      </w:r>
    </w:p>
    <w:p>
      <w:pPr>
        <w:spacing w:after="0" w:line="51" w:lineRule="exact"/>
        <w:rPr>
          <w:sz w:val="20"/>
          <w:szCs w:val="20"/>
          <w:color w:val="auto"/>
        </w:rPr>
      </w:pPr>
    </w:p>
    <w:p>
      <w:pPr>
        <w:jc w:val="both"/>
        <w:ind w:left="460" w:right="100" w:firstLine="443"/>
        <w:spacing w:after="0" w:line="259" w:lineRule="auto"/>
        <w:tabs>
          <w:tab w:leader="none" w:pos="107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Unless a stockholder specifically elects to receive cash as set forth below, all distributions hereafter declared by the Board of Directors, net of any applicable withholding tax, shall be payable in shares of the Common Stock of the Corporation, and no action shall be required on such stockholder’s part to receive a distribution in stock.</w:t>
      </w:r>
    </w:p>
    <w:p>
      <w:pPr>
        <w:spacing w:after="0" w:line="59" w:lineRule="exact"/>
        <w:rPr>
          <w:rFonts w:ascii="Arial" w:cs="Arial" w:eastAsia="Arial" w:hAnsi="Arial"/>
          <w:sz w:val="18"/>
          <w:szCs w:val="18"/>
          <w:color w:val="auto"/>
        </w:rPr>
      </w:pPr>
    </w:p>
    <w:p>
      <w:pPr>
        <w:ind w:left="460" w:right="140" w:firstLine="443"/>
        <w:spacing w:after="0" w:line="268" w:lineRule="auto"/>
        <w:tabs>
          <w:tab w:leader="none" w:pos="107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Such distributions shall be payable on such date or dates as may be fixed from time to time by the Board of Directors to stockholders of record at the close of business on the record date established by the Board of Directors for the distribution involved.</w:t>
      </w:r>
    </w:p>
    <w:p>
      <w:pPr>
        <w:spacing w:after="0" w:line="50" w:lineRule="exact"/>
        <w:rPr>
          <w:rFonts w:ascii="Arial" w:cs="Arial" w:eastAsia="Arial" w:hAnsi="Arial"/>
          <w:sz w:val="18"/>
          <w:szCs w:val="18"/>
          <w:color w:val="auto"/>
        </w:rPr>
      </w:pPr>
    </w:p>
    <w:p>
      <w:pPr>
        <w:ind w:left="460" w:right="20" w:firstLine="443"/>
        <w:spacing w:after="0" w:line="287" w:lineRule="auto"/>
        <w:tabs>
          <w:tab w:leader="none" w:pos="107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With respect to each distribution pursuant to this Plan, the Board of Directors reserves the right, subject to the provisions of the Investment Company Act of 1940, to determine whether to issue newly-issued shares of its Common Stock or to make open market purchases of its shares for the account of Plan Participants (as hereinafter defined). However, if no determination is made otherwise, in the event the market price of the Corporation’s Common Stock plus any applicable brokerage commission is equal to or exceeds the net asset value per share on the valuation date fixed by the Board of Directors for such distribution (“Valuation Date”), the Corporation will use newly-issued shares of its Common Stock valued at the then current market price. If no determination is made otherwise, in the event the net asset value per share of the Common Stock on the Valuation Date exceeds the market price of the Common Stock at such time plus any applicable brokerage commission, the Plan Administrator will purchase shares in the open market for the account of Participants. The market price per share of the Corporation’s Common Stock on a particular date shall be the closing price for such shares on the NASDAQ Global Market on such date or, if no sale is reported for such date, at the average of their reported bid and asked prices. The net asset value per share of the Corporation’s Common Stock on a particular date shall be as determined by or on behalf of the Corporation.</w:t>
      </w:r>
    </w:p>
    <w:p>
      <w:pPr>
        <w:spacing w:after="0" w:line="41" w:lineRule="exact"/>
        <w:rPr>
          <w:rFonts w:ascii="Arial" w:cs="Arial" w:eastAsia="Arial" w:hAnsi="Arial"/>
          <w:sz w:val="16"/>
          <w:szCs w:val="16"/>
          <w:color w:val="auto"/>
        </w:rPr>
      </w:pPr>
    </w:p>
    <w:p>
      <w:pPr>
        <w:ind w:left="460" w:right="120" w:firstLine="443"/>
        <w:spacing w:after="0" w:line="314" w:lineRule="auto"/>
        <w:tabs>
          <w:tab w:leader="none" w:pos="1074" w:val="left"/>
        </w:tabs>
        <w:numPr>
          <w:ilvl w:val="0"/>
          <w:numId w:val="107"/>
        </w:numPr>
        <w:rPr>
          <w:rFonts w:ascii="Arial" w:cs="Arial" w:eastAsia="Arial" w:hAnsi="Arial"/>
          <w:sz w:val="15"/>
          <w:szCs w:val="15"/>
          <w:color w:val="auto"/>
        </w:rPr>
      </w:pPr>
      <w:r>
        <w:rPr>
          <w:rFonts w:ascii="Arial" w:cs="Arial" w:eastAsia="Arial" w:hAnsi="Arial"/>
          <w:sz w:val="15"/>
          <w:szCs w:val="15"/>
          <w:color w:val="auto"/>
        </w:rPr>
        <w:t>The Plan Administrator will set up an account for shares acquired pursuant to the Plan for each stockholder who has not so elected to receive distributions in cash (each a “Participant”). The Plan Administrator may hold each Participant’s shares, together with the shares of other Participants, in non-certificated form in the Plan Administrator’s name or that of its nominee. Upon request by a Participant, received in writing no later than three days prior to the record date, the Plan Administrator will, instead of crediting shares to and/or carrying shares in a Participant’s account, issue a certificate registered in the Participant’s name for the number of whole shares payable to the Participant and a check for any fractional share. The Plan Administrator is authorized to deduct a $15.00 transaction fee plus a $0.10 per share brokerage commission from the proceeds of the sale of any fractional share.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64" w:name="page165"/>
    <w:bookmarkEnd w:id="164"/>
    <w:p>
      <w:pPr>
        <w:ind w:right="60" w:firstLine="443"/>
        <w:spacing w:after="0" w:line="294" w:lineRule="auto"/>
        <w:tabs>
          <w:tab w:leader="none" w:pos="614" w:val="left"/>
        </w:tabs>
        <w:numPr>
          <w:ilvl w:val="0"/>
          <w:numId w:val="1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Plan Administrator will confirm to each Participant each acquisition made pursuant to the Plan as soon as practicable but not later than 30 business days after the payable date. Although each Participant may from time to time have an undivided fractional interest (computed to three decimal places) in a share of Common Stock of the Corporation, no certificates for a fractional share will be issued. However, distributions on fractional shares will be credited to each Participant’s account. In the event of termination of a Participant’s account under the Plan, the Plan Administrator will adjust for any such undivided fractional interest in cash at the market value of the Corporation’s shares at the time of termination.</w:t>
      </w:r>
    </w:p>
    <w:p>
      <w:pPr>
        <w:spacing w:after="0" w:line="34" w:lineRule="exact"/>
        <w:rPr>
          <w:rFonts w:ascii="Arial" w:cs="Arial" w:eastAsia="Arial" w:hAnsi="Arial"/>
          <w:sz w:val="16"/>
          <w:szCs w:val="16"/>
          <w:color w:val="auto"/>
        </w:rPr>
      </w:pPr>
    </w:p>
    <w:p>
      <w:pPr>
        <w:ind w:right="120" w:firstLine="443"/>
        <w:spacing w:after="0" w:line="259" w:lineRule="auto"/>
        <w:tabs>
          <w:tab w:leader="none" w:pos="61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Plan Administrator will forward to each Participant any Corporation related proxy solicitation materials and each Corporation report or other communication to stockholders, and will vote any shares held by it under the Plan in accordance with the instructions set forth on proxies returned by Participants to the Corporation.</w:t>
      </w:r>
    </w:p>
    <w:p>
      <w:pPr>
        <w:spacing w:after="0" w:line="59" w:lineRule="exact"/>
        <w:rPr>
          <w:rFonts w:ascii="Arial" w:cs="Arial" w:eastAsia="Arial" w:hAnsi="Arial"/>
          <w:sz w:val="18"/>
          <w:szCs w:val="18"/>
          <w:color w:val="auto"/>
        </w:rPr>
      </w:pPr>
    </w:p>
    <w:p>
      <w:pPr>
        <w:ind w:right="140" w:firstLine="443"/>
        <w:spacing w:after="0" w:line="256" w:lineRule="auto"/>
        <w:tabs>
          <w:tab w:leader="none" w:pos="61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the event that the Corporation makes available to its stockholders rights to purchase additional shares or other securities, the shares held by the Plan Administrator for each Participant under the Plan will be added to any other shares held by the Participant in certificated form in calculating the number of rights to be issued to the Participant. Transaction processing may be either curtailed or suspended until the completion of any stock dividend, stock split or corporate action.</w:t>
      </w:r>
    </w:p>
    <w:p>
      <w:pPr>
        <w:spacing w:after="0" w:line="62" w:lineRule="exact"/>
        <w:rPr>
          <w:rFonts w:ascii="Arial" w:cs="Arial" w:eastAsia="Arial" w:hAnsi="Arial"/>
          <w:sz w:val="18"/>
          <w:szCs w:val="18"/>
          <w:color w:val="auto"/>
        </w:rPr>
      </w:pPr>
    </w:p>
    <w:p>
      <w:pPr>
        <w:ind w:right="100" w:firstLine="443"/>
        <w:spacing w:after="0" w:line="259" w:lineRule="auto"/>
        <w:tabs>
          <w:tab w:leader="none" w:pos="61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Plan Administrator’s service fee, if any, and expenses for administering the Plan will be paid for by the Corporation. However, each Participant will pay a pro rata share of brokerage commissions incurred with respect to the Plan Administrator’s open market purchases in connection with the reinvestment of distributions.</w:t>
      </w:r>
    </w:p>
    <w:p>
      <w:pPr>
        <w:spacing w:after="0" w:line="59" w:lineRule="exact"/>
        <w:rPr>
          <w:rFonts w:ascii="Arial" w:cs="Arial" w:eastAsia="Arial" w:hAnsi="Arial"/>
          <w:sz w:val="18"/>
          <w:szCs w:val="18"/>
          <w:color w:val="auto"/>
        </w:rPr>
      </w:pPr>
    </w:p>
    <w:p>
      <w:pPr>
        <w:ind w:firstLine="443"/>
        <w:spacing w:after="0" w:line="288" w:lineRule="auto"/>
        <w:tabs>
          <w:tab w:leader="none" w:pos="61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Each Participant may terminate his or its account under the Plan by so notifying the Plan Administrator via the Plan Administrator’s website at www.amstock.com, by filling out the transaction request form located at the bottom of the Participant’s Statement and sending it to American Stock Transfer &amp; Trust Company, PO Box 922, Wall Street Station, New York, NY 10269-0560 or by calling the Plan Administrator’s Interactive Voice Response System at 1-888-777-0324. Such termination will be effective immediately if the Participant’s notice is received by the Plan Administrator at least three days prior to any distribution record date; otherwise, such termination will be effective only with respect to any subsequent distribution. The Plan may be terminated or amended by the Corporation upon notice in writing mailed to each Participant at least 30 days prior to any record date for the payment of any distribution by the Corporation. Upon any termination, the Plan Administrator will cause a certificate or certificates to be issued for the full shares held for the Participant under the Plan and a cash adjustment for any fractional share to be delivered to the Participant without charge to the Participant. If a Participant elects by his or its written notice to the</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80" w:right="239" w:bottom="1440" w:gutter="0" w:footer="0" w:header="0"/>
        </w:sectPr>
      </w:pPr>
    </w:p>
    <w:bookmarkStart w:id="165" w:name="page166"/>
    <w:bookmarkEnd w:id="165"/>
    <w:p>
      <w:pPr>
        <w:ind w:left="460"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Administrator in advance of termination to have the Plan Administrator sell part or all of his or its shares and remit the proceeds to the Participant, the Plan Administrator is authorized to deduct a $15.00 transaction fee plus a $0.10 per share brokerage commission from the proceeds.</w:t>
      </w:r>
    </w:p>
    <w:p>
      <w:pPr>
        <w:spacing w:after="0" w:line="4" w:lineRule="exact"/>
        <w:rPr>
          <w:sz w:val="20"/>
          <w:szCs w:val="20"/>
          <w:color w:val="auto"/>
        </w:rPr>
      </w:pPr>
    </w:p>
    <w:p>
      <w:pPr>
        <w:ind w:left="460" w:right="100" w:firstLine="443"/>
        <w:spacing w:after="0" w:line="288" w:lineRule="auto"/>
        <w:tabs>
          <w:tab w:leader="none" w:pos="116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These terms and conditions may be amended or supplemented by the Corporation at any time but, except when necessary or appropriate to comply with applicable law or the rules or policies of the Securities and Exchange Commission or any other regulatory authority, only by mailing to each Participant appropriate written notice at least 30 days prior to the effective date thereof. The amendment or supplement shall be deemed to be accepted by each Participant unless, prior to the effective date thereof, the Plan Administrator receives written notice of the termination of his or its account under the Plan. Any such amendment may include an appointment by the Plan Administrator in its place and stead of a successor agent under these terms and conditions, with full power and authority to perform all or any of the acts to be performed by the Plan Administrator under these terms and conditions. Upon any such appointment of any agent for the purpose of receiving distributions, the Corporation will be authorized to pay to such successor agent, for each Participant’s account, all distributions payable on shares of the Corporation held in the Participant’s name or under the Plan for retention or application by such successor agent as provided in these terms and conditions.</w:t>
      </w:r>
    </w:p>
    <w:p>
      <w:pPr>
        <w:spacing w:after="0" w:line="38" w:lineRule="exact"/>
        <w:rPr>
          <w:rFonts w:ascii="Arial" w:cs="Arial" w:eastAsia="Arial" w:hAnsi="Arial"/>
          <w:sz w:val="16"/>
          <w:szCs w:val="16"/>
          <w:color w:val="auto"/>
        </w:rPr>
      </w:pPr>
    </w:p>
    <w:p>
      <w:pPr>
        <w:jc w:val="both"/>
        <w:ind w:left="460" w:firstLine="443"/>
        <w:spacing w:after="0" w:line="256" w:lineRule="auto"/>
        <w:tabs>
          <w:tab w:leader="none" w:pos="11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Plan Administrator will at all times act in good faith and use its best efforts within reasonable limits to ensure its full and timely performance of all services to be performed by it with respect to purchases and sales of the Corporation’s Common Stock under this Plan and to comply with applicable law, but assumes no responsibility and shall not be liable for loss or damage due to errors unless such error is caused by the Plan Administrator’s negligence, bad faith, or willful misconduct or that of its employees or agents.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These terms and conditions shall be governed by the laws of the State of New York.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June 11, 2007</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INVESTMENT ADVISORY MANAGEMENT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BETWEEN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PENNANTPARK INVESTMENT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PENNANTPARK INVESTMENT ADVISERS, LLC</w:t>
      </w:r>
    </w:p>
    <w:p>
      <w:pPr>
        <w:spacing w:after="0" w:line="204" w:lineRule="exact"/>
        <w:rPr>
          <w:sz w:val="20"/>
          <w:szCs w:val="20"/>
          <w:color w:val="auto"/>
        </w:rPr>
      </w:pPr>
    </w:p>
    <w:p>
      <w:pPr>
        <w:ind w:right="840" w:firstLine="456"/>
        <w:spacing w:after="0" w:line="233" w:lineRule="auto"/>
        <w:rPr>
          <w:sz w:val="20"/>
          <w:szCs w:val="20"/>
          <w:color w:val="auto"/>
        </w:rPr>
      </w:pPr>
      <w:r>
        <w:rPr>
          <w:rFonts w:ascii="Arial" w:cs="Arial" w:eastAsia="Arial" w:hAnsi="Arial"/>
          <w:sz w:val="17"/>
          <w:szCs w:val="17"/>
          <w:color w:val="auto"/>
        </w:rPr>
        <w:t>Agreement made this 17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of April 2007, by and between PENNANTPARK INVESTMENT CORPORATION, a Maryland corporation (the “Corporation”), and PENNANTPARK INVESTMENT ADVISERS, LLC, a Delaware limited liability company (the “Adviser”).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Corporation is a newly organized corporation that will operate as a closed-end management investment company;</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WHEREAS, the Corporation has filed a registration statement on Form N-2 (the “Registration Statement”) to register shares of its common stock for issuance in an initial public offering (the “Offering”);</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WHEREAS, prior to the effectiveness of the Registration Statement, the Corporation intends to file an election to be treated as a business development company under the Investment Company Act of 1940;</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prior to and in anticipation of the Offering, the Corporation intends to acquire interests in senior secured loans and other debt obligations that will comprise a portion of the Corporation’s initial portfolio;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Adviser is a newly organized investment adviser; and</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the Corporation desires to retain the Adviser to furnish investment advisory services to the Corporation prior to the Offering on the terms and conditions hereinafter set forth, and the Adviser wishes to be retained to provide such services.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premises and for other good and valuable consideration, the parties hereby agree as follows: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Duties of the Adviser.</w:t>
      </w:r>
    </w:p>
    <w:p>
      <w:pPr>
        <w:spacing w:after="0" w:line="171" w:lineRule="exact"/>
        <w:rPr>
          <w:sz w:val="20"/>
          <w:szCs w:val="20"/>
          <w:color w:val="auto"/>
        </w:rPr>
      </w:pPr>
    </w:p>
    <w:p>
      <w:pPr>
        <w:ind w:right="120" w:firstLine="464"/>
        <w:spacing w:after="0" w:line="306" w:lineRule="auto"/>
        <w:tabs>
          <w:tab w:leader="none" w:pos="69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Corporation hereby employs the Adviser to act as the investment adviser to the Corporation and to manage the investment and reinvestment of the assets of the Corporation, subject to the supervision of the Board of Directors of the Corporation, for the period and upon the terms herein set forth, (i) in accordance with the investment objective, policies and restrictions that are set forth in the Registration Statement, dated April 18, 2007, as the same may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67" w:name="page168"/>
    <w:bookmarkEnd w:id="167"/>
    <w:p>
      <w:pPr>
        <w:ind w:right="10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amended from time to time, (ii) in accordance with the Investment Company Act and (iii) during the term of this Agreement in accordance with all other applicable federal and state laws, rules and regulations, and the Corporation’s charter and by-laws. Without limiting the generality of the foregoing, the Adviser shall, during the term and subject to the provisions of this Agreement, (i) determine the composition of the portfolio of the Corporation, the nature and timing of the changes therein and the manner of implementing such changes; (ii) identify, evaluate and negotiate the structure of the investments made by the Corporation;</w:t>
      </w:r>
    </w:p>
    <w:p>
      <w:pPr>
        <w:spacing w:after="0" w:line="3" w:lineRule="exact"/>
        <w:rPr>
          <w:sz w:val="20"/>
          <w:szCs w:val="20"/>
          <w:color w:val="auto"/>
        </w:rPr>
      </w:pPr>
    </w:p>
    <w:p>
      <w:pPr>
        <w:ind w:right="80" w:firstLine="8"/>
        <w:spacing w:after="0" w:line="287" w:lineRule="auto"/>
        <w:tabs>
          <w:tab w:leader="none" w:pos="30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close and monitor the Corporation’s investments; determine the securities and other assets that the Corporation will purchase, retain, or sell; perform due diligence on prospective portfolio companies; and (vi) provide the Corporation with such other investment advisory, research and related services as the Corporation may, from time to time, reasonably require for the investment of its funds. The Adviser shall have the power and authority on behalf of the Corporation to effectuate its investment decisions for the Corporation, including the execution and delivery of all documents relating to the Corporation’s investments and the placing of orders for other purchase or sale transactions on behalf of the Corporation. In the event that the Corporation determines to acquire debt financing, the Adviser will arrange for such financing on the Corporation’s behalf, subject to the oversight and approval of the Corporation’s Board of Directors. If it is necessary for the Adviser to make investments on behalf of the Corporation through a special purpose vehicle, the Adviser shall have authority to create or arrange for the creation of such special purpose vehicle and to make such investments through such special purpose vehicle in accordance with the Investment Company Act.</w:t>
      </w:r>
    </w:p>
    <w:p>
      <w:pPr>
        <w:spacing w:after="0" w:line="120" w:lineRule="exact"/>
        <w:rPr>
          <w:rFonts w:ascii="Arial" w:cs="Arial" w:eastAsia="Arial" w:hAnsi="Arial"/>
          <w:sz w:val="16"/>
          <w:szCs w:val="16"/>
          <w:color w:val="auto"/>
        </w:rPr>
      </w:pPr>
    </w:p>
    <w:p>
      <w:pPr>
        <w:ind w:left="720" w:hanging="256"/>
        <w:spacing w:after="0"/>
        <w:tabs>
          <w:tab w:leader="none" w:pos="720" w:val="left"/>
        </w:tabs>
        <w:numPr>
          <w:ilvl w:val="1"/>
          <w:numId w:val="111"/>
        </w:numPr>
        <w:rPr>
          <w:rFonts w:ascii="Arial" w:cs="Arial" w:eastAsia="Arial" w:hAnsi="Arial"/>
          <w:sz w:val="15"/>
          <w:szCs w:val="15"/>
          <w:color w:val="auto"/>
        </w:rPr>
      </w:pPr>
      <w:r>
        <w:rPr>
          <w:rFonts w:ascii="Arial" w:cs="Arial" w:eastAsia="Arial" w:hAnsi="Arial"/>
          <w:sz w:val="15"/>
          <w:szCs w:val="15"/>
          <w:color w:val="auto"/>
        </w:rPr>
        <w:t>The Adviser hereby accepts such employment and agrees during the term hereof to render the services described herein for the compensation provided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herein.</w:t>
      </w:r>
    </w:p>
    <w:p>
      <w:pPr>
        <w:spacing w:after="0" w:line="164" w:lineRule="exact"/>
        <w:rPr>
          <w:rFonts w:ascii="Arial" w:cs="Arial" w:eastAsia="Arial" w:hAnsi="Arial"/>
          <w:sz w:val="15"/>
          <w:szCs w:val="15"/>
          <w:color w:val="auto"/>
        </w:rPr>
      </w:pPr>
    </w:p>
    <w:p>
      <w:pPr>
        <w:ind w:firstLine="464"/>
        <w:spacing w:after="0" w:line="290" w:lineRule="auto"/>
        <w:tabs>
          <w:tab w:leader="none" w:pos="695" w:val="left"/>
        </w:tabs>
        <w:numPr>
          <w:ilvl w:val="1"/>
          <w:numId w:val="111"/>
        </w:numPr>
        <w:rPr>
          <w:rFonts w:ascii="Arial" w:cs="Arial" w:eastAsia="Arial" w:hAnsi="Arial"/>
          <w:sz w:val="16"/>
          <w:szCs w:val="16"/>
          <w:color w:val="auto"/>
        </w:rPr>
      </w:pPr>
      <w:r>
        <w:rPr>
          <w:rFonts w:ascii="Arial" w:cs="Arial" w:eastAsia="Arial" w:hAnsi="Arial"/>
          <w:sz w:val="16"/>
          <w:szCs w:val="16"/>
          <w:color w:val="auto"/>
        </w:rPr>
        <w:t>Subject to the requirements of the Investment Company Act, the Adviser is hereby authorized to enter into one or more sub-advisory agreements with other investment advisers (each, a “Sub-Adviser”) pursuant to which the Adviser may obtain the services of the Sub-Adviser(s) to assist the Adviser in fulfilling its responsibilities hereunder. Specifically, the Adviser may retain a Sub-Adviser to recommend specific securities or other investments based upon the Corporation’s investment objective and policies, and work, along with the Adviser, in structuring, negotiating, arranging or effecting the acquisition or disposition of such investments and monitoring investments on behalf of the Corporation, subject to the oversight of the Adviser and the Corporation. The Adviser, and not the Corporation, shall be responsible for any compensation payable to any Sub-Adviser. Any sub-advisory agreement entered into by the Adviser shall be in accordance with the requirements of the Investment Company Act and other applicable federal and state law.</w:t>
      </w:r>
    </w:p>
    <w:p>
      <w:pPr>
        <w:spacing w:after="0" w:line="118" w:lineRule="exact"/>
        <w:rPr>
          <w:rFonts w:ascii="Arial" w:cs="Arial" w:eastAsia="Arial" w:hAnsi="Arial"/>
          <w:sz w:val="16"/>
          <w:szCs w:val="16"/>
          <w:color w:val="auto"/>
        </w:rPr>
      </w:pPr>
    </w:p>
    <w:p>
      <w:pPr>
        <w:ind w:right="180" w:firstLine="464"/>
        <w:spacing w:after="0" w:line="332" w:lineRule="auto"/>
        <w:tabs>
          <w:tab w:leader="none" w:pos="705"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Adviser shall for all purposes herein provided be deemed to be an independent contractor and, except as expressly provided or authorized herein, shall have no authority to act for or represent the Corporation in any way or otherwise be deemed an agent of the Corporation.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68" w:name="page169"/>
    <w:bookmarkEnd w:id="168"/>
    <w:p>
      <w:pPr>
        <w:ind w:left="-20" w:right="20" w:firstLine="464"/>
        <w:spacing w:after="0" w:line="294" w:lineRule="auto"/>
        <w:tabs>
          <w:tab w:leader="none" w:pos="675" w:val="left"/>
        </w:tabs>
        <w:numPr>
          <w:ilvl w:val="0"/>
          <w:numId w:val="1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Adviser shall keep and preserve, in the manner and for the period that would be applicable to investment companies registered under the Investment Company Act any books and records relevant to the provision of its investment advisory services to the Corporation and shall specifically maintain all books and records with respect to the Corporation’s portfolio transactions and shall render to the Corporation’s Board of Directors such periodic and special reports as the Board may reasonably request. The Adviser agrees that all records that it maintains for the Corporation are the property of the Corporation and will surrender promptly to the Corporation any such records upon the Corporation’s request, provided that the Adviser may retain a copy of such records.</w:t>
      </w:r>
    </w:p>
    <w:p>
      <w:pPr>
        <w:spacing w:after="0" w:line="116" w:lineRule="exact"/>
        <w:rPr>
          <w:sz w:val="20"/>
          <w:szCs w:val="20"/>
          <w:color w:val="auto"/>
        </w:rPr>
      </w:pPr>
    </w:p>
    <w:p>
      <w:pPr>
        <w:ind w:left="-20" w:firstLine="464"/>
        <w:spacing w:after="0" w:line="284" w:lineRule="auto"/>
        <w:tabs>
          <w:tab w:leader="none" w:pos="612"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Corporation’s Responsibilities and Expenses Payable by the Corporation</w:t>
      </w:r>
      <w:r>
        <w:rPr>
          <w:rFonts w:ascii="Arial" w:cs="Arial" w:eastAsia="Arial" w:hAnsi="Arial"/>
          <w:sz w:val="16"/>
          <w:szCs w:val="16"/>
          <w:color w:val="auto"/>
        </w:rPr>
        <w:t>. All investment professionals of the Adviser and their respective staffs, when and to the extent engaged in providing investment advisory and management services hereunder, and the compensation and routine overhead expenses of such personnel allocable to such services, will be provided and paid for by the Adviser and not by the Corporation. The Corporation will bear all other costs and expenses of its operations and transactions, including (without limitation) those relating to: organization and offering; calculating the Corporation’s net asset value (including the cost and expenses of any independent valuation firm); expenses incurred by the Adviser payable to third parties, including agents, consultants or other advisors, in monitoring financial and legal affairs for the Corporation and in monitoring the Corporation’s investments and performing due diligence (including related legal expenses) on its prospective portfolio companies; interest payable on debt, if any, incurred to finance the Corporation’s investments and expenses related to unsuccessful portfolio acquisition efforts; offerings of the Corporation’s common stock and other securities; investment advisory and management fees; administration fees payable under the Administration Agreement between the Corporation and PennantPark Investment Advisers, LLC (the “Administrator”), the Corporation’s administrator; fees payable to third parties, including agents, consultants or other advisors, relating to, or associated with, evaluating and making investments, including costs associated with meeting potential financial sponsors; transfer agent and custodial fees; federal and state registration fees; all costs of registration and listing the Corporation’s shares on any securities exchange; federal, state and local taxes; independent Directors’ fees and expenses; costs of preparing and filing reports or other documents required by the Securities and Exchange Commission; costs of any reports, proxy statements or other notices to stockholders, including printing costs; costs associated with individual or group stockholders; the Corporation’s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outside legal costs; and all other expenses incurred by the Corporation or the Administrator in connection with administering the Corporation’s business, including payments under the Administration Agreement between the Corporation and the Administrator based upon the Corporation’s allocable portion of the Administrator’s overhead in performing its obligations under the Administration Agreement, including rent and the allocable portion of the cost of the Corporation’s chief compliance officer and chief financial officer and their respective staffs.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169" w:name="page170"/>
    <w:bookmarkEnd w:id="169"/>
    <w:p>
      <w:pPr>
        <w:ind w:left="-20" w:right="40" w:firstLine="464"/>
        <w:spacing w:after="0" w:line="323" w:lineRule="auto"/>
        <w:tabs>
          <w:tab w:leader="none" w:pos="612" w:val="left"/>
        </w:tabs>
        <w:numPr>
          <w:ilvl w:val="0"/>
          <w:numId w:val="114"/>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of the Adviser.</w:t>
      </w:r>
      <w:r>
        <w:rPr>
          <w:rFonts w:ascii="Arial" w:cs="Arial" w:eastAsia="Arial" w:hAnsi="Arial"/>
          <w:sz w:val="15"/>
          <w:szCs w:val="15"/>
          <w:color w:val="auto"/>
        </w:rPr>
        <w:t xml:space="preserve"> The Corporation agrees to pay, and the Adviser agrees to accept, as compensation for the services provided by the Adviser hereunder, a base management fee (“Base Management Fee”) and an incentive fee (“Incentive Fee”) as hereinafter set forth. The Corporation shall make any payments due hereunder to the Adviser or to the Adviser’s designee as the Adviser may otherwise direct. To the extent permitted by applicable law, the Adviser may elect, or adopt a deferred compensation plan pursuant to which it may elect, to defer all or a portion of its fees hereunder for a specified period of time.</w:t>
      </w:r>
    </w:p>
    <w:p>
      <w:pPr>
        <w:spacing w:after="0" w:line="98" w:lineRule="exact"/>
        <w:rPr>
          <w:sz w:val="20"/>
          <w:szCs w:val="20"/>
          <w:color w:val="auto"/>
        </w:rPr>
      </w:pPr>
    </w:p>
    <w:p>
      <w:pPr>
        <w:ind w:left="-20" w:right="160" w:firstLine="464"/>
        <w:spacing w:after="0" w:line="290" w:lineRule="auto"/>
        <w:tabs>
          <w:tab w:leader="none" w:pos="675"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Base Management Fee shall be calculated at an annual rate of 2.00% of the Corporation’s gross assets. For services rendered during the period commencing from the closing of the Corporation’s offering of its common stock, pursuant to the Registration Statement, through and including the first six months of operations, the Base Management Fee will be payable monthly in arrears. For services rendered after such time, the Base Management Fee will be payable quarterly in arrears. For the first quarter of the Corporation’s operations, the Base Management Fee will be calculated based on the initial value of the Corporation’s gross assets. Subsequently, the Base Management Fee will be calculated based on the average value of the Corporation’s gross assets at the end of the two most recently completed calendar quarters, and appropriately adjusted for any share issuances or repurchases during the current calendar quarter. Base Management Fees for any partial month or quarter will be appropriately pro rated.</w:t>
      </w:r>
    </w:p>
    <w:p>
      <w:pPr>
        <w:spacing w:after="0" w:line="118" w:lineRule="exact"/>
        <w:rPr>
          <w:rFonts w:ascii="Arial" w:cs="Arial" w:eastAsia="Arial" w:hAnsi="Arial"/>
          <w:sz w:val="16"/>
          <w:szCs w:val="16"/>
          <w:color w:val="auto"/>
        </w:rPr>
      </w:pPr>
    </w:p>
    <w:p>
      <w:pPr>
        <w:ind w:left="700" w:hanging="256"/>
        <w:spacing w:after="0"/>
        <w:tabs>
          <w:tab w:leader="none" w:pos="7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Incentive Fee shall consist of two parts, as follows:</w:t>
      </w:r>
    </w:p>
    <w:p>
      <w:pPr>
        <w:spacing w:after="0" w:line="90" w:lineRule="exact"/>
        <w:rPr>
          <w:rFonts w:ascii="Arial" w:cs="Arial" w:eastAsia="Arial" w:hAnsi="Arial"/>
          <w:sz w:val="18"/>
          <w:szCs w:val="18"/>
          <w:color w:val="auto"/>
        </w:rPr>
      </w:pPr>
    </w:p>
    <w:p>
      <w:pPr>
        <w:ind w:left="880" w:hanging="446"/>
        <w:spacing w:after="0" w:line="286" w:lineRule="auto"/>
        <w:tabs>
          <w:tab w:leader="none" w:pos="8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One part will be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such as commitment, origination, structuring, diligence and consulting fees and fees for providing significant managerial assistance or other fees that the Corporation receives from portfolio companies) earned by the Corporation during the calendar quarter, minus the Corporation’s operating expenses for the quarter (including the Base Management Fee and any interest expense and dividends paid on any issued and outstanding preferred stock, but excluding the Incentive Fee). Pre-Incentive Fee net investment income does not include any realized capital gains or unrealized capital gains, losses or depreciation. Pre-Incentive Fee net investment income, expressed as a rate of return on the value of the Corporation’s net assets at the end of the immediately preceding calendar quarter, will be compared to a “hurdle rate” of 1.75% per quarter (7% annualized). The Corporation will pay the Adviser an Incentive Fee with respect to the Corporation’s pre-Incentive Fee net investment income in each calendar quarter as follows; (1) no Incentive Fee in any calendar quarter in which the Corporation’s pre-Incentive Fee net investment income does not exceed the hurdle rate; (2) 100% of the Corporation’s pre-Incentive Fee net investment income with respect to that portion of such pre-Incentive Fee net investment income, if any, that exceeds the hurdle rate but is less than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170" w:name="page171"/>
    <w:bookmarkEnd w:id="170"/>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2.1875% in any calendar quarter; and (3) 20% of the amount of the Corporation’s pre-Incentive Fee net investment income, if any, that exceeds</w:t>
      </w:r>
    </w:p>
    <w:p>
      <w:pPr>
        <w:spacing w:after="0" w:line="38" w:lineRule="exact"/>
        <w:rPr>
          <w:sz w:val="20"/>
          <w:szCs w:val="20"/>
          <w:color w:val="auto"/>
        </w:rPr>
      </w:pPr>
    </w:p>
    <w:p>
      <w:pPr>
        <w:ind w:left="880" w:right="340"/>
        <w:spacing w:after="0" w:line="261" w:lineRule="auto"/>
        <w:rPr>
          <w:sz w:val="20"/>
          <w:szCs w:val="20"/>
          <w:color w:val="auto"/>
        </w:rPr>
      </w:pPr>
      <w:r>
        <w:rPr>
          <w:rFonts w:ascii="Arial" w:cs="Arial" w:eastAsia="Arial" w:hAnsi="Arial"/>
          <w:sz w:val="18"/>
          <w:szCs w:val="18"/>
          <w:color w:val="auto"/>
        </w:rPr>
        <w:t>2.1875% in any calendar quarter. These calculations will be appropriately pro rated for any period of less than three months and adjusted for any share issuances or repurchases during the current quarter.</w:t>
      </w:r>
    </w:p>
    <w:p>
      <w:pPr>
        <w:spacing w:after="0" w:line="57" w:lineRule="exact"/>
        <w:rPr>
          <w:sz w:val="20"/>
          <w:szCs w:val="20"/>
          <w:color w:val="auto"/>
        </w:rPr>
      </w:pPr>
    </w:p>
    <w:p>
      <w:pPr>
        <w:ind w:left="860" w:right="40" w:hanging="446"/>
        <w:spacing w:after="0" w:line="290" w:lineRule="auto"/>
        <w:tabs>
          <w:tab w:leader="none" w:pos="8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second part of the Incentive Fee (the “Capital Gains Fee”) will be determined and payable in arrears as of the end of each calendar year (or upon termination of this Agreement as set forth below), commencing on December 31, 2007, and will equal 20.0% of the Corporation’s realized capital gains for the calendar year computed net of all unrealized capital losses and unrealized capital depreciation at the end of such year; provided that the Incentive Fee determined as of December 31, 2007 will be calculated for a period of shorter than twelve calendar months to take into account any realized capital gains computed net of all unrealized capital losses and unrealized capital depreciation from inception. In the event that this Agreement shall terminate as of a date that is not a calendar year end, the termination date shall be treated as though it were a calendar year end for purposes of calculating and paying a Capital Gains Fee.</w:t>
      </w:r>
    </w:p>
    <w:p>
      <w:pPr>
        <w:spacing w:after="0" w:line="118" w:lineRule="exact"/>
        <w:rPr>
          <w:sz w:val="20"/>
          <w:szCs w:val="20"/>
          <w:color w:val="auto"/>
        </w:rPr>
      </w:pPr>
    </w:p>
    <w:p>
      <w:pPr>
        <w:ind w:left="-40" w:right="520" w:firstLine="464"/>
        <w:spacing w:after="0" w:line="332" w:lineRule="auto"/>
        <w:tabs>
          <w:tab w:leader="none" w:pos="592"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Covenants of the Adviser.</w:t>
      </w:r>
      <w:r>
        <w:rPr>
          <w:rFonts w:ascii="Arial" w:cs="Arial" w:eastAsia="Arial" w:hAnsi="Arial"/>
          <w:sz w:val="16"/>
          <w:szCs w:val="16"/>
          <w:color w:val="auto"/>
        </w:rPr>
        <w:t xml:space="preserve"> The Adviser covenants that it is registered as an investment adviser under the Advisers Act. The Adviser agrees that its activities will at all times be in compliance in all material respects with all applicable federal and state laws governing its operations and investments.</w:t>
      </w:r>
    </w:p>
    <w:p>
      <w:pPr>
        <w:spacing w:after="0" w:line="85" w:lineRule="exact"/>
        <w:rPr>
          <w:rFonts w:ascii="Arial" w:cs="Arial" w:eastAsia="Arial" w:hAnsi="Arial"/>
          <w:sz w:val="16"/>
          <w:szCs w:val="16"/>
          <w:color w:val="auto"/>
        </w:rPr>
      </w:pPr>
    </w:p>
    <w:p>
      <w:pPr>
        <w:ind w:left="-40" w:right="60" w:firstLine="464"/>
        <w:spacing w:after="0" w:line="290" w:lineRule="auto"/>
        <w:tabs>
          <w:tab w:leader="none" w:pos="592"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Excess Brokerage Commissions.</w:t>
      </w:r>
      <w:r>
        <w:rPr>
          <w:rFonts w:ascii="Arial" w:cs="Arial" w:eastAsia="Arial" w:hAnsi="Arial"/>
          <w:sz w:val="16"/>
          <w:szCs w:val="16"/>
          <w:color w:val="auto"/>
        </w:rPr>
        <w:t xml:space="preserve"> The Adviser is hereby authorized, to the fullest extent now or hereafter permitted by law, to cause the Corporation to pay a member of a national securities exchange, broker or dealer an amount of commission for effecting a securities transaction in excess of the amount of commission another member of such exchange, broker or dealer would have charged for effecting that transaction, if the Adviser determines in good faith, taking into account such factors as price (including the applicable brokerage commission or dealer spread), size of order, difficulty of execution, and operational facilities of the firm and the firm’s risk and skill in positioning blocks of securities, that such amount of commission is reasonable in relation to the value of the brokerage and/or research services provided by such member, broker or dealer, viewed in terms of either that particular transaction or its overall responsibilities with respect to the Corporation’s portfolio, and constitutes the best net results for the Corporation.</w:t>
      </w:r>
    </w:p>
    <w:p>
      <w:pPr>
        <w:spacing w:after="0" w:line="118" w:lineRule="exact"/>
        <w:rPr>
          <w:rFonts w:ascii="Arial" w:cs="Arial" w:eastAsia="Arial" w:hAnsi="Arial"/>
          <w:sz w:val="16"/>
          <w:szCs w:val="16"/>
          <w:color w:val="auto"/>
        </w:rPr>
      </w:pPr>
    </w:p>
    <w:p>
      <w:pPr>
        <w:ind w:left="-40" w:firstLine="464"/>
        <w:spacing w:after="0" w:line="256" w:lineRule="auto"/>
        <w:tabs>
          <w:tab w:leader="none" w:pos="592"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Limitations on the Employment of the Adviser.</w:t>
      </w:r>
      <w:r>
        <w:rPr>
          <w:rFonts w:ascii="Arial" w:cs="Arial" w:eastAsia="Arial" w:hAnsi="Arial"/>
          <w:sz w:val="18"/>
          <w:szCs w:val="18"/>
          <w:color w:val="auto"/>
        </w:rPr>
        <w:t xml:space="preserve"> The services of the Adviser to the Corporation are not exclusive, and the Adviser may engage in any other business or render similar or different services to others including, without limitation, the direct or indirect sponsorship or management of other investment based accounts or commingled pools of capital, however structured, having investment objectives similar to those of the Corporation, so long as its services to the Corporation hereunder are not impaired thereby, and nothing in this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280" w:right="259" w:bottom="1440" w:gutter="0" w:footer="0" w:header="0"/>
        </w:sectPr>
      </w:pPr>
    </w:p>
    <w:bookmarkStart w:id="171" w:name="page172"/>
    <w:bookmarkEnd w:id="171"/>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limit or restrict the right of any manager, partner, officer or employee of the Adviser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Corporation’s portfolio companies, subject to applicable law). So long as this Agreement or any extension, renewal or amendment remains in effect, the Adviser shall be the only investment adviser for the Corporation, subject to the Adviser’s right to enter into sub-advisory agreements. The Adviser assumes no responsibility under this Agreement other than to render the services called for hereunder. It is understood that directors, officers, employees and stockholders of the Corporation are or may become interested in the Adviser and its affiliates, as directors, officers, employees, partners, stockholders, members, managers or otherwise, and that the Adviser and directors, officers, employees, partners, stockholders, members and managers of the Adviser and its affiliates are or may become similarly interested in the Corporation as stockholders or otherwise.</w:t>
      </w:r>
    </w:p>
    <w:p>
      <w:pPr>
        <w:spacing w:after="0" w:line="118" w:lineRule="exact"/>
        <w:rPr>
          <w:sz w:val="20"/>
          <w:szCs w:val="20"/>
          <w:color w:val="auto"/>
        </w:rPr>
      </w:pPr>
    </w:p>
    <w:p>
      <w:pPr>
        <w:ind w:right="40" w:firstLine="464"/>
        <w:spacing w:after="0" w:line="255" w:lineRule="auto"/>
        <w:tabs>
          <w:tab w:leader="none" w:pos="632"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Responsibility of Dual Directors, Officers and/or Employees.</w:t>
      </w:r>
      <w:r>
        <w:rPr>
          <w:rFonts w:ascii="Arial" w:cs="Arial" w:eastAsia="Arial" w:hAnsi="Arial"/>
          <w:sz w:val="18"/>
          <w:szCs w:val="18"/>
          <w:color w:val="auto"/>
        </w:rPr>
        <w:t xml:space="preserve"> If any person who is a manager, partner, officer or employee of the Adviser or the Administrator is or becomes a director, officer and/or employee of the Corporation and acts as such in any business of the Corporation, then such manager, partner, officer and/or employee of the Adviser or the Administrator shall be deemed to be acting in such capacity solely for the Corporation, and not as a manager, partner, officer or employee of the Adviser or the Administrator or under the control or direction of the Adviser or the Administrator, even if paid by the Adviser or the Administrator.</w:t>
      </w:r>
    </w:p>
    <w:p>
      <w:pPr>
        <w:spacing w:after="0" w:line="142" w:lineRule="exact"/>
        <w:rPr>
          <w:rFonts w:ascii="Arial" w:cs="Arial" w:eastAsia="Arial" w:hAnsi="Arial"/>
          <w:sz w:val="18"/>
          <w:szCs w:val="18"/>
          <w:color w:val="auto"/>
        </w:rPr>
      </w:pPr>
    </w:p>
    <w:p>
      <w:pPr>
        <w:ind w:firstLine="464"/>
        <w:spacing w:after="0" w:line="286" w:lineRule="auto"/>
        <w:tabs>
          <w:tab w:leader="none" w:pos="632"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Limitation of Liability of the Adviser; Indemnification.</w:t>
      </w:r>
      <w:r>
        <w:rPr>
          <w:rFonts w:ascii="Arial" w:cs="Arial" w:eastAsia="Arial" w:hAnsi="Arial"/>
          <w:sz w:val="16"/>
          <w:szCs w:val="16"/>
          <w:color w:val="auto"/>
        </w:rPr>
        <w:t xml:space="preserve"> The Adviser (and its officers, managers, partners, agents, employees, controlling persons, members and any other person or entity affiliated with the Adviser, including without limitation its general partner and the Administrator) shall not be liable to the Corporation for any action taken or omitted to be taken by the Adviser in connection with the performance of any of its duties or obligations under this Agreement or otherwise as an investment adviser of the Corporation, except to the extent specified in Section 36(b) of the Investment Company Act concerning loss resulting from a breach of fiduciary duty (as the same is finally determined by judicial proceedings) with respect to the receipt of compensation for services, and the Corporation shall indemnify, defend and protect the Adviser (and its officers, managers, partners, agents, employees, controlling persons, members and any other person or entity affiliated with the Adviser, including without limitation its general partner and the Administrator, each of whom shall be deemed a third party beneficiary hereof) (collectively, 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Corporation or its security holders) arising out of or otherwise based upon the performance of any of the Adviser’s duties or obligations under this Agreement or otherwise as an investment adviser of the Corporation. Notwithstanding the preceding sentence of this Paragraph 8 to the contrary, nothing contained herein shall protect or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72" w:name="page173"/>
    <w:bookmarkEnd w:id="172"/>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deemed to protect the Indemnified Parties against or entitle or be deemed to entitle the Indemnified Parties to indemnification in respect of, any liability to the Corporation or its security holders to which the Indemnified Parties would otherwise be subject by reason of willful misfeasance, bad faith or gross negligence in the performance of the Adviser’s duties or by reason of the reckless disregard of the Adviser’s duties and obligations under this Agreement (as the same shall be determined in accordance with the Investment Company Act and any interpretations or guidance by the Securities and Exchange Commission or its staff thereunder).</w:t>
      </w:r>
    </w:p>
    <w:p>
      <w:pPr>
        <w:spacing w:after="0" w:line="143" w:lineRule="exact"/>
        <w:rPr>
          <w:sz w:val="20"/>
          <w:szCs w:val="20"/>
          <w:color w:val="auto"/>
        </w:rPr>
      </w:pPr>
    </w:p>
    <w:p>
      <w:pPr>
        <w:jc w:val="both"/>
        <w:ind w:right="140" w:firstLine="464"/>
        <w:spacing w:after="0" w:line="303" w:lineRule="auto"/>
        <w:tabs>
          <w:tab w:leader="none" w:pos="632" w:val="left"/>
        </w:tabs>
        <w:numPr>
          <w:ilvl w:val="1"/>
          <w:numId w:val="120"/>
        </w:numPr>
        <w:rPr>
          <w:rFonts w:ascii="Arial" w:cs="Arial" w:eastAsia="Arial" w:hAnsi="Arial"/>
          <w:sz w:val="15"/>
          <w:szCs w:val="15"/>
          <w:color w:val="auto"/>
        </w:rPr>
      </w:pPr>
      <w:r>
        <w:rPr>
          <w:rFonts w:ascii="Arial" w:cs="Arial" w:eastAsia="Arial" w:hAnsi="Arial"/>
          <w:sz w:val="15"/>
          <w:szCs w:val="15"/>
          <w:u w:val="single" w:color="auto"/>
          <w:color w:val="auto"/>
        </w:rPr>
        <w:t>Effectiveness, Duration and Termination of Agreement.</w:t>
      </w:r>
      <w:r>
        <w:rPr>
          <w:rFonts w:ascii="Arial" w:cs="Arial" w:eastAsia="Arial" w:hAnsi="Arial"/>
          <w:sz w:val="15"/>
          <w:szCs w:val="15"/>
          <w:color w:val="auto"/>
        </w:rPr>
        <w:t xml:space="preserve"> This Agreement shall become effective as of the first date above written. This Agreement shall remain in effect for two years, and thereafter shall continue automatically for successive annual periods, provided that such continuance is specifically approved at least annually by (a) the vote of the Corporation’s Board of Directors, or by the vote of a majority of the outstanding voting securities of the Corporation and</w:t>
      </w:r>
    </w:p>
    <w:p>
      <w:pPr>
        <w:spacing w:after="0" w:line="1" w:lineRule="exact"/>
        <w:rPr>
          <w:rFonts w:ascii="Arial" w:cs="Arial" w:eastAsia="Arial" w:hAnsi="Arial"/>
          <w:sz w:val="15"/>
          <w:szCs w:val="15"/>
          <w:color w:val="auto"/>
        </w:rPr>
      </w:pPr>
    </w:p>
    <w:p>
      <w:pPr>
        <w:ind w:firstLine="8"/>
        <w:spacing w:after="0" w:line="287" w:lineRule="auto"/>
        <w:tabs>
          <w:tab w:leader="none" w:pos="249"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vote of a majority of the Corporation’s Directors who are not parties to this Agreement or “interested persons” (as such term is defined in Section 2(a)(19) of the Investment Company Act) of any such party, in accordance with the requirements of the Investment Company Act. This Agreement may be terminated at any time, without the payment of any penalty, upon 60 days’ written notice, by the vote of a majority of the outstanding voting securities of the Corporation, or by the vote of the Corporation’s Directors or by the Adviser. This Agreement will automatically terminate in the event of its “assignment” (as such term is defined for purposes of Section 15(a)(4) of the Investment Company Act). The provisions of Paragraph 8 of this Agreement shall remain in full force and effect, and the Adviser shall remain entitled to the benefits thereof, notwithstanding any termination of this Agreement. Further, notwithstanding the termination or expiration of this Agreement as aforesaid, the Adviser shall be entitled to any amounts owed under Section 3 through the date of termination or expiration and Section 8 shall continue in force and effect and apply to the Adviser and its representatives as and to the extent applicable.</w:t>
      </w:r>
    </w:p>
    <w:p>
      <w:pPr>
        <w:spacing w:after="0" w:line="124" w:lineRule="exact"/>
        <w:rPr>
          <w:rFonts w:ascii="Arial" w:cs="Arial" w:eastAsia="Arial" w:hAnsi="Arial"/>
          <w:sz w:val="16"/>
          <w:szCs w:val="16"/>
          <w:color w:val="auto"/>
        </w:rPr>
      </w:pPr>
    </w:p>
    <w:p>
      <w:pPr>
        <w:ind w:right="600" w:firstLine="464"/>
        <w:spacing w:after="0" w:line="268" w:lineRule="auto"/>
        <w:tabs>
          <w:tab w:leader="none" w:pos="720"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under this Agreement shall be given in writing, addressed and delivered or mailed, postage prepaid, to the other party at its principal office.</w:t>
      </w:r>
    </w:p>
    <w:p>
      <w:pPr>
        <w:spacing w:after="0" w:line="131" w:lineRule="exact"/>
        <w:rPr>
          <w:rFonts w:ascii="Arial" w:cs="Arial" w:eastAsia="Arial" w:hAnsi="Arial"/>
          <w:sz w:val="18"/>
          <w:szCs w:val="18"/>
          <w:color w:val="auto"/>
        </w:rPr>
      </w:pPr>
    </w:p>
    <w:p>
      <w:pPr>
        <w:ind w:right="600" w:firstLine="464"/>
        <w:spacing w:after="0" w:line="332" w:lineRule="auto"/>
        <w:tabs>
          <w:tab w:leader="none" w:pos="713" w:val="left"/>
        </w:tabs>
        <w:numPr>
          <w:ilvl w:val="1"/>
          <w:numId w:val="121"/>
        </w:numPr>
        <w:rPr>
          <w:rFonts w:ascii="Arial" w:cs="Arial" w:eastAsia="Arial" w:hAnsi="Arial"/>
          <w:sz w:val="16"/>
          <w:szCs w:val="16"/>
          <w:color w:val="auto"/>
        </w:rPr>
      </w:pP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This Agreement may be amended by mutual consent, but the consent of the Corporation must be obtained in conformity with the requirements of the Investment Company Act.</w:t>
      </w:r>
    </w:p>
    <w:p>
      <w:pPr>
        <w:spacing w:after="0" w:line="85" w:lineRule="exact"/>
        <w:rPr>
          <w:rFonts w:ascii="Arial" w:cs="Arial" w:eastAsia="Arial" w:hAnsi="Arial"/>
          <w:sz w:val="16"/>
          <w:szCs w:val="16"/>
          <w:color w:val="auto"/>
        </w:rPr>
      </w:pPr>
    </w:p>
    <w:p>
      <w:pPr>
        <w:ind w:right="200" w:firstLine="464"/>
        <w:spacing w:after="0" w:line="256" w:lineRule="auto"/>
        <w:tabs>
          <w:tab w:leader="none" w:pos="720"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xml:space="preserve"> This Agreement contains the entire agreement of the parties and supersedes all prior agreements, understandings and arrangements with respect to the subject matter hereof. This Agreement shall be construed in accordance with the laws of the State of New York and the applicable provisions of the Investment Company Act. To the extent the applicable laws of the State of New York, or any of the provisions herein, conflict with the provisions of the Investment Company Act, the latter shall control.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remainder of this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73" w:name="page174"/>
    <w:bookmarkEnd w:id="17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Agreement to be duly executed on the date above written.</w:t>
      </w:r>
    </w:p>
    <w:p>
      <w:pPr>
        <w:spacing w:after="0" w:line="229"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PENNANTPARK INVESTMENT CORPORATION</w:t>
      </w:r>
    </w:p>
    <w:p>
      <w:pPr>
        <w:spacing w:after="0" w:line="254" w:lineRule="exact"/>
        <w:rPr>
          <w:sz w:val="20"/>
          <w:szCs w:val="20"/>
          <w:color w:val="auto"/>
        </w:rPr>
      </w:pPr>
    </w:p>
    <w:p>
      <w:pPr>
        <w:ind w:left="5260"/>
        <w:spacing w:after="0"/>
        <w:tabs>
          <w:tab w:leader="none" w:pos="5700" w:val="left"/>
        </w:tabs>
        <w:rPr>
          <w:sz w:val="20"/>
          <w:szCs w:val="20"/>
          <w:color w:val="auto"/>
        </w:rPr>
      </w:pPr>
      <w:r>
        <w:rPr>
          <w:rFonts w:ascii="Arial" w:cs="Arial" w:eastAsia="Arial" w:hAnsi="Arial"/>
          <w:sz w:val="18"/>
          <w:szCs w:val="18"/>
          <w:color w:val="auto"/>
        </w:rPr>
        <w:t>By:</w:t>
        <w:tab/>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10795</wp:posOffset>
            </wp:positionV>
            <wp:extent cx="33616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Arthur Penn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PENNANTPARK INVESTMENT ADVISERS, LLC</w:t>
      </w:r>
    </w:p>
    <w:p>
      <w:pPr>
        <w:spacing w:after="0" w:line="254" w:lineRule="exact"/>
        <w:rPr>
          <w:sz w:val="20"/>
          <w:szCs w:val="20"/>
          <w:color w:val="auto"/>
        </w:rPr>
      </w:pPr>
    </w:p>
    <w:p>
      <w:pPr>
        <w:ind w:left="5260"/>
        <w:spacing w:after="0"/>
        <w:tabs>
          <w:tab w:leader="none" w:pos="5700" w:val="left"/>
        </w:tabs>
        <w:rPr>
          <w:sz w:val="20"/>
          <w:szCs w:val="20"/>
          <w:color w:val="auto"/>
        </w:rPr>
      </w:pPr>
      <w:r>
        <w:rPr>
          <w:rFonts w:ascii="Arial" w:cs="Arial" w:eastAsia="Arial" w:hAnsi="Arial"/>
          <w:sz w:val="18"/>
          <w:szCs w:val="18"/>
          <w:color w:val="auto"/>
        </w:rPr>
        <w:t>By:</w:t>
        <w:tab/>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10795</wp:posOffset>
            </wp:positionV>
            <wp:extent cx="33616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Arthur Penn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759"/>
          </w:cols>
          <w:pgMar w:left="700" w:top="280" w:right="1440"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(j)(1)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CUSTODIAN SERVICES AGREEMENT</w:t>
      </w:r>
    </w:p>
    <w:p>
      <w:pPr>
        <w:spacing w:after="0" w:line="17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THIS AGREEMENT is made as of April 12, 2007 by and between PFPC TRUST COMPANY, a limited purpose trust company incorporated under the laws of Delaware (“PFPC Trust”) and PENNANTPARK INVESTMENT CORPORATION, a Maryland corporation (the “Fund”).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WHEREAS, the Company is a closed-end company that intends to file an election to be treated as a business development company under the Investment Company Act of 1940, as amended (the “1940 Act”); and</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WHEREAS, the Fund wishes to retain PFPC Trust to provide custodian services, and PFPC Trust wishes to furnish custodian services, either directly or through an affiliate or affiliates, as more fully described herein.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NOW, THEREFORE, in consideration of the premises and mutual covenants herein contained, and intending to be legally bound hereby, the parties hereto agree as follows:</w:t>
      </w:r>
    </w:p>
    <w:p>
      <w:pPr>
        <w:spacing w:after="0" w:line="166"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Agreement:</w:t>
      </w:r>
    </w:p>
    <w:p>
      <w:pPr>
        <w:spacing w:after="0" w:line="96" w:lineRule="exact"/>
        <w:rPr>
          <w:rFonts w:ascii="Arial" w:cs="Arial" w:eastAsia="Arial" w:hAnsi="Arial"/>
          <w:sz w:val="18"/>
          <w:szCs w:val="18"/>
          <w:b w:val="1"/>
          <w:bCs w:val="1"/>
          <w:color w:val="auto"/>
        </w:rPr>
      </w:pPr>
    </w:p>
    <w:p>
      <w:pPr>
        <w:ind w:left="900" w:hanging="446"/>
        <w:spacing w:after="0"/>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“1933 Act”</w:t>
      </w:r>
      <w:r>
        <w:rPr>
          <w:rFonts w:ascii="Arial" w:cs="Arial" w:eastAsia="Arial" w:hAnsi="Arial"/>
          <w:sz w:val="18"/>
          <w:szCs w:val="18"/>
          <w:color w:val="auto"/>
        </w:rPr>
        <w:t xml:space="preserve"> means the Securities Act of 1933, as amended.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“1934 Act”</w:t>
      </w:r>
      <w:r>
        <w:rPr>
          <w:rFonts w:ascii="Arial" w:cs="Arial" w:eastAsia="Arial" w:hAnsi="Arial"/>
          <w:sz w:val="18"/>
          <w:szCs w:val="18"/>
          <w:color w:val="auto"/>
        </w:rPr>
        <w:t xml:space="preserve"> means the Securities Exchange Act of 1934, as amended.</w:t>
      </w:r>
    </w:p>
    <w:p>
      <w:pPr>
        <w:spacing w:after="0" w:line="90" w:lineRule="exact"/>
        <w:rPr>
          <w:rFonts w:ascii="Arial" w:cs="Arial" w:eastAsia="Arial" w:hAnsi="Arial"/>
          <w:sz w:val="18"/>
          <w:szCs w:val="18"/>
          <w:color w:val="auto"/>
        </w:rPr>
      </w:pPr>
    </w:p>
    <w:p>
      <w:pPr>
        <w:jc w:val="both"/>
        <w:ind w:left="900" w:right="60" w:hanging="446"/>
        <w:spacing w:after="0" w:line="332" w:lineRule="auto"/>
        <w:tabs>
          <w:tab w:leader="none" w:pos="900" w:val="left"/>
        </w:tabs>
        <w:numPr>
          <w:ilvl w:val="1"/>
          <w:numId w:val="122"/>
        </w:numPr>
        <w:rPr>
          <w:rFonts w:ascii="Arial" w:cs="Arial" w:eastAsia="Arial" w:hAnsi="Arial"/>
          <w:sz w:val="16"/>
          <w:szCs w:val="16"/>
          <w:color w:val="auto"/>
        </w:rPr>
      </w:pPr>
      <w:r>
        <w:rPr>
          <w:rFonts w:ascii="Arial" w:cs="Arial" w:eastAsia="Arial" w:hAnsi="Arial"/>
          <w:sz w:val="16"/>
          <w:szCs w:val="16"/>
          <w:u w:val="single" w:color="auto"/>
          <w:color w:val="auto"/>
        </w:rPr>
        <w:t>“Authorized Person”</w:t>
      </w:r>
      <w:r>
        <w:rPr>
          <w:rFonts w:ascii="Arial" w:cs="Arial" w:eastAsia="Arial" w:hAnsi="Arial"/>
          <w:sz w:val="16"/>
          <w:szCs w:val="16"/>
          <w:color w:val="auto"/>
        </w:rPr>
        <w:t xml:space="preserve"> means any officer of the Fund and any other person authorized by the Fund to give Oral or Written Instructions on behalf of the Fund. An Authorized Person’s scope of authority may be limited by setting forth such limitation in a written document signed by both parties hereto.</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75" w:name="page176"/>
    <w:bookmarkEnd w:id="175"/>
    <w:p>
      <w:pPr>
        <w:ind w:left="446" w:right="380" w:hanging="446"/>
        <w:spacing w:after="0" w:line="332" w:lineRule="auto"/>
        <w:tabs>
          <w:tab w:leader="none" w:pos="446"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“Book-Entry System”</w:t>
      </w:r>
      <w:r>
        <w:rPr>
          <w:rFonts w:ascii="Arial" w:cs="Arial" w:eastAsia="Arial" w:hAnsi="Arial"/>
          <w:sz w:val="16"/>
          <w:szCs w:val="16"/>
          <w:color w:val="auto"/>
        </w:rPr>
        <w:t xml:space="preserve"> means the Federal Reserve Treasury book-entry system for United States and federal agency securities, its successor or successors, and its nominee or nominees and any book-entry system registered with the SEC under the 1934 Act.</w:t>
      </w:r>
    </w:p>
    <w:p>
      <w:pPr>
        <w:spacing w:after="0" w:line="4" w:lineRule="exact"/>
        <w:rPr>
          <w:rFonts w:ascii="Arial" w:cs="Arial" w:eastAsia="Arial" w:hAnsi="Arial"/>
          <w:sz w:val="16"/>
          <w:szCs w:val="16"/>
          <w:color w:val="auto"/>
        </w:rPr>
      </w:pPr>
    </w:p>
    <w:p>
      <w:pPr>
        <w:ind w:left="446" w:right="40" w:hanging="446"/>
        <w:spacing w:after="0" w:line="259" w:lineRule="auto"/>
        <w:tabs>
          <w:tab w:leader="none" w:pos="446"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means a change in ownership or control (not including transactions between wholly-owned direct or indirect subsidiaries of a common parent) of 25% or more of the beneficial ownership of the shares of common stock or shares of beneficial interest of an entity or its parent(s).</w:t>
      </w:r>
    </w:p>
    <w:p>
      <w:pPr>
        <w:spacing w:after="0" w:line="59" w:lineRule="exact"/>
        <w:rPr>
          <w:rFonts w:ascii="Arial" w:cs="Arial" w:eastAsia="Arial" w:hAnsi="Arial"/>
          <w:sz w:val="18"/>
          <w:szCs w:val="18"/>
          <w:color w:val="auto"/>
        </w:rPr>
      </w:pPr>
    </w:p>
    <w:p>
      <w:pPr>
        <w:jc w:val="both"/>
        <w:ind w:left="446" w:hanging="446"/>
        <w:spacing w:after="0" w:line="259" w:lineRule="auto"/>
        <w:tabs>
          <w:tab w:leader="none" w:pos="446"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“Oral Instructions”</w:t>
      </w:r>
      <w:r>
        <w:rPr>
          <w:rFonts w:ascii="Arial" w:cs="Arial" w:eastAsia="Arial" w:hAnsi="Arial"/>
          <w:sz w:val="18"/>
          <w:szCs w:val="18"/>
          <w:color w:val="auto"/>
        </w:rPr>
        <w:t xml:space="preserve"> mean oral instructions received by PFPC Trust from an Authorized Person or from a person reasonably believed by PFPC Trust to be an Authorized Person. PFPC Trust may, in its sole discretion in each separate instance, consider and rely upon instructions it receives from an Authorized Person via electronic mail as Oral Instructions.</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“PFPC Trust”</w:t>
      </w:r>
      <w:r>
        <w:rPr>
          <w:rFonts w:ascii="Arial" w:cs="Arial" w:eastAsia="Arial" w:hAnsi="Arial"/>
          <w:sz w:val="18"/>
          <w:szCs w:val="18"/>
          <w:color w:val="auto"/>
        </w:rPr>
        <w:t xml:space="preserve"> means PFPC Trust Company or a subsidiary or affiliate of PFPC Trust Company.</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“SEC”</w:t>
      </w:r>
      <w:r>
        <w:rPr>
          <w:rFonts w:ascii="Arial" w:cs="Arial" w:eastAsia="Arial" w:hAnsi="Arial"/>
          <w:sz w:val="18"/>
          <w:szCs w:val="18"/>
          <w:color w:val="auto"/>
        </w:rPr>
        <w:t xml:space="preserve"> means the Securities and Exchange Commission.</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xml:space="preserve"> mean the 1933 Act, the 1934 Act and the 1940 Act.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xml:space="preserve"> mean the shares of beneficial interest of any series or class of the Fund.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“Property”</w:t>
      </w:r>
      <w:r>
        <w:rPr>
          <w:rFonts w:ascii="Arial" w:cs="Arial" w:eastAsia="Arial" w:hAnsi="Arial"/>
          <w:sz w:val="18"/>
          <w:szCs w:val="18"/>
          <w:color w:val="auto"/>
        </w:rPr>
        <w:t xml:space="preserve"> means:</w:t>
      </w:r>
    </w:p>
    <w:p>
      <w:pPr>
        <w:spacing w:after="0" w:line="90" w:lineRule="exact"/>
        <w:rPr>
          <w:rFonts w:ascii="Arial" w:cs="Arial" w:eastAsia="Arial" w:hAnsi="Arial"/>
          <w:sz w:val="18"/>
          <w:szCs w:val="18"/>
          <w:color w:val="auto"/>
        </w:rPr>
      </w:pPr>
    </w:p>
    <w:p>
      <w:pPr>
        <w:ind w:left="1026" w:hanging="567"/>
        <w:spacing w:after="0" w:line="268" w:lineRule="auto"/>
        <w:tabs>
          <w:tab w:leader="none" w:pos="102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and all securities and other investment items which the Fund may from time to time deposit, or cause to be deposited, with PFPC Trust or which PFPC Trust may from time to time hold for the Fund;</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all income in respect of any of such securities or other investment items;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all proceeds of the sale of any of such securities or investment items; and</w:t>
      </w:r>
    </w:p>
    <w:p>
      <w:pPr>
        <w:spacing w:after="0" w:line="158" w:lineRule="exact"/>
        <w:rPr>
          <w:sz w:val="20"/>
          <w:szCs w:val="20"/>
          <w:color w:val="auto"/>
        </w:rPr>
      </w:pPr>
    </w:p>
    <w:p>
      <w:pPr>
        <w:jc w:val="center"/>
        <w:ind w:right="25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86"/>
          </w:cols>
          <w:pgMar w:left="694" w:top="280" w:right="419" w:bottom="1440" w:gutter="0" w:footer="0" w:header="0"/>
        </w:sectPr>
      </w:pPr>
    </w:p>
    <w:bookmarkStart w:id="176" w:name="page177"/>
    <w:bookmarkEnd w:id="176"/>
    <w:p>
      <w:pPr>
        <w:ind w:left="1472" w:hanging="567"/>
        <w:spacing w:after="0"/>
        <w:tabs>
          <w:tab w:leader="none" w:pos="1472" w:val="left"/>
        </w:tabs>
        <w:numPr>
          <w:ilvl w:val="2"/>
          <w:numId w:val="12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proceeds of the sale of securities issued by the Fund, which are received by PFPC Trust from time to time, from or on behalf of the Fund.</w:t>
      </w:r>
    </w:p>
    <w:p>
      <w:pPr>
        <w:spacing w:after="0" w:line="124" w:lineRule="exact"/>
        <w:rPr>
          <w:rFonts w:ascii="Arial" w:cs="Arial" w:eastAsia="Arial" w:hAnsi="Arial"/>
          <w:sz w:val="15"/>
          <w:szCs w:val="15"/>
          <w:color w:val="auto"/>
        </w:rPr>
      </w:pPr>
    </w:p>
    <w:p>
      <w:pPr>
        <w:ind w:left="892" w:right="40" w:hanging="446"/>
        <w:spacing w:after="0" w:line="256" w:lineRule="auto"/>
        <w:tabs>
          <w:tab w:leader="none" w:pos="892"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“Written Instructions”</w:t>
      </w:r>
      <w:r>
        <w:rPr>
          <w:rFonts w:ascii="Arial" w:cs="Arial" w:eastAsia="Arial" w:hAnsi="Arial"/>
          <w:sz w:val="18"/>
          <w:szCs w:val="18"/>
          <w:color w:val="auto"/>
        </w:rPr>
        <w:t xml:space="preserve"> mean (i) written instructions signed by two Authorized Persons (or persons reasonably believed by PFPC Trust to be Authorized Persons) and received by PFPC Trust or (ii) trade instructions transmitted by means of an electronic transaction reporting system which requires the use of a password or other authorized identifier in order to gain access. The instructions may be delivered electronically (with respect to sub-item (ii) above) or by hand, mail or facsimile sending device.</w:t>
      </w:r>
    </w:p>
    <w:p>
      <w:pPr>
        <w:spacing w:after="0" w:line="177" w:lineRule="exact"/>
        <w:rPr>
          <w:rFonts w:ascii="Arial" w:cs="Arial" w:eastAsia="Arial" w:hAnsi="Arial"/>
          <w:sz w:val="18"/>
          <w:szCs w:val="18"/>
          <w:color w:val="auto"/>
        </w:rPr>
      </w:pPr>
    </w:p>
    <w:p>
      <w:pPr>
        <w:jc w:val="both"/>
        <w:ind w:left="452" w:right="760" w:hanging="452"/>
        <w:spacing w:after="0" w:line="310" w:lineRule="auto"/>
        <w:tabs>
          <w:tab w:leader="none" w:pos="452"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Appointment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Fund hereby appoints PFPC Trust to provide custodian services to the Fund as set forth herein and PFPC Trust accepts such</w:t>
      </w:r>
      <w:r>
        <w:rPr>
          <w:rFonts w:ascii="Arial" w:cs="Arial" w:eastAsia="Arial" w:hAnsi="Arial"/>
          <w:sz w:val="16"/>
          <w:szCs w:val="16"/>
          <w:b w:val="1"/>
          <w:bCs w:val="1"/>
          <w:color w:val="auto"/>
        </w:rPr>
        <w:t xml:space="preserve"> </w:t>
      </w:r>
      <w:r>
        <w:rPr>
          <w:rFonts w:ascii="Arial" w:cs="Arial" w:eastAsia="Arial" w:hAnsi="Arial"/>
          <w:sz w:val="16"/>
          <w:szCs w:val="16"/>
          <w:color w:val="auto"/>
        </w:rPr>
        <w:t>appointment and agrees to furnish such services. PFPC Trust shall be under no duty to take any action hereunder on behalf of the Fund except as specifically set forth herein or as may be specifically agreed to by PFPC Trust and the Fund in a written amendment hereto.</w:t>
      </w:r>
    </w:p>
    <w:p>
      <w:pPr>
        <w:spacing w:after="0" w:line="137" w:lineRule="exact"/>
        <w:rPr>
          <w:rFonts w:ascii="Arial" w:cs="Arial" w:eastAsia="Arial" w:hAnsi="Arial"/>
          <w:sz w:val="16"/>
          <w:szCs w:val="16"/>
          <w:b w:val="1"/>
          <w:bCs w:val="1"/>
          <w:color w:val="auto"/>
        </w:rPr>
      </w:pPr>
    </w:p>
    <w:p>
      <w:pPr>
        <w:ind w:left="452" w:hanging="452"/>
        <w:spacing w:after="0"/>
        <w:tabs>
          <w:tab w:leader="none" w:pos="452"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Instructions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892" w:hanging="446"/>
        <w:spacing w:after="0"/>
        <w:tabs>
          <w:tab w:leader="none" w:pos="89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Unless otherwise provided in this Agreement, PFPC Trust shall act only upon Oral Instructions or Written Instructions.</w:t>
      </w:r>
    </w:p>
    <w:p>
      <w:pPr>
        <w:spacing w:after="0" w:line="90" w:lineRule="exact"/>
        <w:rPr>
          <w:rFonts w:ascii="Arial" w:cs="Arial" w:eastAsia="Arial" w:hAnsi="Arial"/>
          <w:sz w:val="18"/>
          <w:szCs w:val="18"/>
          <w:color w:val="auto"/>
        </w:rPr>
      </w:pPr>
    </w:p>
    <w:p>
      <w:pPr>
        <w:ind w:left="892" w:hanging="446"/>
        <w:spacing w:after="0" w:line="256" w:lineRule="auto"/>
        <w:tabs>
          <w:tab w:leader="none" w:pos="89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PFPC Trust shall be entitled to rely upon any Oral Instruction or Written Instruction it receives pursuant to this Agreement. PFPC Trust may assume that any Oral Instructions or Written Instructions received hereunder are not in any way inconsistent with the provisions of organizational documents of the Fund or of any vote, resolution or proceeding of the Fund’s Board of Directors or of the Fund’s shareholders, unless and until PFPC Trust receives Written Instructions to the contrary.</w:t>
      </w:r>
    </w:p>
    <w:p>
      <w:pPr>
        <w:spacing w:after="0" w:line="13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52"/>
          </w:cols>
          <w:pgMar w:left="248" w:top="280" w:right="299" w:bottom="1440" w:gutter="0" w:footer="0" w:header="0"/>
        </w:sectPr>
      </w:pPr>
    </w:p>
    <w:bookmarkStart w:id="177" w:name="page178"/>
    <w:bookmarkEnd w:id="177"/>
    <w:p>
      <w:pPr>
        <w:ind w:left="892" w:hanging="446"/>
        <w:spacing w:after="0" w:line="255" w:lineRule="auto"/>
        <w:tabs>
          <w:tab w:leader="none" w:pos="892" w:val="left"/>
        </w:tabs>
        <w:numPr>
          <w:ilvl w:val="1"/>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Fund agrees to forward to PFPC Trust Written Instructions confirming Oral Instructions (except where such Oral Instructions are given by PFPC Trust or its affiliates) so that PFPC Trust receives the Written Instructions by the close of business on the same day that such Oral Instructions are received. The fact that such confirming Written Instructions are not received by PFPC Trust or differ from the Oral Instructions shall in no way invalidate the transactions or enforceability of the transactions authorized by the Oral Instructions or PFPC Trust’s ability to rely upon such Oral Instructions.</w:t>
      </w:r>
    </w:p>
    <w:p>
      <w:pPr>
        <w:spacing w:after="0" w:line="177" w:lineRule="exact"/>
        <w:rPr>
          <w:rFonts w:ascii="Arial" w:cs="Arial" w:eastAsia="Arial" w:hAnsi="Arial"/>
          <w:sz w:val="18"/>
          <w:szCs w:val="18"/>
          <w:color w:val="auto"/>
        </w:rPr>
      </w:pPr>
    </w:p>
    <w:p>
      <w:pPr>
        <w:ind w:left="452" w:hanging="452"/>
        <w:spacing w:after="0"/>
        <w:tabs>
          <w:tab w:leader="none" w:pos="452"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 to Receive Advice</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892" w:right="180" w:hanging="446"/>
        <w:spacing w:after="0" w:line="268" w:lineRule="auto"/>
        <w:tabs>
          <w:tab w:leader="none" w:pos="892"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Advice of the Fund</w:t>
      </w:r>
      <w:r>
        <w:rPr>
          <w:rFonts w:ascii="Arial" w:cs="Arial" w:eastAsia="Arial" w:hAnsi="Arial"/>
          <w:sz w:val="18"/>
          <w:szCs w:val="18"/>
          <w:color w:val="auto"/>
        </w:rPr>
        <w:t>. If PFPC Trust is in doubt as to any action it should or should not take, PFPC Trust may request directions or advice, including Oral Instructions or Written Instructions, from the Fund.</w:t>
      </w:r>
    </w:p>
    <w:p>
      <w:pPr>
        <w:spacing w:after="0" w:line="50" w:lineRule="exact"/>
        <w:rPr>
          <w:rFonts w:ascii="Arial" w:cs="Arial" w:eastAsia="Arial" w:hAnsi="Arial"/>
          <w:sz w:val="18"/>
          <w:szCs w:val="18"/>
          <w:color w:val="auto"/>
        </w:rPr>
      </w:pPr>
    </w:p>
    <w:p>
      <w:pPr>
        <w:jc w:val="both"/>
        <w:ind w:left="892" w:right="180" w:hanging="446"/>
        <w:spacing w:after="0" w:line="259" w:lineRule="auto"/>
        <w:tabs>
          <w:tab w:leader="none" w:pos="892"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Advice of Counsel</w:t>
      </w:r>
      <w:r>
        <w:rPr>
          <w:rFonts w:ascii="Arial" w:cs="Arial" w:eastAsia="Arial" w:hAnsi="Arial"/>
          <w:sz w:val="18"/>
          <w:szCs w:val="18"/>
          <w:color w:val="auto"/>
        </w:rPr>
        <w:t>. If PFPC Trust shall be in doubt as to any question of law pertaining to any action it should or should not take, PFPC Trust may request advice from counsel of its own choosing (who may be counsel for the Fund, the Fund’s investment adviser or PFPC Trust, at the option of PFPC Trust).</w:t>
      </w:r>
    </w:p>
    <w:p>
      <w:pPr>
        <w:spacing w:after="0" w:line="59" w:lineRule="exact"/>
        <w:rPr>
          <w:rFonts w:ascii="Arial" w:cs="Arial" w:eastAsia="Arial" w:hAnsi="Arial"/>
          <w:sz w:val="18"/>
          <w:szCs w:val="18"/>
          <w:color w:val="auto"/>
        </w:rPr>
      </w:pPr>
    </w:p>
    <w:p>
      <w:pPr>
        <w:ind w:left="892" w:right="80" w:hanging="446"/>
        <w:spacing w:after="0" w:line="332" w:lineRule="auto"/>
        <w:tabs>
          <w:tab w:leader="none" w:pos="892"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Conflicting Advice</w:t>
      </w:r>
      <w:r>
        <w:rPr>
          <w:rFonts w:ascii="Arial" w:cs="Arial" w:eastAsia="Arial" w:hAnsi="Arial"/>
          <w:sz w:val="16"/>
          <w:szCs w:val="16"/>
          <w:color w:val="auto"/>
        </w:rPr>
        <w:t>. In the event of a conflict between directions or advice or Oral Instructions or Written Instructions PFPC Trust receives from the Fund, and the advice it receives from counsel, PFPC Trust shall be entitled to rely upon and follow the advice of counsel.</w:t>
      </w:r>
    </w:p>
    <w:p>
      <w:pPr>
        <w:spacing w:after="0" w:line="4" w:lineRule="exact"/>
        <w:rPr>
          <w:rFonts w:ascii="Arial" w:cs="Arial" w:eastAsia="Arial" w:hAnsi="Arial"/>
          <w:sz w:val="16"/>
          <w:szCs w:val="16"/>
          <w:color w:val="auto"/>
        </w:rPr>
      </w:pPr>
    </w:p>
    <w:p>
      <w:pPr>
        <w:ind w:left="892" w:right="340" w:hanging="446"/>
        <w:spacing w:after="0" w:line="259" w:lineRule="auto"/>
        <w:tabs>
          <w:tab w:leader="none" w:pos="892"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No Obligation to Seek Advice</w:t>
      </w:r>
      <w:r>
        <w:rPr>
          <w:rFonts w:ascii="Arial" w:cs="Arial" w:eastAsia="Arial" w:hAnsi="Arial"/>
          <w:sz w:val="18"/>
          <w:szCs w:val="18"/>
          <w:color w:val="auto"/>
        </w:rPr>
        <w:t>. Nothing in this section shall be construed so as to impose an obligation upon PFPC Trust (i) to seek directions or advice or Oral Instructions or Written Instructions or (ii) to act in accordance with such directions or advice or Oral Instructions or Written Instructions.</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72"/>
          </w:cols>
          <w:pgMar w:left="248" w:top="280" w:right="279" w:bottom="1440" w:gutter="0" w:footer="0" w:header="0"/>
        </w:sectPr>
      </w:pPr>
    </w:p>
    <w:bookmarkStart w:id="178" w:name="page179"/>
    <w:bookmarkEnd w:id="178"/>
    <w:p>
      <w:pPr>
        <w:ind w:left="452" w:hanging="452"/>
        <w:spacing w:after="0" w:line="258" w:lineRule="auto"/>
        <w:tabs>
          <w:tab w:leader="none" w:pos="452"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Records; Visits</w:t>
      </w:r>
      <w:r>
        <w:rPr>
          <w:rFonts w:ascii="Arial" w:cs="Arial" w:eastAsia="Arial" w:hAnsi="Arial"/>
          <w:sz w:val="18"/>
          <w:szCs w:val="18"/>
          <w:b w:val="1"/>
          <w:bCs w:val="1"/>
          <w:color w:val="auto"/>
        </w:rPr>
        <w:t xml:space="preserve">. </w:t>
      </w:r>
      <w:r>
        <w:rPr>
          <w:rFonts w:ascii="Arial" w:cs="Arial" w:eastAsia="Arial" w:hAnsi="Arial"/>
          <w:sz w:val="18"/>
          <w:szCs w:val="18"/>
          <w:color w:val="auto"/>
        </w:rPr>
        <w:t>The books and records pertaining to the Fund, which are in the possession or under the control of PFPC Trust, shall be the property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Fund. The Fund and Authorized Persons shall have access to such books and records at all times during PFPC Trust’s normal business hours. Upon the reasonable request of the Fund, copies of any such books and records shall be provided by PFPC Trust to the Fund or to an authorized representative of the Fund, at the Fund’s expense.</w:t>
      </w:r>
    </w:p>
    <w:p>
      <w:pPr>
        <w:spacing w:after="0" w:line="176" w:lineRule="exact"/>
        <w:rPr>
          <w:rFonts w:ascii="Arial" w:cs="Arial" w:eastAsia="Arial" w:hAnsi="Arial"/>
          <w:sz w:val="18"/>
          <w:szCs w:val="18"/>
          <w:b w:val="1"/>
          <w:bCs w:val="1"/>
          <w:color w:val="auto"/>
        </w:rPr>
      </w:pPr>
    </w:p>
    <w:p>
      <w:pPr>
        <w:ind w:left="452" w:right="140" w:hanging="452"/>
        <w:spacing w:after="0" w:line="289" w:lineRule="auto"/>
        <w:tabs>
          <w:tab w:leader="none" w:pos="452"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party shall keep confidential any information relating to the other party’s business (“Confidential Information”). Confidential</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shall include (a) any data or information that is competitively sensitive material, and not generally known to the public, including, but not limited to, information about product plans, marketing strategies, finances, operations, customer relationships, customer profiles, customer lists, sales estimates, business plans, and internal performance results relating to the past, present or future business activities of the Fund or PFPC Trust, their respective subsidiaries and affiliated companies; (b) any scientific or technical information, design, process, procedure, formula, or improvement that is commercially valuable and secret in the sense that its confidentiality affords the Fund or PFPC Trust a competitive advantage over its competitors; (c) all confidential or proprietary concepts, documentation, reports, data, specifications, computer software, source code, object code, flow charts, databases, inventions, know-how, and trade secrets, whether or not patentable or copyrightable; and (d) anything designated as confidential. Notwithstanding the foregoing, information shall not be Confidential Information and shall not be subject to such confidentiality</w:t>
      </w:r>
    </w:p>
    <w:p>
      <w:pPr>
        <w:spacing w:after="0" w:line="10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32"/>
          </w:cols>
          <w:pgMar w:left="248" w:top="274" w:right="319" w:bottom="1440" w:gutter="0" w:footer="0" w:header="0"/>
        </w:sectPr>
      </w:pPr>
    </w:p>
    <w:bookmarkStart w:id="179" w:name="page180"/>
    <w:bookmarkEnd w:id="179"/>
    <w:p>
      <w:pPr>
        <w:ind w:left="452" w:right="10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obligations if: (a) it is already known to the receiving party at the time it is obtained; (b) it is or becomes publicly known or available through no wrongful act of the receiving party; (c) it is rightfully received from a third party who, to the best of the receiving party’s knowledge, is not under a duty of confidentiality; (d) it is released by the protected party to a third party without restriction; (e) it is requested or required to be disclosed by the receiving party pursuant to a court order, subpoena, governmental or regulatory agency request or law; (f) release of such information by PFPC Trust is necessary or desirable in connection with the provision of services under this Agreement; (g) it is Fund information provided by PFPC Trust in connection with an independent third party compliance or other review; (h) it is relevant to the defense of any claim or cause of action asserted against the receiving party; or</w:t>
      </w:r>
    </w:p>
    <w:p>
      <w:pPr>
        <w:spacing w:after="0" w:line="1" w:lineRule="exact"/>
        <w:rPr>
          <w:sz w:val="20"/>
          <w:szCs w:val="20"/>
          <w:color w:val="auto"/>
        </w:rPr>
      </w:pPr>
    </w:p>
    <w:p>
      <w:pPr>
        <w:ind w:left="452" w:hanging="6"/>
        <w:spacing w:after="0" w:line="261" w:lineRule="auto"/>
        <w:tabs>
          <w:tab w:leader="none" w:pos="662"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it has been or is independently developed or obtained by the receiving party. The provisions of this Section 6 shall survive termination of this Agreement for a period of three (3) years after such termination.</w:t>
      </w:r>
    </w:p>
    <w:p>
      <w:pPr>
        <w:spacing w:after="0" w:line="172" w:lineRule="exact"/>
        <w:rPr>
          <w:rFonts w:ascii="Arial" w:cs="Arial" w:eastAsia="Arial" w:hAnsi="Arial"/>
          <w:sz w:val="18"/>
          <w:szCs w:val="18"/>
          <w:color w:val="auto"/>
        </w:rPr>
      </w:pPr>
    </w:p>
    <w:p>
      <w:pPr>
        <w:ind w:left="452" w:right="160" w:hanging="452"/>
        <w:spacing w:after="0" w:line="275" w:lineRule="auto"/>
        <w:tabs>
          <w:tab w:leader="none" w:pos="452"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Cooperation with Accountants</w:t>
      </w:r>
      <w:r>
        <w:rPr>
          <w:rFonts w:ascii="Arial" w:cs="Arial" w:eastAsia="Arial" w:hAnsi="Arial"/>
          <w:sz w:val="18"/>
          <w:szCs w:val="18"/>
          <w:b w:val="1"/>
          <w:bCs w:val="1"/>
          <w:color w:val="auto"/>
        </w:rPr>
        <w:t xml:space="preserve">. </w:t>
      </w:r>
      <w:r>
        <w:rPr>
          <w:rFonts w:ascii="Arial" w:cs="Arial" w:eastAsia="Arial" w:hAnsi="Arial"/>
          <w:sz w:val="18"/>
          <w:szCs w:val="18"/>
          <w:color w:val="auto"/>
        </w:rPr>
        <w:t>PFPC Trust shall cooperate with the Fund’s independent public accountants and shall take all reasonable action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any requested information available to such accountants as reasonably requested by the Fund.</w:t>
      </w:r>
    </w:p>
    <w:p>
      <w:pPr>
        <w:spacing w:after="0" w:line="160" w:lineRule="exact"/>
        <w:rPr>
          <w:rFonts w:ascii="Arial" w:cs="Arial" w:eastAsia="Arial" w:hAnsi="Arial"/>
          <w:sz w:val="18"/>
          <w:szCs w:val="18"/>
          <w:b w:val="1"/>
          <w:bCs w:val="1"/>
          <w:color w:val="auto"/>
        </w:rPr>
      </w:pPr>
    </w:p>
    <w:p>
      <w:pPr>
        <w:ind w:left="452" w:right="20" w:hanging="452"/>
        <w:spacing w:after="0" w:line="310" w:lineRule="auto"/>
        <w:tabs>
          <w:tab w:leader="none" w:pos="452"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PFPC System</w:t>
      </w:r>
      <w:r>
        <w:rPr>
          <w:rFonts w:ascii="Arial" w:cs="Arial" w:eastAsia="Arial" w:hAnsi="Arial"/>
          <w:sz w:val="16"/>
          <w:szCs w:val="16"/>
          <w:b w:val="1"/>
          <w:bCs w:val="1"/>
          <w:color w:val="auto"/>
        </w:rPr>
        <w:t xml:space="preserve">. </w:t>
      </w:r>
      <w:r>
        <w:rPr>
          <w:rFonts w:ascii="Arial" w:cs="Arial" w:eastAsia="Arial" w:hAnsi="Arial"/>
          <w:sz w:val="16"/>
          <w:szCs w:val="16"/>
          <w:color w:val="auto"/>
        </w:rPr>
        <w:t>PFPC Trust shall retain title to and ownership of any and all data bases, computer programs, screen formats, report formats, interactive</w:t>
      </w:r>
      <w:r>
        <w:rPr>
          <w:rFonts w:ascii="Arial" w:cs="Arial" w:eastAsia="Arial" w:hAnsi="Arial"/>
          <w:sz w:val="16"/>
          <w:szCs w:val="16"/>
          <w:b w:val="1"/>
          <w:bCs w:val="1"/>
          <w:color w:val="auto"/>
        </w:rPr>
        <w:t xml:space="preserve"> </w:t>
      </w:r>
      <w:r>
        <w:rPr>
          <w:rFonts w:ascii="Arial" w:cs="Arial" w:eastAsia="Arial" w:hAnsi="Arial"/>
          <w:sz w:val="16"/>
          <w:szCs w:val="16"/>
          <w:color w:val="auto"/>
        </w:rPr>
        <w:t>design techniques, derivative works, inventions, discoveries, patentable or copyrightable matters, concepts, expertise, patents, copyrights, trade secrets, and other related legal rights utilized by PFPC Trust in connection with the services provided by PFPC Trust to the Fund.</w:t>
      </w:r>
    </w:p>
    <w:p>
      <w:pPr>
        <w:spacing w:after="0" w:line="137" w:lineRule="exact"/>
        <w:rPr>
          <w:rFonts w:ascii="Arial" w:cs="Arial" w:eastAsia="Arial" w:hAnsi="Arial"/>
          <w:sz w:val="16"/>
          <w:szCs w:val="16"/>
          <w:b w:val="1"/>
          <w:bCs w:val="1"/>
          <w:color w:val="auto"/>
        </w:rPr>
      </w:pPr>
    </w:p>
    <w:p>
      <w:pPr>
        <w:ind w:left="452" w:right="60" w:hanging="452"/>
        <w:spacing w:after="0" w:line="275" w:lineRule="auto"/>
        <w:tabs>
          <w:tab w:leader="none" w:pos="452"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Disaster Recovery</w:t>
      </w:r>
      <w:r>
        <w:rPr>
          <w:rFonts w:ascii="Arial" w:cs="Arial" w:eastAsia="Arial" w:hAnsi="Arial"/>
          <w:sz w:val="18"/>
          <w:szCs w:val="18"/>
          <w:b w:val="1"/>
          <w:bCs w:val="1"/>
          <w:color w:val="auto"/>
        </w:rPr>
        <w:t xml:space="preserve">. </w:t>
      </w:r>
      <w:r>
        <w:rPr>
          <w:rFonts w:ascii="Arial" w:cs="Arial" w:eastAsia="Arial" w:hAnsi="Arial"/>
          <w:sz w:val="18"/>
          <w:szCs w:val="18"/>
          <w:color w:val="auto"/>
        </w:rPr>
        <w:t>PFPC Trust shall enter into and shall maintain in effect with appropriate parties one or more agreements making reasonable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emergency</w:t>
      </w:r>
    </w:p>
    <w:p>
      <w:pPr>
        <w:spacing w:after="0" w:line="11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80" w:right="259" w:bottom="1440" w:gutter="0" w:footer="0" w:header="0"/>
        </w:sectPr>
      </w:pPr>
    </w:p>
    <w:bookmarkStart w:id="180" w:name="page181"/>
    <w:bookmarkEnd w:id="180"/>
    <w:p>
      <w:pPr>
        <w:ind w:left="452"/>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use of electronic data processing equipment to the extent appropriate equipment is available. In the event of equipment failures, PFPC Trust shall, at no additional expense to the Fund, take reasonable steps to minimize service interruptions. PFPC Trust shall have no liability with respect to the loss of data or service interruptions caused by equipment failure provided such loss or interruption is not caused by PFPC Trust’s own willful misfeasance, bad faith, gross negligence or reckless disregard of its duties or obligations under this Agreement.</w:t>
      </w:r>
    </w:p>
    <w:p>
      <w:pPr>
        <w:spacing w:after="0" w:line="228" w:lineRule="exact"/>
        <w:rPr>
          <w:sz w:val="20"/>
          <w:szCs w:val="20"/>
          <w:color w:val="auto"/>
        </w:rPr>
      </w:pPr>
    </w:p>
    <w:p>
      <w:pPr>
        <w:ind w:left="452" w:hanging="452"/>
        <w:spacing w:after="0"/>
        <w:tabs>
          <w:tab w:leader="none" w:pos="452"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892" w:right="140" w:hanging="446"/>
        <w:spacing w:after="0" w:line="259" w:lineRule="auto"/>
        <w:tabs>
          <w:tab w:leader="none" w:pos="89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As compensation for custody services rendered by PFPC Trust pursuant to this Agreement, the Fund will pay to PFPC Trust a fee or fees as may be agreed to in writing from time to time by the Fund and PFPC Trust. The Fund acknowledges that PFPC Trust may receive float benefits in connection with maintaining certain accounts required to provide services under this Agreement.</w:t>
      </w:r>
    </w:p>
    <w:p>
      <w:pPr>
        <w:spacing w:after="0" w:line="59" w:lineRule="exact"/>
        <w:rPr>
          <w:rFonts w:ascii="Arial" w:cs="Arial" w:eastAsia="Arial" w:hAnsi="Arial"/>
          <w:sz w:val="18"/>
          <w:szCs w:val="18"/>
          <w:color w:val="auto"/>
        </w:rPr>
      </w:pPr>
    </w:p>
    <w:p>
      <w:pPr>
        <w:ind w:left="892" w:right="180" w:hanging="446"/>
        <w:spacing w:after="0" w:line="291" w:lineRule="auto"/>
        <w:tabs>
          <w:tab w:leader="none" w:pos="892"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The undersigned hereby represents and warrants to PFPC Trust that (i) the terms of this Agreement, (ii) the fees and expenses associated with this Agreement, and (iii) any benefits accruing to PFPC Trust or to the adviser or sponsor to the Fund in connection with this Agreement, including but not limited to any fee waivers, conversion cost reimbursements, up front payments, signing payments or periodic payments made or to be made by PFPC Trust to such adviser or sponsor or any affiliate of the Fund relating to this Agreement have been fully disclosed to the Board of Directors of the Fund and that, if required by applicable law, such Board of Directors/Trustees has approved or will approve the terms of this Agreement, any such fees and expenses, and any such benefits.</w:t>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80" w:right="259" w:bottom="1440" w:gutter="0" w:footer="0" w:header="0"/>
        </w:sectPr>
      </w:pPr>
    </w:p>
    <w:bookmarkStart w:id="181" w:name="page182"/>
    <w:bookmarkEnd w:id="181"/>
    <w:p>
      <w:pPr>
        <w:ind w:left="452" w:hanging="452"/>
        <w:spacing w:after="0"/>
        <w:tabs>
          <w:tab w:leader="none" w:pos="452"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Standard of Care/Limitations of Liability</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892" w:right="100" w:hanging="446"/>
        <w:spacing w:after="0" w:line="259" w:lineRule="auto"/>
        <w:tabs>
          <w:tab w:leader="none" w:pos="89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Subject to the terms of this Section 11, PFPC shall be liable to the Fund (or any person or entity claiming through the Fund) for damages only to the extent caused by PFPC Trust’s own willful misfeasance, bad faith, gross negligence or reckless disregard of its duties under this Agreement (“</w:t>
      </w:r>
      <w:r>
        <w:rPr>
          <w:rFonts w:ascii="Arial" w:cs="Arial" w:eastAsia="Arial" w:hAnsi="Arial"/>
          <w:sz w:val="18"/>
          <w:szCs w:val="18"/>
          <w:u w:val="single" w:color="auto"/>
          <w:color w:val="auto"/>
        </w:rPr>
        <w:t>Standard of Care</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892" w:hanging="446"/>
        <w:spacing w:after="0" w:line="298" w:lineRule="auto"/>
        <w:tabs>
          <w:tab w:leader="none" w:pos="892" w:val="left"/>
        </w:tabs>
        <w:numPr>
          <w:ilvl w:val="1"/>
          <w:numId w:val="133"/>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(other than as specifically provided in Section 13(h)(ii)(B)(4) and Section 13(h)(iii)(A) of this Agreement), the Fund shall be responsible for all filings, tax returns and reports on any transactions undertaken pursuant to this Agreement, or in respect of the Property or any collections undertaken pursuant to this Agreement, which may be requested by any relevant authority. In addition, the Fund shall be responsible for the payment of all taxes and similar items (including without limitation penalties and interest related thereto).</w:t>
      </w:r>
    </w:p>
    <w:p>
      <w:pPr>
        <w:spacing w:after="0" w:line="31" w:lineRule="exact"/>
        <w:rPr>
          <w:rFonts w:ascii="Arial" w:cs="Arial" w:eastAsia="Arial" w:hAnsi="Arial"/>
          <w:sz w:val="16"/>
          <w:szCs w:val="16"/>
          <w:color w:val="auto"/>
        </w:rPr>
      </w:pPr>
    </w:p>
    <w:p>
      <w:pPr>
        <w:ind w:left="892" w:right="60" w:hanging="446"/>
        <w:spacing w:after="0" w:line="256" w:lineRule="auto"/>
        <w:tabs>
          <w:tab w:leader="none" w:pos="89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PFPC Trust’s liability to the Fund and any person or entity claiming through the Fund for any loss, claim, suit, controversy, breach or damage of any nature whatsoever (including but not limited to those arising out of or related to this Agreement) and regardless of the form of action or legal theory (“Loss”) shall not exceed the fees received by PFPC Trust for services provided hereunder during the twelve (12) months immediately prior to the date of such Loss.</w:t>
      </w:r>
    </w:p>
    <w:p>
      <w:pPr>
        <w:spacing w:after="0" w:line="62" w:lineRule="exact"/>
        <w:rPr>
          <w:rFonts w:ascii="Arial" w:cs="Arial" w:eastAsia="Arial" w:hAnsi="Arial"/>
          <w:sz w:val="18"/>
          <w:szCs w:val="18"/>
          <w:color w:val="auto"/>
        </w:rPr>
      </w:pPr>
    </w:p>
    <w:p>
      <w:pPr>
        <w:ind w:left="892" w:right="60" w:hanging="446"/>
        <w:spacing w:after="0" w:line="259" w:lineRule="auto"/>
        <w:tabs>
          <w:tab w:leader="none" w:pos="89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PFPC Trust shall not be liable for damages (including without limitation damages caused by delays, failure, errors, interruption or loss of data) occurring directly or indirectly by reason of circumstances beyond its reasonable control, including without limitation acts of God; action or inaction of civil or military authority;</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274" w:right="259" w:bottom="1440" w:gutter="0" w:footer="0" w:header="0"/>
        </w:sectPr>
      </w:pPr>
    </w:p>
    <w:bookmarkStart w:id="182" w:name="page183"/>
    <w:bookmarkEnd w:id="182"/>
    <w:p>
      <w:pPr>
        <w:jc w:val="both"/>
        <w:ind w:left="46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national emergencies; public enemy; war; terrorism; riot; fire; flood; catastrophe; sabotage; epidemics; labor disputes; civil commotion; interruption, loss or malfunction of utilities, transportation, computer or communications capabilities; insurrection; elements of nature; non-performance by a third party; failure of the mails; or functions or malfunctions of the internet, firewalls, encryption systems or security devices caused by any of the above.</w:t>
      </w:r>
    </w:p>
    <w:p>
      <w:pPr>
        <w:spacing w:after="0" w:line="26" w:lineRule="exact"/>
        <w:rPr>
          <w:sz w:val="20"/>
          <w:szCs w:val="20"/>
          <w:color w:val="auto"/>
        </w:rPr>
      </w:pPr>
    </w:p>
    <w:p>
      <w:pPr>
        <w:jc w:val="both"/>
        <w:ind w:left="446" w:right="140" w:hanging="446"/>
        <w:spacing w:after="0" w:line="294" w:lineRule="auto"/>
        <w:tabs>
          <w:tab w:leader="none" w:pos="44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PFPC Trust shall not be under any duty or obligation to inquire into and shall not be liable for the validity or invalidity, authority or lack thereof, or truthfulness or accuracy or lack thereof, of any instruction, direction, notice, instrument or other information which PFPC Trust reasonably believes to be genuine. PFPC Trust shall not be liable for any damages that are caused by actions or omissions taken by PFPC Trust in accordance with Oral Instructions or Written Instructions or advice of counsel. PFPC Trust shall not be liable for any damages arising out of any action or omission to act by any prior service provider of the Fund or for any failure to discover any such error or omission.</w:t>
      </w:r>
    </w:p>
    <w:p>
      <w:pPr>
        <w:spacing w:after="0" w:line="34" w:lineRule="exact"/>
        <w:rPr>
          <w:rFonts w:ascii="Arial" w:cs="Arial" w:eastAsia="Arial" w:hAnsi="Arial"/>
          <w:sz w:val="16"/>
          <w:szCs w:val="16"/>
          <w:color w:val="auto"/>
        </w:rPr>
      </w:pPr>
    </w:p>
    <w:p>
      <w:pPr>
        <w:ind w:left="446" w:right="40" w:hanging="446"/>
        <w:spacing w:after="0" w:line="268" w:lineRule="auto"/>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Neither PFPC Trust nor its affiliates shall be liable for any consequential, incidental, exemplary, punitive, special or indirect damages, whether or not the likelihood of such damages was known by PFPC Trust or its affiliates.</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party shall have a duty to mitigate damages for which the other party may become responsible.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This Section 11 shall survive termination of this Agreement.</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6"/>
          </w:cols>
          <w:pgMar w:left="694" w:top="280" w:right="239" w:bottom="1440" w:gutter="0" w:footer="0" w:header="0"/>
        </w:sectPr>
      </w:pPr>
    </w:p>
    <w:bookmarkStart w:id="183" w:name="page184"/>
    <w:bookmarkEnd w:id="183"/>
    <w:p>
      <w:pPr>
        <w:ind w:left="452" w:hanging="452"/>
        <w:spacing w:after="0" w:line="296" w:lineRule="auto"/>
        <w:tabs>
          <w:tab w:leader="none" w:pos="452"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Absent PFPC Trust’s failure to meet its Standard of Care (defined in Section 11 above), the Fund agrees to indemnify, defend and hold</w:t>
      </w:r>
      <w:r>
        <w:rPr>
          <w:rFonts w:ascii="Arial" w:cs="Arial" w:eastAsia="Arial" w:hAnsi="Arial"/>
          <w:sz w:val="16"/>
          <w:szCs w:val="16"/>
          <w:b w:val="1"/>
          <w:bCs w:val="1"/>
          <w:color w:val="auto"/>
        </w:rPr>
        <w:t xml:space="preserve"> </w:t>
      </w:r>
      <w:r>
        <w:rPr>
          <w:rFonts w:ascii="Arial" w:cs="Arial" w:eastAsia="Arial" w:hAnsi="Arial"/>
          <w:sz w:val="16"/>
          <w:szCs w:val="16"/>
          <w:color w:val="auto"/>
        </w:rPr>
        <w:t>harmless PFPC Trust and its affiliates and their respective directors, trustees, officers, agents and employees from all claims, suits, actions, damages, losses, liabilities, obligations, costs and reasonable expenses (including attorneys’ fees and court costs, travel costs and other reasonable out-of-pocket costs related to dispute resolution) arising directly or indirectly from any of the following: (a) any action or omission to act by any prior service provider of the Fund; and (b) any action taken or omitted to be taken by PFPC Trust in connection with the provision of services to the Fund.</w:t>
      </w:r>
    </w:p>
    <w:p>
      <w:pPr>
        <w:spacing w:after="0" w:line="32" w:lineRule="exact"/>
        <w:rPr>
          <w:rFonts w:ascii="Arial" w:cs="Arial" w:eastAsia="Arial" w:hAnsi="Arial"/>
          <w:sz w:val="16"/>
          <w:szCs w:val="16"/>
          <w:b w:val="1"/>
          <w:bCs w:val="1"/>
          <w:color w:val="auto"/>
        </w:rPr>
      </w:pPr>
    </w:p>
    <w:p>
      <w:pPr>
        <w:ind w:left="452"/>
        <w:spacing w:after="0"/>
        <w:rPr>
          <w:rFonts w:ascii="Arial" w:cs="Arial" w:eastAsia="Arial" w:hAnsi="Arial"/>
          <w:sz w:val="16"/>
          <w:szCs w:val="16"/>
          <w:b w:val="1"/>
          <w:bCs w:val="1"/>
          <w:color w:val="auto"/>
        </w:rPr>
      </w:pPr>
      <w:r>
        <w:rPr>
          <w:rFonts w:ascii="Arial" w:cs="Arial" w:eastAsia="Arial" w:hAnsi="Arial"/>
          <w:sz w:val="18"/>
          <w:szCs w:val="18"/>
          <w:color w:val="auto"/>
        </w:rPr>
        <w:t>This Section 12 shall survive termination of this Agreement.</w:t>
      </w:r>
    </w:p>
    <w:p>
      <w:pPr>
        <w:spacing w:after="0" w:line="205" w:lineRule="exact"/>
        <w:rPr>
          <w:rFonts w:ascii="Arial" w:cs="Arial" w:eastAsia="Arial" w:hAnsi="Arial"/>
          <w:sz w:val="16"/>
          <w:szCs w:val="16"/>
          <w:b w:val="1"/>
          <w:bCs w:val="1"/>
          <w:color w:val="auto"/>
        </w:rPr>
      </w:pPr>
    </w:p>
    <w:p>
      <w:pPr>
        <w:ind w:left="452" w:hanging="452"/>
        <w:spacing w:after="0"/>
        <w:tabs>
          <w:tab w:leader="none" w:pos="452"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Description of Services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892" w:right="320" w:hanging="446"/>
        <w:spacing w:after="0" w:line="259" w:lineRule="auto"/>
        <w:tabs>
          <w:tab w:leader="none" w:pos="892"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Delivery of the Property</w:t>
      </w:r>
      <w:r>
        <w:rPr>
          <w:rFonts w:ascii="Arial" w:cs="Arial" w:eastAsia="Arial" w:hAnsi="Arial"/>
          <w:sz w:val="18"/>
          <w:szCs w:val="18"/>
          <w:color w:val="auto"/>
        </w:rPr>
        <w:t>. The Fund will deliver or arrange for the delivery to PFPC Trust of all the Property owned by the Fund, including cash received as a result of the distribution of Shares, during the term of this Agreement. PFPC Trust will not be responsible for any assets until actual receipt.</w:t>
      </w:r>
    </w:p>
    <w:p>
      <w:pPr>
        <w:spacing w:after="0" w:line="59" w:lineRule="exact"/>
        <w:rPr>
          <w:rFonts w:ascii="Arial" w:cs="Arial" w:eastAsia="Arial" w:hAnsi="Arial"/>
          <w:sz w:val="18"/>
          <w:szCs w:val="18"/>
          <w:color w:val="auto"/>
        </w:rPr>
      </w:pPr>
    </w:p>
    <w:p>
      <w:pPr>
        <w:ind w:left="892" w:right="240" w:hanging="446"/>
        <w:spacing w:after="0" w:line="259" w:lineRule="auto"/>
        <w:tabs>
          <w:tab w:leader="none" w:pos="892"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Receipt and Disbursement of Money</w:t>
      </w:r>
      <w:r>
        <w:rPr>
          <w:rFonts w:ascii="Arial" w:cs="Arial" w:eastAsia="Arial" w:hAnsi="Arial"/>
          <w:sz w:val="18"/>
          <w:szCs w:val="18"/>
          <w:color w:val="auto"/>
        </w:rPr>
        <w:t>. PFPC Trust, acting upon Written Instructions, shall open and maintain a separate account (“the Account”) in the Fund’s name. PFPC Trust shall maintain in the Account of the Fund all cash and other assets received from or for the Fund specifically designated to such Account.</w:t>
      </w:r>
    </w:p>
    <w:p>
      <w:pPr>
        <w:spacing w:after="0" w:line="5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PFPC Trust shall make cash payments from or for the Account of the Fund only for:</w:t>
      </w:r>
    </w:p>
    <w:p>
      <w:pPr>
        <w:spacing w:after="0" w:line="90" w:lineRule="exact"/>
        <w:rPr>
          <w:sz w:val="20"/>
          <w:szCs w:val="20"/>
          <w:color w:val="auto"/>
        </w:rPr>
      </w:pPr>
    </w:p>
    <w:p>
      <w:pPr>
        <w:ind w:left="1472" w:right="160" w:hanging="567"/>
        <w:spacing w:after="0" w:line="259" w:lineRule="auto"/>
        <w:tabs>
          <w:tab w:leader="none" w:pos="147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purchases of securities in the name of the Fund, Pennant SPV Company, PFPC Trust, PFPC Trust’s nominee or a sub-custodian or nominee thereof as provided in sub-section (j) and for which PFPC Trust has received a copy of the broker’s or dealer’s confirmation or payee’s invoice, as appropriate;</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12"/>
          </w:cols>
          <w:pgMar w:left="248" w:top="274" w:right="239" w:bottom="1440" w:gutter="0" w:footer="0" w:header="0"/>
        </w:sectPr>
      </w:pPr>
    </w:p>
    <w:bookmarkStart w:id="184" w:name="page185"/>
    <w:bookmarkEnd w:id="184"/>
    <w:p>
      <w:pPr>
        <w:ind w:left="1026" w:hanging="567"/>
        <w:spacing w:after="0"/>
        <w:tabs>
          <w:tab w:leader="none" w:pos="1026" w:val="left"/>
        </w:tabs>
        <w:numPr>
          <w:ilvl w:val="0"/>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redemption of Shares of the Fund upon receipt of Written Instructions;</w:t>
      </w:r>
    </w:p>
    <w:p>
      <w:pPr>
        <w:spacing w:after="0" w:line="90" w:lineRule="exact"/>
        <w:rPr>
          <w:rFonts w:ascii="Arial" w:cs="Arial" w:eastAsia="Arial" w:hAnsi="Arial"/>
          <w:sz w:val="18"/>
          <w:szCs w:val="18"/>
          <w:color w:val="auto"/>
        </w:rPr>
      </w:pPr>
    </w:p>
    <w:p>
      <w:pPr>
        <w:jc w:val="both"/>
        <w:ind w:left="1026" w:right="440" w:hanging="567"/>
        <w:spacing w:after="0" w:line="259" w:lineRule="auto"/>
        <w:tabs>
          <w:tab w:leader="none" w:pos="102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payment of, subject to Written Instructions, interest, taxes (provided that tax which PFPC Trust considers is required to be deducted or withheld “at source” will be governed by Section 13(h)(iii)(B) of this Agreement), administration, accounting, distribution, advisory or management fees and similar expenses which are to be borne by the Fund;</w:t>
      </w:r>
    </w:p>
    <w:p>
      <w:pPr>
        <w:spacing w:after="0" w:line="59" w:lineRule="exact"/>
        <w:rPr>
          <w:rFonts w:ascii="Arial" w:cs="Arial" w:eastAsia="Arial" w:hAnsi="Arial"/>
          <w:sz w:val="18"/>
          <w:szCs w:val="18"/>
          <w:color w:val="auto"/>
        </w:rPr>
      </w:pPr>
    </w:p>
    <w:p>
      <w:pPr>
        <w:ind w:left="1026" w:right="140" w:hanging="567"/>
        <w:spacing w:after="0" w:line="323" w:lineRule="auto"/>
        <w:tabs>
          <w:tab w:leader="none" w:pos="1026" w:val="left"/>
        </w:tabs>
        <w:numPr>
          <w:ilvl w:val="0"/>
          <w:numId w:val="137"/>
        </w:numPr>
        <w:rPr>
          <w:rFonts w:ascii="Arial" w:cs="Arial" w:eastAsia="Arial" w:hAnsi="Arial"/>
          <w:sz w:val="15"/>
          <w:szCs w:val="15"/>
          <w:color w:val="auto"/>
        </w:rPr>
      </w:pPr>
      <w:r>
        <w:rPr>
          <w:rFonts w:ascii="Arial" w:cs="Arial" w:eastAsia="Arial" w:hAnsi="Arial"/>
          <w:sz w:val="15"/>
          <w:szCs w:val="15"/>
          <w:color w:val="auto"/>
        </w:rPr>
        <w:t>payment to, subject to receipt of Written Instructions, the Fund’s transfer agent, as agent for the shareholders, of an amount equal to the amount of dividends and distributions stated in the Written Instructions to be distributed in cash by the transfer agent to shareholders, or, in lieu of paying the Fund’s transfer agent, PFPC Trust may arrange for the direct payment of cash dividends and distributions to shareholders in accordance with procedures mutually agreed upon from time to time by and among the Fund, PFPC Trust and the Fund’s transfer agent;</w:t>
      </w:r>
    </w:p>
    <w:p>
      <w:pPr>
        <w:spacing w:after="0" w:line="16" w:lineRule="exact"/>
        <w:rPr>
          <w:rFonts w:ascii="Arial" w:cs="Arial" w:eastAsia="Arial" w:hAnsi="Arial"/>
          <w:sz w:val="15"/>
          <w:szCs w:val="15"/>
          <w:color w:val="auto"/>
        </w:rPr>
      </w:pPr>
    </w:p>
    <w:p>
      <w:pPr>
        <w:ind w:left="1026" w:right="140" w:hanging="567"/>
        <w:spacing w:after="0" w:line="268" w:lineRule="auto"/>
        <w:tabs>
          <w:tab w:leader="none" w:pos="102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payments, upon receipt of Written Instructions, in connection with the conversion, exchange or surrender of securities owned or subscribed to by the Fund and held pursuant to this Agreement or delivered to PFPC Trust;</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payments of the amounts of dividends received with respect to securities sold short;</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payments to PFPC Trust for its services hereunder;</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payments to a sub-custodian pursuant to provisions in sub-section (c) of this Section; and</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other payments, upon Written Instructions.</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PFPC Trust is hereby authorized to endorse and collect all checks, drafts or other orders for the payment of money received as custodian for the Fund.</w:t>
      </w:r>
    </w:p>
    <w:p>
      <w:pPr>
        <w:spacing w:after="0" w:line="113" w:lineRule="exact"/>
        <w:rPr>
          <w:sz w:val="20"/>
          <w:szCs w:val="20"/>
          <w:color w:val="auto"/>
        </w:rPr>
      </w:pPr>
    </w:p>
    <w:p>
      <w:pPr>
        <w:ind w:left="446" w:hanging="446"/>
        <w:spacing w:after="0"/>
        <w:tabs>
          <w:tab w:leader="none" w:pos="446"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Receipt of Securities; Sub-custodians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26" w:hanging="567"/>
        <w:spacing w:after="0" w:line="298" w:lineRule="auto"/>
        <w:tabs>
          <w:tab w:leader="none" w:pos="1026" w:val="left"/>
        </w:tabs>
        <w:numPr>
          <w:ilvl w:val="1"/>
          <w:numId w:val="138"/>
        </w:numPr>
        <w:rPr>
          <w:rFonts w:ascii="Arial" w:cs="Arial" w:eastAsia="Arial" w:hAnsi="Arial"/>
          <w:sz w:val="16"/>
          <w:szCs w:val="16"/>
          <w:color w:val="auto"/>
        </w:rPr>
      </w:pPr>
      <w:r>
        <w:rPr>
          <w:rFonts w:ascii="Arial" w:cs="Arial" w:eastAsia="Arial" w:hAnsi="Arial"/>
          <w:sz w:val="16"/>
          <w:szCs w:val="16"/>
          <w:color w:val="auto"/>
        </w:rPr>
        <w:t>PFPC Trust shall hold all securities received by it for the Accounts in a separate account that physically segregates such securities from those of any other persons, firms or corporations, except for securities held in a Book-Entry System or through a sub-custodian or depository. All such securities shall be held or disposed of only upon Written Instructions or otherwise pursuant to the terms of this Agreement. PFPC Trust shall have no power or authority to assign, hypothecate, pledge or otherwise dispose</w:t>
      </w:r>
    </w:p>
    <w:p>
      <w:pPr>
        <w:spacing w:after="0" w:line="9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6"/>
          </w:cols>
          <w:pgMar w:left="694" w:top="280" w:right="259" w:bottom="1440" w:gutter="0" w:footer="0" w:header="0"/>
        </w:sectPr>
      </w:pPr>
    </w:p>
    <w:bookmarkStart w:id="185" w:name="page186"/>
    <w:bookmarkEnd w:id="185"/>
    <w:p>
      <w:pPr>
        <w:ind w:left="1026"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any such securities or other investments, except upon the express terms of this Agreement or upon Written Instructions authorizing the transaction. In no case may any member of the Fund’s Board of Directors or any officer, employee or agent of the Fund withdraw any securities upon their mere receipt.</w:t>
      </w:r>
    </w:p>
    <w:p>
      <w:pPr>
        <w:spacing w:after="0" w:line="59" w:lineRule="exact"/>
        <w:rPr>
          <w:sz w:val="20"/>
          <w:szCs w:val="20"/>
          <w:color w:val="auto"/>
        </w:rPr>
      </w:pPr>
    </w:p>
    <w:p>
      <w:pPr>
        <w:ind w:left="1046" w:right="100"/>
        <w:spacing w:after="0" w:line="290" w:lineRule="auto"/>
        <w:rPr>
          <w:sz w:val="20"/>
          <w:szCs w:val="20"/>
          <w:color w:val="auto"/>
        </w:rPr>
      </w:pPr>
      <w:r>
        <w:rPr>
          <w:rFonts w:ascii="Arial" w:cs="Arial" w:eastAsia="Arial" w:hAnsi="Arial"/>
          <w:sz w:val="16"/>
          <w:szCs w:val="16"/>
          <w:color w:val="auto"/>
        </w:rPr>
        <w:t>At PFPC Trust’s own expense and for its own convenience, PFPC Trust may enter into sub-custodian agreements with other banks or trust companies to perform duties described in this sub-section (c) with respect to domestic assets. Such bank or trust company shall have aggregate capital, surplus and undivided profits, according to its last published report, of at least one million dollars ($1,000,000), if it is a subsidiary or affiliate of PFPC Trust, or at least twenty million dollars ($20,000,000) if such bank or trust company is not a subsidiary or affiliate of PFPC Trust. In addition, such bank or trust company must be qualified to act as custodian and agree to comply with the relevant provisions of applicable rules and regulations. Any such arrangement will not be entered into without prior written notice to the Fund (or as otherwise provided in the 1940 Act).</w:t>
      </w:r>
    </w:p>
    <w:p>
      <w:pPr>
        <w:spacing w:after="0" w:line="37" w:lineRule="exact"/>
        <w:rPr>
          <w:sz w:val="20"/>
          <w:szCs w:val="20"/>
          <w:color w:val="auto"/>
        </w:rPr>
      </w:pPr>
    </w:p>
    <w:p>
      <w:pPr>
        <w:ind w:left="1046" w:right="40"/>
        <w:spacing w:after="0" w:line="259" w:lineRule="auto"/>
        <w:rPr>
          <w:sz w:val="20"/>
          <w:szCs w:val="20"/>
          <w:color w:val="auto"/>
        </w:rPr>
      </w:pPr>
      <w:r>
        <w:rPr>
          <w:rFonts w:ascii="Arial" w:cs="Arial" w:eastAsia="Arial" w:hAnsi="Arial"/>
          <w:sz w:val="18"/>
          <w:szCs w:val="18"/>
          <w:color w:val="auto"/>
        </w:rPr>
        <w:t>In addition, PFPC Trust may enter into arrangements with sub-custodians, in accordance with the 1940 Act, with respect to services regarding foreign assets. Any such arrangement will not be entered into without prior written notice to the Fund (or as otherwise provided in the 1940 Act).</w:t>
      </w:r>
    </w:p>
    <w:p>
      <w:pPr>
        <w:spacing w:after="0" w:line="59" w:lineRule="exact"/>
        <w:rPr>
          <w:sz w:val="20"/>
          <w:szCs w:val="20"/>
          <w:color w:val="auto"/>
        </w:rPr>
      </w:pPr>
    </w:p>
    <w:p>
      <w:pPr>
        <w:ind w:left="1046" w:right="20"/>
        <w:spacing w:after="0" w:line="256" w:lineRule="auto"/>
        <w:rPr>
          <w:sz w:val="20"/>
          <w:szCs w:val="20"/>
          <w:color w:val="auto"/>
        </w:rPr>
      </w:pPr>
      <w:r>
        <w:rPr>
          <w:rFonts w:ascii="Arial" w:cs="Arial" w:eastAsia="Arial" w:hAnsi="Arial"/>
          <w:sz w:val="18"/>
          <w:szCs w:val="18"/>
          <w:color w:val="auto"/>
        </w:rPr>
        <w:t>Sub-custodians utilized by PFPC Trust may be subsidiaries or affiliates of PFPC Trust, and such entities will be compensated for their services at such rates as are agreed between the entity and PFPC Trust. PFPC Trust shall remain responsible for the acts and omissions of any sub-custodian chosen by PFPC Trust under the terms of this sub-section (c) to the same extent that PFPC Trust is responsible for its own acts and omissions under this Agreement.</w:t>
      </w:r>
    </w:p>
    <w:p>
      <w:pPr>
        <w:spacing w:after="0" w:line="62" w:lineRule="exact"/>
        <w:rPr>
          <w:sz w:val="20"/>
          <w:szCs w:val="20"/>
          <w:color w:val="auto"/>
        </w:rPr>
      </w:pPr>
    </w:p>
    <w:p>
      <w:pPr>
        <w:ind w:left="446" w:hanging="446"/>
        <w:spacing w:after="0"/>
        <w:tabs>
          <w:tab w:leader="none" w:pos="446"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Transactions Requiring Instructions</w:t>
      </w:r>
      <w:r>
        <w:rPr>
          <w:rFonts w:ascii="Arial" w:cs="Arial" w:eastAsia="Arial" w:hAnsi="Arial"/>
          <w:sz w:val="18"/>
          <w:szCs w:val="18"/>
          <w:color w:val="auto"/>
        </w:rPr>
        <w:t>. Upon receipt of Oral Instructions or Written Instructions and not otherwise, PFPC Trust shall:</w:t>
      </w:r>
    </w:p>
    <w:p>
      <w:pPr>
        <w:spacing w:after="0" w:line="90" w:lineRule="exact"/>
        <w:rPr>
          <w:rFonts w:ascii="Arial" w:cs="Arial" w:eastAsia="Arial" w:hAnsi="Arial"/>
          <w:sz w:val="18"/>
          <w:szCs w:val="18"/>
          <w:color w:val="auto"/>
        </w:rPr>
      </w:pPr>
    </w:p>
    <w:p>
      <w:pPr>
        <w:ind w:left="1026" w:hanging="567"/>
        <w:spacing w:after="0" w:line="268" w:lineRule="auto"/>
        <w:tabs>
          <w:tab w:leader="none" w:pos="102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deliver any securities held for the Fund against the receipt of payment for the sale of such securities or otherwise in accordance with standard market practice;</w:t>
      </w:r>
    </w:p>
    <w:p>
      <w:pPr>
        <w:spacing w:after="0" w:line="50" w:lineRule="exact"/>
        <w:rPr>
          <w:rFonts w:ascii="Arial" w:cs="Arial" w:eastAsia="Arial" w:hAnsi="Arial"/>
          <w:sz w:val="18"/>
          <w:szCs w:val="18"/>
          <w:color w:val="auto"/>
        </w:rPr>
      </w:pPr>
    </w:p>
    <w:p>
      <w:pPr>
        <w:ind w:left="1026" w:right="60" w:hanging="567"/>
        <w:spacing w:after="0" w:line="259" w:lineRule="auto"/>
        <w:tabs>
          <w:tab w:leader="none" w:pos="102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execute and deliver to such persons as may be designated in such Oral Instructions or Written Instructions, proxies, consents, authorizations, and any other instruments received by PFPC Trust as custodian whereby the authority of the Fund as owner of any securities may be exercised;</w:t>
      </w:r>
    </w:p>
    <w:p>
      <w:pPr>
        <w:spacing w:after="0" w:line="12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6"/>
          </w:cols>
          <w:pgMar w:left="694" w:top="280" w:right="259" w:bottom="1440" w:gutter="0" w:footer="0" w:header="0"/>
        </w:sectPr>
      </w:pPr>
    </w:p>
    <w:bookmarkStart w:id="186" w:name="page187"/>
    <w:bookmarkEnd w:id="186"/>
    <w:p>
      <w:pPr>
        <w:ind w:left="567" w:hanging="567"/>
        <w:spacing w:after="0" w:line="332" w:lineRule="auto"/>
        <w:tabs>
          <w:tab w:leader="none" w:pos="567" w:val="left"/>
        </w:tabs>
        <w:numPr>
          <w:ilvl w:val="0"/>
          <w:numId w:val="1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 any securities to the issuer thereof, or its agent, when such securities are called, redeemed, retired or otherwise become payable at the option of the holder; provided that, in any such case, the cash or other consideration is to be delivered to PFPC Trust;</w:t>
      </w:r>
    </w:p>
    <w:p>
      <w:pPr>
        <w:spacing w:after="0" w:line="4" w:lineRule="exact"/>
        <w:rPr>
          <w:rFonts w:ascii="Arial" w:cs="Arial" w:eastAsia="Arial" w:hAnsi="Arial"/>
          <w:sz w:val="16"/>
          <w:szCs w:val="16"/>
          <w:color w:val="auto"/>
        </w:rPr>
      </w:pPr>
    </w:p>
    <w:p>
      <w:pPr>
        <w:ind w:left="567" w:right="200" w:hanging="567"/>
        <w:spacing w:after="0" w:line="259" w:lineRule="auto"/>
        <w:tabs>
          <w:tab w:leader="none" w:pos="56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deliver any securities held for the Fund against receipt of other securities or cash issued or paid in connection with the liquidation, reorganization, refinancing, tender offer, merger, consolidation or recapitalization of any corporation or other entity, or the exercise of any conversion privilege;</w:t>
      </w:r>
    </w:p>
    <w:p>
      <w:pPr>
        <w:spacing w:after="0" w:line="59" w:lineRule="exact"/>
        <w:rPr>
          <w:rFonts w:ascii="Arial" w:cs="Arial" w:eastAsia="Arial" w:hAnsi="Arial"/>
          <w:sz w:val="18"/>
          <w:szCs w:val="18"/>
          <w:color w:val="auto"/>
        </w:rPr>
      </w:pPr>
    </w:p>
    <w:p>
      <w:pPr>
        <w:ind w:left="567" w:right="160" w:hanging="567"/>
        <w:spacing w:after="0" w:line="256" w:lineRule="auto"/>
        <w:tabs>
          <w:tab w:leader="none" w:pos="56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deliver any securities held for the Fund to any protective committee, reorganization committee or other person in connection with the reorganization, refinancing, merger, consolidation, recapitalization or sale of assets of any corporation or other entity, and receive and hold under the terms of this Agreement such certificates of deposit, interim receipts or other instruments or documents as may be issued to it to evidence such delivery;</w:t>
      </w:r>
    </w:p>
    <w:p>
      <w:pPr>
        <w:spacing w:after="0" w:line="62" w:lineRule="exact"/>
        <w:rPr>
          <w:rFonts w:ascii="Arial" w:cs="Arial" w:eastAsia="Arial" w:hAnsi="Arial"/>
          <w:sz w:val="18"/>
          <w:szCs w:val="18"/>
          <w:color w:val="auto"/>
        </w:rPr>
      </w:pPr>
    </w:p>
    <w:p>
      <w:pPr>
        <w:ind w:left="567" w:right="320" w:hanging="567"/>
        <w:spacing w:after="0" w:line="259" w:lineRule="auto"/>
        <w:tabs>
          <w:tab w:leader="none" w:pos="56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make such transfer or exchanges of the assets of the Fund and take such other steps as shall be stated in said Oral Instructions or Written Instructions to be for the purpose of effectuating a duly authorized plan of liquidation, reorganization, merger, consolidation or recapitalization of the Fund;</w:t>
      </w:r>
    </w:p>
    <w:p>
      <w:pPr>
        <w:spacing w:after="0" w:line="59" w:lineRule="exact"/>
        <w:rPr>
          <w:rFonts w:ascii="Arial" w:cs="Arial" w:eastAsia="Arial" w:hAnsi="Arial"/>
          <w:sz w:val="18"/>
          <w:szCs w:val="18"/>
          <w:color w:val="auto"/>
        </w:rPr>
      </w:pPr>
    </w:p>
    <w:p>
      <w:pPr>
        <w:ind w:left="567" w:right="60" w:hanging="567"/>
        <w:spacing w:after="0" w:line="294" w:lineRule="auto"/>
        <w:tabs>
          <w:tab w:leader="none" w:pos="56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release securities belonging to the Fund to any bank or trust company for the purpose of a pledge or hypothecation to secure any loan incurred by the Fund; provided, however, that securities shall be released only upon payment to PFPC Trust of the monies borrowed, except that in cases where additional collateral is required to secure a borrowing already made subject to proper prior authorization, further securities may be released for that purpose; and repay such loan upon redelivery to it of the securities pledged or hypothecated therefor and upon surrender of the note or notes evidencing the loan;</w:t>
      </w:r>
    </w:p>
    <w:p>
      <w:pPr>
        <w:spacing w:after="0" w:line="34" w:lineRule="exact"/>
        <w:rPr>
          <w:rFonts w:ascii="Arial" w:cs="Arial" w:eastAsia="Arial" w:hAnsi="Arial"/>
          <w:sz w:val="16"/>
          <w:szCs w:val="16"/>
          <w:color w:val="auto"/>
        </w:rPr>
      </w:pPr>
    </w:p>
    <w:p>
      <w:pPr>
        <w:ind w:left="567" w:right="80" w:hanging="567"/>
        <w:spacing w:after="0" w:line="259" w:lineRule="auto"/>
        <w:tabs>
          <w:tab w:leader="none" w:pos="56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release and deliver securities owned by the Fund in connection with any repurchase agreement entered into by the Fund, but only on receipt of payment therefor; and pay out monies of the Fund in connection with such repurchase agreements, but only upon the delivery of the securities;</w:t>
      </w:r>
    </w:p>
    <w:p>
      <w:pPr>
        <w:spacing w:after="0" w:line="59" w:lineRule="exact"/>
        <w:rPr>
          <w:rFonts w:ascii="Arial" w:cs="Arial" w:eastAsia="Arial" w:hAnsi="Arial"/>
          <w:sz w:val="18"/>
          <w:szCs w:val="18"/>
          <w:color w:val="auto"/>
        </w:rPr>
      </w:pPr>
    </w:p>
    <w:p>
      <w:pPr>
        <w:ind w:left="567" w:right="140" w:hanging="567"/>
        <w:spacing w:after="0" w:line="268" w:lineRule="auto"/>
        <w:tabs>
          <w:tab w:leader="none" w:pos="56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release and deliver or exchange securities owned by the Fund in connection with any conversion of such securities, pursuant to their terms, into other securities;</w:t>
      </w:r>
    </w:p>
    <w:p>
      <w:pPr>
        <w:spacing w:after="0" w:line="50" w:lineRule="exact"/>
        <w:rPr>
          <w:rFonts w:ascii="Arial" w:cs="Arial" w:eastAsia="Arial" w:hAnsi="Arial"/>
          <w:sz w:val="18"/>
          <w:szCs w:val="18"/>
          <w:color w:val="auto"/>
        </w:rPr>
      </w:pPr>
    </w:p>
    <w:p>
      <w:pPr>
        <w:ind w:left="567" w:right="680" w:hanging="567"/>
        <w:spacing w:after="0" w:line="268" w:lineRule="auto"/>
        <w:tabs>
          <w:tab w:leader="none" w:pos="56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release and deliver securities to a broker in connection with the broker’s custody of margin collateral relating to futures and options transactions;</w:t>
      </w:r>
    </w:p>
    <w:p>
      <w:pPr>
        <w:spacing w:after="0" w:line="118"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67"/>
          </w:cols>
          <w:pgMar w:left="1153" w:top="280" w:right="279" w:bottom="1440" w:gutter="0" w:footer="0" w:header="0"/>
        </w:sectPr>
      </w:pPr>
    </w:p>
    <w:bookmarkStart w:id="187" w:name="page188"/>
    <w:bookmarkEnd w:id="187"/>
    <w:p>
      <w:pPr>
        <w:ind w:left="1026" w:right="340" w:hanging="567"/>
        <w:spacing w:after="0" w:line="268" w:lineRule="auto"/>
        <w:tabs>
          <w:tab w:leader="none" w:pos="1026" w:val="left"/>
        </w:tabs>
        <w:numPr>
          <w:ilvl w:val="1"/>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release and deliver securities owned by the Fund for the purpose of redeeming in kind Shares of the Fund upon delivery thereof to PFPC Trust; and</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1"/>
          <w:numId w:val="141"/>
        </w:numPr>
        <w:rPr>
          <w:rFonts w:ascii="Arial" w:cs="Arial" w:eastAsia="Arial" w:hAnsi="Arial"/>
          <w:sz w:val="18"/>
          <w:szCs w:val="18"/>
          <w:color w:val="auto"/>
        </w:rPr>
      </w:pPr>
      <w:r>
        <w:rPr>
          <w:rFonts w:ascii="Arial" w:cs="Arial" w:eastAsia="Arial" w:hAnsi="Arial"/>
          <w:sz w:val="18"/>
          <w:szCs w:val="18"/>
          <w:color w:val="auto"/>
        </w:rPr>
        <w:t>release and deliver or exchange securities owned by the Fund for other purposes.</w:t>
      </w:r>
    </w:p>
    <w:p>
      <w:pPr>
        <w:spacing w:after="0" w:line="90" w:lineRule="exact"/>
        <w:rPr>
          <w:rFonts w:ascii="Arial" w:cs="Arial" w:eastAsia="Arial" w:hAnsi="Arial"/>
          <w:sz w:val="18"/>
          <w:szCs w:val="18"/>
          <w:color w:val="auto"/>
        </w:rPr>
      </w:pPr>
    </w:p>
    <w:p>
      <w:pPr>
        <w:ind w:left="446" w:hanging="446"/>
        <w:spacing w:after="0" w:line="291" w:lineRule="auto"/>
        <w:tabs>
          <w:tab w:leader="none" w:pos="446"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Use of Book-Entry System or Other Depository</w:t>
      </w:r>
      <w:r>
        <w:rPr>
          <w:rFonts w:ascii="Arial" w:cs="Arial" w:eastAsia="Arial" w:hAnsi="Arial"/>
          <w:sz w:val="16"/>
          <w:szCs w:val="16"/>
          <w:color w:val="auto"/>
        </w:rPr>
        <w:t>. PFPC Trust will deposit in Book-Entry Systems and other depositories all securities belonging to the Fund eligible for deposit therein and will utilize Book-Entry Systems and other depositories to the extent possible in connection with settlements of purchases and sales of securities by the Fund, and deliveries and returns of securities loaned, subject to repurchase agreements or used as collateral in connection with borrowings. PFPC Trust shall continue to perform such duties until it receives Written Instructions or Oral Instructions authorizing contrary actions. Notwithstanding anything in this Agreement to the contrary, PFPC Trust’s use of a Book-Entry System shall comply with the requirements of Rule 17f-4 under the 1940 Act.</w:t>
      </w:r>
    </w:p>
    <w:p>
      <w:pPr>
        <w:spacing w:after="0" w:line="120" w:lineRule="exact"/>
        <w:rPr>
          <w:sz w:val="20"/>
          <w:szCs w:val="20"/>
          <w:color w:val="auto"/>
        </w:rPr>
      </w:pPr>
    </w:p>
    <w:p>
      <w:pPr>
        <w:ind w:left="6"/>
        <w:spacing w:after="0"/>
        <w:rPr>
          <w:sz w:val="20"/>
          <w:szCs w:val="20"/>
          <w:color w:val="auto"/>
        </w:rPr>
      </w:pPr>
      <w:r>
        <w:rPr>
          <w:rFonts w:ascii="Arial" w:cs="Arial" w:eastAsia="Arial" w:hAnsi="Arial"/>
          <w:sz w:val="18"/>
          <w:szCs w:val="18"/>
          <w:color w:val="auto"/>
        </w:rPr>
        <w:t>PFPC Trust shall administer a Book-Entry System or other depository as follows:</w:t>
      </w:r>
    </w:p>
    <w:p>
      <w:pPr>
        <w:spacing w:after="0" w:line="90" w:lineRule="exact"/>
        <w:rPr>
          <w:sz w:val="20"/>
          <w:szCs w:val="20"/>
          <w:color w:val="auto"/>
        </w:rPr>
      </w:pPr>
    </w:p>
    <w:p>
      <w:pPr>
        <w:ind w:left="1026" w:right="200" w:hanging="567"/>
        <w:spacing w:after="0" w:line="268" w:lineRule="auto"/>
        <w:tabs>
          <w:tab w:leader="none" w:pos="102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With respect to securities of the Fund which are maintained in a Book-Entry System or another depository, the records of PFPC Trust shall identify by book-entry or otherwise those securities as belonging to the Fund.</w:t>
      </w:r>
    </w:p>
    <w:p>
      <w:pPr>
        <w:spacing w:after="0" w:line="50" w:lineRule="exact"/>
        <w:rPr>
          <w:rFonts w:ascii="Arial" w:cs="Arial" w:eastAsia="Arial" w:hAnsi="Arial"/>
          <w:sz w:val="18"/>
          <w:szCs w:val="18"/>
          <w:color w:val="auto"/>
        </w:rPr>
      </w:pPr>
    </w:p>
    <w:p>
      <w:pPr>
        <w:ind w:left="1026" w:hanging="567"/>
        <w:spacing w:after="0" w:line="259" w:lineRule="auto"/>
        <w:tabs>
          <w:tab w:leader="none" w:pos="102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Assets of the Fund deposited in a Book-Entry System or another depository will (to the extent consistent with applicable law and standard practice) at all times be segregated from any assets and cash controlled by PFPC Trust in other than a fiduciary or custodian capacity but may be commingled with other assets held in such capacities.</w:t>
      </w:r>
    </w:p>
    <w:p>
      <w:pPr>
        <w:spacing w:after="0" w:line="59" w:lineRule="exact"/>
        <w:rPr>
          <w:sz w:val="20"/>
          <w:szCs w:val="20"/>
          <w:color w:val="auto"/>
        </w:rPr>
      </w:pPr>
    </w:p>
    <w:p>
      <w:pPr>
        <w:ind w:left="466"/>
        <w:spacing w:after="0"/>
        <w:rPr>
          <w:sz w:val="20"/>
          <w:szCs w:val="20"/>
          <w:color w:val="auto"/>
        </w:rPr>
      </w:pPr>
      <w:r>
        <w:rPr>
          <w:rFonts w:ascii="Arial" w:cs="Arial" w:eastAsia="Arial" w:hAnsi="Arial"/>
          <w:sz w:val="16"/>
          <w:szCs w:val="16"/>
          <w:color w:val="auto"/>
        </w:rPr>
        <w:t>PFPC Trust will provide the Fund with such reports on its own system of internal control as the Fund may reasonably request from time to time.</w:t>
      </w:r>
    </w:p>
    <w:p>
      <w:pPr>
        <w:spacing w:after="0" w:line="181" w:lineRule="exact"/>
        <w:rPr>
          <w:sz w:val="20"/>
          <w:szCs w:val="20"/>
          <w:color w:val="auto"/>
        </w:rPr>
      </w:pPr>
    </w:p>
    <w:p>
      <w:pPr>
        <w:ind w:left="5166"/>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6"/>
          </w:cols>
          <w:pgMar w:left="694" w:top="280" w:right="239" w:bottom="1440" w:gutter="0" w:footer="0" w:header="0"/>
        </w:sectPr>
      </w:pPr>
    </w:p>
    <w:bookmarkStart w:id="188" w:name="page189"/>
    <w:bookmarkEnd w:id="188"/>
    <w:p>
      <w:pPr>
        <w:ind w:left="446" w:hanging="446"/>
        <w:spacing w:after="0" w:line="286" w:lineRule="auto"/>
        <w:tabs>
          <w:tab w:leader="none" w:pos="446"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of Securities</w:t>
      </w:r>
      <w:r>
        <w:rPr>
          <w:rFonts w:ascii="Arial" w:cs="Arial" w:eastAsia="Arial" w:hAnsi="Arial"/>
          <w:sz w:val="16"/>
          <w:szCs w:val="16"/>
          <w:color w:val="auto"/>
        </w:rPr>
        <w:t>. All securities held for the Fund which are issued or issuable only in bearer form, except such securities maintained in the Book-Entry System or in another depository, shall be held by PFPC Trust in bearer form; all other securities maintained for the Fund may be registered in the name of the Fund, PFPC Trust, a Book-Entry System, another depository, a sub-custodian, or any duly appointed nominee of the Fund, PFPC Trust, a Book-Entry System, a depository or a sub-custodian. The Fund agrees to furnish to PFPC Trust appropriate instruments to enable PFPC Trust to maintain or deliver in proper form for transfer, or to register in the name of its nominee or in the name of a Book-Entry System or in the name of another appropriate entity, any securities which it may maintain pursuant to this Agreement. With respect to uncertificated securities which are registered in the name of the Fund (or a nominee thereof), PFPC Trust will reflect such securities on its records based upon the holdings information provided to it by the issuer of such securities, but notwithstanding anything in this Agreement to the contrary PFPC Trust shall not be obligated to safekeep such securities or to perform other duties with respect to such securities other than to make payment for the purchase of such securities upon receipt of Oral or Written Instructions, accept in sale proceeds received by PFPC Trust upon the sale of such securities of which PFPC Trust is informed pursuant to Oral or Written Instructions, and accept in other distributions received by PFPC Trust with respect to such securities or reflect on its records any reinvested distributions with respect to such securities of which it is informed by the issuer of the securities.</w:t>
      </w:r>
    </w:p>
    <w:p>
      <w:pPr>
        <w:spacing w:after="0" w:line="111"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6"/>
          </w:cols>
          <w:pgMar w:left="694" w:top="280" w:right="299" w:bottom="1440" w:gutter="0" w:footer="0" w:header="0"/>
        </w:sectPr>
      </w:pPr>
    </w:p>
    <w:bookmarkStart w:id="189" w:name="page190"/>
    <w:bookmarkEnd w:id="189"/>
    <w:p>
      <w:pPr>
        <w:ind w:left="446" w:right="40" w:hanging="446"/>
        <w:spacing w:after="0" w:line="298" w:lineRule="auto"/>
        <w:tabs>
          <w:tab w:leader="none" w:pos="446"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Voting</w:t>
      </w:r>
      <w:r>
        <w:rPr>
          <w:rFonts w:ascii="Arial" w:cs="Arial" w:eastAsia="Arial" w:hAnsi="Arial"/>
          <w:sz w:val="16"/>
          <w:szCs w:val="16"/>
          <w:color w:val="auto"/>
        </w:rPr>
        <w:t>. Neither PFPC Trust nor its nominee shall vote any of the securities held pursuant to this Agreement by or for the account of the Fund, except in accordance with Written Instructions. PFPC Trust, directly or through the use of another entity, shall execute in blank and promptly deliver all notices, proxies and proxy soliciting materials received by PFPC Trust as custodian of the Property to the registered holder of such securities. If the registered holder is not the Fund, then Written Instructions or Oral Instructions must designate the person who owns such securities.</w:t>
      </w:r>
    </w:p>
    <w:p>
      <w:pPr>
        <w:spacing w:after="0" w:line="31" w:lineRule="exact"/>
        <w:rPr>
          <w:rFonts w:ascii="Arial" w:cs="Arial" w:eastAsia="Arial" w:hAnsi="Arial"/>
          <w:sz w:val="16"/>
          <w:szCs w:val="16"/>
          <w:color w:val="auto"/>
        </w:rPr>
      </w:pPr>
    </w:p>
    <w:p>
      <w:pPr>
        <w:ind w:left="446" w:hanging="446"/>
        <w:spacing w:after="0" w:line="332" w:lineRule="auto"/>
        <w:tabs>
          <w:tab w:leader="none" w:pos="446"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Transactions Not Requiring Instructions</w:t>
      </w:r>
      <w:r>
        <w:rPr>
          <w:rFonts w:ascii="Arial" w:cs="Arial" w:eastAsia="Arial" w:hAnsi="Arial"/>
          <w:sz w:val="16"/>
          <w:szCs w:val="16"/>
          <w:color w:val="auto"/>
        </w:rPr>
        <w:t>. Notwithstanding anything in this Agreement requiring instructions in order to take a particular action, in the absence of a contrary Written Instruction PFPC Trust is authorized to take the following actions without the need for instructions:</w:t>
      </w:r>
    </w:p>
    <w:p>
      <w:pPr>
        <w:spacing w:after="0" w:line="4" w:lineRule="exact"/>
        <w:rPr>
          <w:rFonts w:ascii="Arial" w:cs="Arial" w:eastAsia="Arial" w:hAnsi="Arial"/>
          <w:sz w:val="16"/>
          <w:szCs w:val="16"/>
          <w:color w:val="auto"/>
        </w:rPr>
      </w:pPr>
    </w:p>
    <w:p>
      <w:pPr>
        <w:ind w:left="1026" w:hanging="567"/>
        <w:spacing w:after="0"/>
        <w:tabs>
          <w:tab w:leader="none" w:pos="1026"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Collection of Income and Other Payments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66" w:right="220" w:hanging="440"/>
        <w:spacing w:after="0" w:line="259" w:lineRule="auto"/>
        <w:tabs>
          <w:tab w:leader="none" w:pos="1466" w:val="left"/>
        </w:tabs>
        <w:numPr>
          <w:ilvl w:val="2"/>
          <w:numId w:val="145"/>
        </w:numPr>
        <w:rPr>
          <w:rFonts w:ascii="Arial" w:cs="Arial" w:eastAsia="Arial" w:hAnsi="Arial"/>
          <w:sz w:val="18"/>
          <w:szCs w:val="18"/>
          <w:color w:val="auto"/>
        </w:rPr>
      </w:pPr>
      <w:r>
        <w:rPr>
          <w:rFonts w:ascii="Arial" w:cs="Arial" w:eastAsia="Arial" w:hAnsi="Arial"/>
          <w:sz w:val="18"/>
          <w:szCs w:val="18"/>
          <w:color w:val="auto"/>
        </w:rPr>
        <w:t>collect and receive for the account of the Fund, all income, dividends, distributions, coupons, option premiums, other payments and similar items, included or to be included in the Property, and, in addition, promptly advise the Fund of such receipt and credit such income to the Fund’s custodian account;</w:t>
      </w:r>
    </w:p>
    <w:p>
      <w:pPr>
        <w:spacing w:after="0" w:line="59" w:lineRule="exact"/>
        <w:rPr>
          <w:rFonts w:ascii="Arial" w:cs="Arial" w:eastAsia="Arial" w:hAnsi="Arial"/>
          <w:sz w:val="18"/>
          <w:szCs w:val="18"/>
          <w:color w:val="auto"/>
        </w:rPr>
      </w:pPr>
    </w:p>
    <w:p>
      <w:pPr>
        <w:ind w:left="1466" w:hanging="440"/>
        <w:spacing w:after="0"/>
        <w:tabs>
          <w:tab w:leader="none" w:pos="1466" w:val="left"/>
        </w:tabs>
        <w:numPr>
          <w:ilvl w:val="2"/>
          <w:numId w:val="145"/>
        </w:numPr>
        <w:rPr>
          <w:rFonts w:ascii="Arial" w:cs="Arial" w:eastAsia="Arial" w:hAnsi="Arial"/>
          <w:sz w:val="18"/>
          <w:szCs w:val="18"/>
          <w:color w:val="auto"/>
        </w:rPr>
      </w:pPr>
      <w:r>
        <w:rPr>
          <w:rFonts w:ascii="Arial" w:cs="Arial" w:eastAsia="Arial" w:hAnsi="Arial"/>
          <w:sz w:val="18"/>
          <w:szCs w:val="18"/>
          <w:color w:val="auto"/>
        </w:rPr>
        <w:t>endorse and deposit for collection, in the name of the Fund, checks, drafts, or other orders for the payment of money;</w:t>
      </w:r>
    </w:p>
    <w:p>
      <w:pPr>
        <w:spacing w:after="0" w:line="90" w:lineRule="exact"/>
        <w:rPr>
          <w:rFonts w:ascii="Arial" w:cs="Arial" w:eastAsia="Arial" w:hAnsi="Arial"/>
          <w:sz w:val="18"/>
          <w:szCs w:val="18"/>
          <w:color w:val="auto"/>
        </w:rPr>
      </w:pPr>
    </w:p>
    <w:p>
      <w:pPr>
        <w:ind w:left="1466" w:right="360" w:hanging="440"/>
        <w:spacing w:after="0" w:line="306" w:lineRule="auto"/>
        <w:tabs>
          <w:tab w:leader="none" w:pos="1466" w:val="left"/>
        </w:tabs>
        <w:numPr>
          <w:ilvl w:val="2"/>
          <w:numId w:val="145"/>
        </w:numPr>
        <w:rPr>
          <w:rFonts w:ascii="Arial" w:cs="Arial" w:eastAsia="Arial" w:hAnsi="Arial"/>
          <w:sz w:val="16"/>
          <w:szCs w:val="16"/>
          <w:color w:val="auto"/>
        </w:rPr>
      </w:pPr>
      <w:r>
        <w:rPr>
          <w:rFonts w:ascii="Arial" w:cs="Arial" w:eastAsia="Arial" w:hAnsi="Arial"/>
          <w:sz w:val="16"/>
          <w:szCs w:val="16"/>
          <w:color w:val="auto"/>
        </w:rPr>
        <w:t>receive and hold for the account of the Fund all securities received as a distribution on the Fund’s securities as a result of a stock dividend, share split-up or reorganization, recapitalization, readjustment or other rearrangement or distribution of rights or similar securities issued with respect to any securities belonging to the Fund and held by PFPC Trust hereunder;</w:t>
      </w:r>
    </w:p>
    <w:p>
      <w:pPr>
        <w:spacing w:after="0" w:line="93"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6"/>
          </w:cols>
          <w:pgMar w:left="694" w:top="280" w:right="259" w:bottom="1440" w:gutter="0" w:footer="0" w:header="0"/>
        </w:sectPr>
      </w:pPr>
    </w:p>
    <w:bookmarkStart w:id="190" w:name="page191"/>
    <w:bookmarkEnd w:id="190"/>
    <w:p>
      <w:pPr>
        <w:ind w:left="1007" w:right="80" w:hanging="440"/>
        <w:spacing w:after="0" w:line="268" w:lineRule="auto"/>
        <w:tabs>
          <w:tab w:leader="none" w:pos="1007" w:val="left"/>
        </w:tabs>
        <w:numPr>
          <w:ilvl w:val="1"/>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present for payment and collect the amount payable upon all securities which may mature or be called, redeemed, retired or otherwise become payable (on a mandatory basis) on the date such securities become payable; and</w:t>
      </w:r>
    </w:p>
    <w:p>
      <w:pPr>
        <w:spacing w:after="0" w:line="50" w:lineRule="exact"/>
        <w:rPr>
          <w:rFonts w:ascii="Arial" w:cs="Arial" w:eastAsia="Arial" w:hAnsi="Arial"/>
          <w:sz w:val="18"/>
          <w:szCs w:val="18"/>
          <w:color w:val="auto"/>
        </w:rPr>
      </w:pPr>
    </w:p>
    <w:p>
      <w:pPr>
        <w:ind w:left="1007" w:right="160" w:hanging="440"/>
        <w:spacing w:after="0" w:line="268" w:lineRule="auto"/>
        <w:tabs>
          <w:tab w:leader="none" w:pos="1007"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take any action which may be necessary and proper in connection with the collection and receipt of such income and other payments and the endorsement for collection of checks, drafts, and other negotiable instruments.</w:t>
      </w:r>
    </w:p>
    <w:p>
      <w:pPr>
        <w:spacing w:after="0" w:line="50" w:lineRule="exact"/>
        <w:rPr>
          <w:rFonts w:ascii="Arial" w:cs="Arial" w:eastAsia="Arial" w:hAnsi="Arial"/>
          <w:sz w:val="18"/>
          <w:szCs w:val="18"/>
          <w:color w:val="auto"/>
        </w:rPr>
      </w:pPr>
    </w:p>
    <w:p>
      <w:pPr>
        <w:ind w:left="567" w:hanging="567"/>
        <w:spacing w:after="0"/>
        <w:tabs>
          <w:tab w:leader="none" w:pos="567"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Miscellaneous Transactions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07" w:right="20" w:hanging="440"/>
        <w:spacing w:after="0" w:line="268" w:lineRule="auto"/>
        <w:tabs>
          <w:tab w:leader="none" w:pos="100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PFPC Trust is authorized to deliver or cause to be delivered Property against payment or other consideration or written receipt therefor in the following cases:</w:t>
      </w:r>
    </w:p>
    <w:p>
      <w:pPr>
        <w:spacing w:after="0" w:line="50" w:lineRule="exact"/>
        <w:rPr>
          <w:rFonts w:ascii="Arial" w:cs="Arial" w:eastAsia="Arial" w:hAnsi="Arial"/>
          <w:sz w:val="18"/>
          <w:szCs w:val="18"/>
          <w:color w:val="auto"/>
        </w:rPr>
      </w:pPr>
    </w:p>
    <w:p>
      <w:pPr>
        <w:ind w:left="1467" w:hanging="441"/>
        <w:spacing w:after="0"/>
        <w:tabs>
          <w:tab w:leader="none" w:pos="1467" w:val="left"/>
        </w:tabs>
        <w:numPr>
          <w:ilvl w:val="2"/>
          <w:numId w:val="147"/>
        </w:numPr>
        <w:rPr>
          <w:rFonts w:ascii="Arial" w:cs="Arial" w:eastAsia="Arial" w:hAnsi="Arial"/>
          <w:sz w:val="16"/>
          <w:szCs w:val="16"/>
          <w:color w:val="auto"/>
        </w:rPr>
      </w:pPr>
      <w:r>
        <w:rPr>
          <w:rFonts w:ascii="Arial" w:cs="Arial" w:eastAsia="Arial" w:hAnsi="Arial"/>
          <w:sz w:val="16"/>
          <w:szCs w:val="16"/>
          <w:color w:val="auto"/>
        </w:rPr>
        <w:t>for examination by a broker or dealer selling for the account of the Fund in accordance with street delivery custom;</w:t>
      </w:r>
    </w:p>
    <w:p>
      <w:pPr>
        <w:spacing w:after="0" w:line="113" w:lineRule="exact"/>
        <w:rPr>
          <w:rFonts w:ascii="Arial" w:cs="Arial" w:eastAsia="Arial" w:hAnsi="Arial"/>
          <w:sz w:val="16"/>
          <w:szCs w:val="16"/>
          <w:color w:val="auto"/>
        </w:rPr>
      </w:pPr>
    </w:p>
    <w:p>
      <w:pPr>
        <w:ind w:left="1467" w:hanging="441"/>
        <w:spacing w:after="0"/>
        <w:tabs>
          <w:tab w:leader="none" w:pos="1467" w:val="left"/>
        </w:tabs>
        <w:numPr>
          <w:ilvl w:val="2"/>
          <w:numId w:val="147"/>
        </w:numPr>
        <w:rPr>
          <w:rFonts w:ascii="Arial" w:cs="Arial" w:eastAsia="Arial" w:hAnsi="Arial"/>
          <w:sz w:val="18"/>
          <w:szCs w:val="18"/>
          <w:color w:val="auto"/>
        </w:rPr>
      </w:pPr>
      <w:r>
        <w:rPr>
          <w:rFonts w:ascii="Arial" w:cs="Arial" w:eastAsia="Arial" w:hAnsi="Arial"/>
          <w:sz w:val="18"/>
          <w:szCs w:val="18"/>
          <w:color w:val="auto"/>
        </w:rPr>
        <w:t>for the exchange of interim receipts or temporary securities for definitive securities; and</w:t>
      </w:r>
    </w:p>
    <w:p>
      <w:pPr>
        <w:spacing w:after="0" w:line="90" w:lineRule="exact"/>
        <w:rPr>
          <w:rFonts w:ascii="Arial" w:cs="Arial" w:eastAsia="Arial" w:hAnsi="Arial"/>
          <w:sz w:val="18"/>
          <w:szCs w:val="18"/>
          <w:color w:val="auto"/>
        </w:rPr>
      </w:pPr>
    </w:p>
    <w:p>
      <w:pPr>
        <w:ind w:left="1467" w:hanging="441"/>
        <w:spacing w:after="0" w:line="256" w:lineRule="auto"/>
        <w:tabs>
          <w:tab w:leader="none" w:pos="1467" w:val="left"/>
        </w:tabs>
        <w:numPr>
          <w:ilvl w:val="2"/>
          <w:numId w:val="147"/>
        </w:numPr>
        <w:rPr>
          <w:rFonts w:ascii="Arial" w:cs="Arial" w:eastAsia="Arial" w:hAnsi="Arial"/>
          <w:sz w:val="18"/>
          <w:szCs w:val="18"/>
          <w:color w:val="auto"/>
        </w:rPr>
      </w:pPr>
      <w:r>
        <w:rPr>
          <w:rFonts w:ascii="Arial" w:cs="Arial" w:eastAsia="Arial" w:hAnsi="Arial"/>
          <w:sz w:val="18"/>
          <w:szCs w:val="18"/>
          <w:color w:val="auto"/>
        </w:rPr>
        <w:t>for transfer of securities into the name of the Fund or PFPC Trust or a sub-custodian or a nominee of one of the foregoing, or for exchange of securities for a different number of bonds, certificates, or other evidence, representing the same aggregate face amount or number of units bearing the same interest rate, maturity date and call provisions, if any; provided that, in any such case, the new securities are to be delivered to PFPC Trust.</w:t>
      </w:r>
    </w:p>
    <w:p>
      <w:pPr>
        <w:spacing w:after="0" w:line="62" w:lineRule="exact"/>
        <w:rPr>
          <w:rFonts w:ascii="Arial" w:cs="Arial" w:eastAsia="Arial" w:hAnsi="Arial"/>
          <w:sz w:val="18"/>
          <w:szCs w:val="18"/>
          <w:color w:val="auto"/>
        </w:rPr>
      </w:pPr>
    </w:p>
    <w:p>
      <w:pPr>
        <w:ind w:left="1007" w:hanging="440"/>
        <w:spacing w:after="0"/>
        <w:tabs>
          <w:tab w:leader="none" w:pos="100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PFPC Trust shall:</w:t>
      </w:r>
    </w:p>
    <w:p>
      <w:pPr>
        <w:spacing w:after="0" w:line="90" w:lineRule="exact"/>
        <w:rPr>
          <w:rFonts w:ascii="Arial" w:cs="Arial" w:eastAsia="Arial" w:hAnsi="Arial"/>
          <w:sz w:val="18"/>
          <w:szCs w:val="18"/>
          <w:color w:val="auto"/>
        </w:rPr>
      </w:pPr>
    </w:p>
    <w:p>
      <w:pPr>
        <w:ind w:left="1467" w:right="200" w:hanging="441"/>
        <w:spacing w:after="0" w:line="268" w:lineRule="auto"/>
        <w:tabs>
          <w:tab w:leader="none" w:pos="1467" w:val="left"/>
        </w:tabs>
        <w:numPr>
          <w:ilvl w:val="2"/>
          <w:numId w:val="147"/>
        </w:numPr>
        <w:rPr>
          <w:rFonts w:ascii="Arial" w:cs="Arial" w:eastAsia="Arial" w:hAnsi="Arial"/>
          <w:sz w:val="18"/>
          <w:szCs w:val="18"/>
          <w:color w:val="auto"/>
        </w:rPr>
      </w:pPr>
      <w:r>
        <w:rPr>
          <w:rFonts w:ascii="Arial" w:cs="Arial" w:eastAsia="Arial" w:hAnsi="Arial"/>
          <w:sz w:val="18"/>
          <w:szCs w:val="18"/>
          <w:color w:val="auto"/>
        </w:rPr>
        <w:t>pay all income items held by it which call for payment upon presentation and hold the cash received by it upon such payment for the account of the Fund;</w:t>
      </w:r>
    </w:p>
    <w:p>
      <w:pPr>
        <w:spacing w:after="0" w:line="50" w:lineRule="exact"/>
        <w:rPr>
          <w:rFonts w:ascii="Arial" w:cs="Arial" w:eastAsia="Arial" w:hAnsi="Arial"/>
          <w:sz w:val="18"/>
          <w:szCs w:val="18"/>
          <w:color w:val="auto"/>
        </w:rPr>
      </w:pPr>
    </w:p>
    <w:p>
      <w:pPr>
        <w:ind w:left="1467" w:hanging="441"/>
        <w:spacing w:after="0"/>
        <w:tabs>
          <w:tab w:leader="none" w:pos="1467" w:val="left"/>
        </w:tabs>
        <w:numPr>
          <w:ilvl w:val="2"/>
          <w:numId w:val="147"/>
        </w:numPr>
        <w:rPr>
          <w:rFonts w:ascii="Arial" w:cs="Arial" w:eastAsia="Arial" w:hAnsi="Arial"/>
          <w:sz w:val="18"/>
          <w:szCs w:val="18"/>
          <w:color w:val="auto"/>
        </w:rPr>
      </w:pPr>
      <w:r>
        <w:rPr>
          <w:rFonts w:ascii="Arial" w:cs="Arial" w:eastAsia="Arial" w:hAnsi="Arial"/>
          <w:sz w:val="18"/>
          <w:szCs w:val="18"/>
          <w:color w:val="auto"/>
        </w:rPr>
        <w:t>collect interest and cash dividends received, with notice to the Fund, to the account of the Fund;</w:t>
      </w:r>
    </w:p>
    <w:p>
      <w:pPr>
        <w:spacing w:after="0" w:line="90" w:lineRule="exact"/>
        <w:rPr>
          <w:rFonts w:ascii="Arial" w:cs="Arial" w:eastAsia="Arial" w:hAnsi="Arial"/>
          <w:sz w:val="18"/>
          <w:szCs w:val="18"/>
          <w:color w:val="auto"/>
        </w:rPr>
      </w:pPr>
    </w:p>
    <w:p>
      <w:pPr>
        <w:ind w:left="1467" w:right="240" w:hanging="441"/>
        <w:spacing w:after="0" w:line="268" w:lineRule="auto"/>
        <w:tabs>
          <w:tab w:leader="none" w:pos="1467" w:val="left"/>
        </w:tabs>
        <w:numPr>
          <w:ilvl w:val="2"/>
          <w:numId w:val="147"/>
        </w:numPr>
        <w:rPr>
          <w:rFonts w:ascii="Arial" w:cs="Arial" w:eastAsia="Arial" w:hAnsi="Arial"/>
          <w:sz w:val="18"/>
          <w:szCs w:val="18"/>
          <w:color w:val="auto"/>
        </w:rPr>
      </w:pPr>
      <w:r>
        <w:rPr>
          <w:rFonts w:ascii="Arial" w:cs="Arial" w:eastAsia="Arial" w:hAnsi="Arial"/>
          <w:sz w:val="18"/>
          <w:szCs w:val="18"/>
          <w:color w:val="auto"/>
        </w:rPr>
        <w:t>hold for the account of the Fund all stock dividends, rights and similar securities issued with respect to any securities held by PFPC Trust hereunder; and</w:t>
      </w:r>
    </w:p>
    <w:p>
      <w:pPr>
        <w:spacing w:after="0" w:line="118"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487"/>
          </w:cols>
          <w:pgMar w:left="1153" w:top="280" w:right="259" w:bottom="1440" w:gutter="0" w:footer="0" w:header="0"/>
        </w:sectPr>
      </w:pPr>
    </w:p>
    <w:bookmarkStart w:id="191" w:name="page192"/>
    <w:bookmarkEnd w:id="191"/>
    <w:p>
      <w:pPr>
        <w:ind w:left="1926" w:hanging="441"/>
        <w:spacing w:after="0" w:line="256" w:lineRule="auto"/>
        <w:tabs>
          <w:tab w:leader="none" w:pos="1926" w:val="left"/>
        </w:tabs>
        <w:numPr>
          <w:ilvl w:val="3"/>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receipt of such documentation and information as PFPC Trust may request, execute as agent on behalf of the Fund all necessary ownership certificates required by a national governmental taxing authority or under the laws of any U.S. state now or hereafter in effect, inserting the Fund’s name on such certificate as the owner of the securities covered thereby, to the extent it may lawfully do so.</w:t>
      </w:r>
    </w:p>
    <w:p>
      <w:pPr>
        <w:spacing w:after="0" w:line="62" w:lineRule="exact"/>
        <w:rPr>
          <w:rFonts w:ascii="Arial" w:cs="Arial" w:eastAsia="Arial" w:hAnsi="Arial"/>
          <w:sz w:val="18"/>
          <w:szCs w:val="18"/>
          <w:color w:val="auto"/>
        </w:rPr>
      </w:pPr>
    </w:p>
    <w:p>
      <w:pPr>
        <w:ind w:left="1026" w:hanging="567"/>
        <w:spacing w:after="0"/>
        <w:tabs>
          <w:tab w:leader="none" w:pos="1026"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Other Matters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66" w:right="140" w:hanging="440"/>
        <w:spacing w:after="0" w:line="256" w:lineRule="auto"/>
        <w:tabs>
          <w:tab w:leader="none" w:pos="1466" w:val="left"/>
        </w:tabs>
        <w:numPr>
          <w:ilvl w:val="2"/>
          <w:numId w:val="149"/>
        </w:numPr>
        <w:rPr>
          <w:rFonts w:ascii="Arial" w:cs="Arial" w:eastAsia="Arial" w:hAnsi="Arial"/>
          <w:sz w:val="18"/>
          <w:szCs w:val="18"/>
          <w:color w:val="auto"/>
        </w:rPr>
      </w:pPr>
      <w:r>
        <w:rPr>
          <w:rFonts w:ascii="Arial" w:cs="Arial" w:eastAsia="Arial" w:hAnsi="Arial"/>
          <w:sz w:val="18"/>
          <w:szCs w:val="18"/>
          <w:color w:val="auto"/>
        </w:rPr>
        <w:t>Subject to receipt of such documentation and information as PFPC Trust may request, PFPC Trust will, in such jurisdictions as PFPC Trust may agree from time to time, seek to reclaim or obtain a reduction with respect to any withholdings or other taxes relating to assets maintained hereunder (provided that PFPC Trust will not be liable for failure to obtain any particular relief in a particular jurisdiction); and</w:t>
      </w:r>
    </w:p>
    <w:p>
      <w:pPr>
        <w:spacing w:after="0" w:line="62" w:lineRule="exact"/>
        <w:rPr>
          <w:rFonts w:ascii="Arial" w:cs="Arial" w:eastAsia="Arial" w:hAnsi="Arial"/>
          <w:sz w:val="18"/>
          <w:szCs w:val="18"/>
          <w:color w:val="auto"/>
        </w:rPr>
      </w:pPr>
    </w:p>
    <w:p>
      <w:pPr>
        <w:ind w:left="1466" w:right="280" w:hanging="440"/>
        <w:spacing w:after="0" w:line="268" w:lineRule="auto"/>
        <w:tabs>
          <w:tab w:leader="none" w:pos="1466" w:val="left"/>
        </w:tabs>
        <w:numPr>
          <w:ilvl w:val="2"/>
          <w:numId w:val="149"/>
        </w:numPr>
        <w:rPr>
          <w:rFonts w:ascii="Arial" w:cs="Arial" w:eastAsia="Arial" w:hAnsi="Arial"/>
          <w:sz w:val="18"/>
          <w:szCs w:val="18"/>
          <w:color w:val="auto"/>
        </w:rPr>
      </w:pPr>
      <w:r>
        <w:rPr>
          <w:rFonts w:ascii="Arial" w:cs="Arial" w:eastAsia="Arial" w:hAnsi="Arial"/>
          <w:sz w:val="18"/>
          <w:szCs w:val="18"/>
          <w:color w:val="auto"/>
        </w:rPr>
        <w:t>PFPC Trust is authorized to deduct or withhold any sum in respect of tax which PFPC Trust considers is required to be deducted or withheld “at source” by any relevant law or practice.</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Segregated Accounts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26" w:right="380" w:hanging="567"/>
        <w:spacing w:after="0" w:line="268" w:lineRule="auto"/>
        <w:tabs>
          <w:tab w:leader="none" w:pos="1026" w:val="left"/>
        </w:tabs>
        <w:numPr>
          <w:ilvl w:val="1"/>
          <w:numId w:val="150"/>
        </w:numPr>
        <w:rPr>
          <w:rFonts w:ascii="Arial" w:cs="Arial" w:eastAsia="Arial" w:hAnsi="Arial"/>
          <w:sz w:val="18"/>
          <w:szCs w:val="18"/>
          <w:color w:val="auto"/>
        </w:rPr>
      </w:pPr>
      <w:r>
        <w:rPr>
          <w:rFonts w:ascii="Arial" w:cs="Arial" w:eastAsia="Arial" w:hAnsi="Arial"/>
          <w:sz w:val="18"/>
          <w:szCs w:val="18"/>
          <w:color w:val="auto"/>
        </w:rPr>
        <w:t>PFPC Trust shall establish and maintain segregated accounts on its records for and on behalf of the Fund. Such accounts may be used to transfer cash and securities, including securities in a Book-Entry System or other depository:</w:t>
      </w:r>
    </w:p>
    <w:p>
      <w:pPr>
        <w:spacing w:after="0" w:line="50" w:lineRule="exact"/>
        <w:rPr>
          <w:rFonts w:ascii="Arial" w:cs="Arial" w:eastAsia="Arial" w:hAnsi="Arial"/>
          <w:sz w:val="18"/>
          <w:szCs w:val="18"/>
          <w:color w:val="auto"/>
        </w:rPr>
      </w:pPr>
    </w:p>
    <w:p>
      <w:pPr>
        <w:ind w:left="1466" w:right="280" w:hanging="440"/>
        <w:spacing w:after="0" w:line="259" w:lineRule="auto"/>
        <w:tabs>
          <w:tab w:leader="none" w:pos="1466" w:val="left"/>
        </w:tabs>
        <w:numPr>
          <w:ilvl w:val="2"/>
          <w:numId w:val="150"/>
        </w:numPr>
        <w:rPr>
          <w:rFonts w:ascii="Arial" w:cs="Arial" w:eastAsia="Arial" w:hAnsi="Arial"/>
          <w:sz w:val="18"/>
          <w:szCs w:val="18"/>
          <w:color w:val="auto"/>
        </w:rPr>
      </w:pPr>
      <w:r>
        <w:rPr>
          <w:rFonts w:ascii="Arial" w:cs="Arial" w:eastAsia="Arial" w:hAnsi="Arial"/>
          <w:sz w:val="18"/>
          <w:szCs w:val="18"/>
          <w:color w:val="auto"/>
        </w:rPr>
        <w:t>for the purposes of compliance by the Fund with the procedures required by a securities or option exchange, providing such procedures comply with the 1940 Act and any releases of the SEC relating to the maintenance of segregated accounts by registered investment companies; and</w:t>
      </w:r>
    </w:p>
    <w:p>
      <w:pPr>
        <w:spacing w:after="0" w:line="59" w:lineRule="exact"/>
        <w:rPr>
          <w:rFonts w:ascii="Arial" w:cs="Arial" w:eastAsia="Arial" w:hAnsi="Arial"/>
          <w:sz w:val="18"/>
          <w:szCs w:val="18"/>
          <w:color w:val="auto"/>
        </w:rPr>
      </w:pPr>
    </w:p>
    <w:p>
      <w:pPr>
        <w:ind w:left="1466" w:hanging="440"/>
        <w:spacing w:after="0"/>
        <w:tabs>
          <w:tab w:leader="none" w:pos="1466" w:val="left"/>
        </w:tabs>
        <w:numPr>
          <w:ilvl w:val="2"/>
          <w:numId w:val="150"/>
        </w:numPr>
        <w:rPr>
          <w:rFonts w:ascii="Arial" w:cs="Arial" w:eastAsia="Arial" w:hAnsi="Arial"/>
          <w:sz w:val="18"/>
          <w:szCs w:val="18"/>
          <w:color w:val="auto"/>
        </w:rPr>
      </w:pPr>
      <w:r>
        <w:rPr>
          <w:rFonts w:ascii="Arial" w:cs="Arial" w:eastAsia="Arial" w:hAnsi="Arial"/>
          <w:sz w:val="18"/>
          <w:szCs w:val="18"/>
          <w:color w:val="auto"/>
        </w:rPr>
        <w:t>upon receipt of Written Instructions, for other purposes.</w:t>
      </w:r>
    </w:p>
    <w:p>
      <w:pPr>
        <w:spacing w:after="0" w:line="90" w:lineRule="exact"/>
        <w:rPr>
          <w:rFonts w:ascii="Arial" w:cs="Arial" w:eastAsia="Arial" w:hAnsi="Arial"/>
          <w:sz w:val="18"/>
          <w:szCs w:val="18"/>
          <w:color w:val="auto"/>
        </w:rPr>
      </w:pPr>
    </w:p>
    <w:p>
      <w:pPr>
        <w:ind w:left="1026" w:right="180" w:hanging="567"/>
        <w:spacing w:after="0" w:line="256" w:lineRule="auto"/>
        <w:tabs>
          <w:tab w:leader="none" w:pos="1026" w:val="left"/>
        </w:tabs>
        <w:numPr>
          <w:ilvl w:val="1"/>
          <w:numId w:val="150"/>
        </w:numPr>
        <w:rPr>
          <w:rFonts w:ascii="Arial" w:cs="Arial" w:eastAsia="Arial" w:hAnsi="Arial"/>
          <w:sz w:val="18"/>
          <w:szCs w:val="18"/>
          <w:color w:val="auto"/>
        </w:rPr>
      </w:pPr>
      <w:r>
        <w:rPr>
          <w:rFonts w:ascii="Arial" w:cs="Arial" w:eastAsia="Arial" w:hAnsi="Arial"/>
          <w:sz w:val="18"/>
          <w:szCs w:val="18"/>
          <w:color w:val="auto"/>
        </w:rPr>
        <w:t>PFPC Trust shall arrange for the establishment of IRA custodian accounts for such shareholders holding Shares through IRA accounts, in accordance with the Fund’s prospectuses, the Internal Revenue Code of 1986, as amended (including regulations promulgated thereunder), and with such other procedures as are mutually agreed upon from time to time by and among the Fund, PFPC Trust and the Fund’s transfer agent.</w:t>
      </w:r>
    </w:p>
    <w:p>
      <w:pPr>
        <w:spacing w:after="0" w:line="13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6"/>
          </w:cols>
          <w:pgMar w:left="694" w:top="280" w:right="239" w:bottom="1440" w:gutter="0" w:footer="0" w:header="0"/>
        </w:sectPr>
      </w:pPr>
    </w:p>
    <w:bookmarkStart w:id="192" w:name="page193"/>
    <w:bookmarkEnd w:id="192"/>
    <w:p>
      <w:pPr>
        <w:ind w:left="446" w:hanging="446"/>
        <w:spacing w:after="0"/>
        <w:tabs>
          <w:tab w:leader="none" w:pos="446"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Purchases of Securities</w:t>
      </w:r>
      <w:r>
        <w:rPr>
          <w:rFonts w:ascii="Arial" w:cs="Arial" w:eastAsia="Arial" w:hAnsi="Arial"/>
          <w:sz w:val="16"/>
          <w:szCs w:val="16"/>
          <w:color w:val="auto"/>
        </w:rPr>
        <w:t>. PFPC Trust shall settle purchased securities upon receipt of Oral Instructions or Written Instructions that specify:</w:t>
      </w:r>
    </w:p>
    <w:p>
      <w:pPr>
        <w:spacing w:after="0" w:line="113" w:lineRule="exact"/>
        <w:rPr>
          <w:rFonts w:ascii="Arial" w:cs="Arial" w:eastAsia="Arial" w:hAnsi="Arial"/>
          <w:sz w:val="16"/>
          <w:szCs w:val="16"/>
          <w:color w:val="auto"/>
        </w:rPr>
      </w:pPr>
    </w:p>
    <w:p>
      <w:pPr>
        <w:ind w:left="1026" w:hanging="567"/>
        <w:spacing w:after="0"/>
        <w:tabs>
          <w:tab w:leader="none" w:pos="102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name of the issuer and the title of the securities, including CUSIP number if applicable;</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number of shares or the principal amount purchased and accrued interest, if any;</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date of purchase and settlement;</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purchase price per unit;</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total amount payable upon such purchase; and</w:t>
      </w:r>
    </w:p>
    <w:p>
      <w:pPr>
        <w:spacing w:after="0" w:line="90" w:lineRule="exact"/>
        <w:rPr>
          <w:rFonts w:ascii="Arial" w:cs="Arial" w:eastAsia="Arial" w:hAnsi="Arial"/>
          <w:sz w:val="18"/>
          <w:szCs w:val="18"/>
          <w:color w:val="auto"/>
        </w:rPr>
      </w:pPr>
    </w:p>
    <w:p>
      <w:pPr>
        <w:ind w:left="1026" w:hanging="567"/>
        <w:spacing w:after="0" w:line="298" w:lineRule="auto"/>
        <w:tabs>
          <w:tab w:leader="none" w:pos="1026"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the name of the person from whom or the broker through whom the purchase was made. PFPC Trust shall upon receipt of securities purchased by or for the Fund (or otherwise in accordance with standard market practice) pay out of the monies held for the account of the Fund the total amount payable to the person from whom or the broker through whom the purchase was made, provided that the same conforms to the total amount payable as set forth in such Oral Instructions or Written Instructions.</w:t>
      </w:r>
    </w:p>
    <w:p>
      <w:pPr>
        <w:spacing w:after="0" w:line="31" w:lineRule="exact"/>
        <w:rPr>
          <w:rFonts w:ascii="Arial" w:cs="Arial" w:eastAsia="Arial" w:hAnsi="Arial"/>
          <w:sz w:val="16"/>
          <w:szCs w:val="16"/>
          <w:color w:val="auto"/>
        </w:rPr>
      </w:pPr>
    </w:p>
    <w:p>
      <w:pPr>
        <w:ind w:left="446" w:hanging="446"/>
        <w:spacing w:after="0"/>
        <w:tabs>
          <w:tab w:leader="none" w:pos="446"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Sales of Securities</w:t>
      </w:r>
      <w:r>
        <w:rPr>
          <w:rFonts w:ascii="Arial" w:cs="Arial" w:eastAsia="Arial" w:hAnsi="Arial"/>
          <w:sz w:val="18"/>
          <w:szCs w:val="18"/>
          <w:color w:val="auto"/>
        </w:rPr>
        <w:t>. PFPC Trust shall settle sold securities upon receipt of Oral Instructions or Written Instructions that specify:</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name of the issuer and the title of the security, including CUSIP number if applicable;</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number of shares or principal amount sold, and accrued interest, if any;</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date of trade and settlement;</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sale price per unit;</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total amount payable to the Fund upon such sale;</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name of the broker through whom or the person to whom the sale was made; and</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location to which the security must be delivered and delivery deadline, if any.</w:t>
      </w:r>
    </w:p>
    <w:p>
      <w:pPr>
        <w:spacing w:after="0" w:line="158" w:lineRule="exact"/>
        <w:rPr>
          <w:sz w:val="20"/>
          <w:szCs w:val="20"/>
          <w:color w:val="auto"/>
        </w:rPr>
      </w:pPr>
    </w:p>
    <w:p>
      <w:pPr>
        <w:jc w:val="center"/>
        <w:ind w:right="154"/>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686"/>
          </w:cols>
          <w:pgMar w:left="694" w:top="280" w:right="519" w:bottom="1440" w:gutter="0" w:footer="0" w:header="0"/>
        </w:sectPr>
      </w:pPr>
    </w:p>
    <w:bookmarkStart w:id="193" w:name="page194"/>
    <w:bookmarkEnd w:id="193"/>
    <w:p>
      <w:pPr>
        <w:ind w:right="2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PFPC Trust shall deliver the securities upon receipt of the total amount payable to the Fund upon such sale, provided that the total amount payable is the same as was set forth in the Oral Instructions or Written Instructions. Notwithstanding anything to the contrary in this Agreement, PFPC Trust may accept payment in such form as is consistent with standard industry practice and may deliver assets and arrange for payment in accordance with standard market practice.</w:t>
      </w:r>
    </w:p>
    <w:p>
      <w:pPr>
        <w:spacing w:after="0" w:line="62" w:lineRule="exact"/>
        <w:rPr>
          <w:sz w:val="20"/>
          <w:szCs w:val="20"/>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Reports; Proxy Materials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PFPC Trust shall furnish to the Fund the following reports: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152"/>
        </w:numPr>
        <w:rPr>
          <w:rFonts w:ascii="Arial" w:cs="Arial" w:eastAsia="Arial" w:hAnsi="Arial"/>
          <w:sz w:val="18"/>
          <w:szCs w:val="18"/>
          <w:color w:val="auto"/>
        </w:rPr>
      </w:pPr>
      <w:r>
        <w:rPr>
          <w:rFonts w:ascii="Arial" w:cs="Arial" w:eastAsia="Arial" w:hAnsi="Arial"/>
          <w:sz w:val="18"/>
          <w:szCs w:val="18"/>
          <w:color w:val="auto"/>
        </w:rPr>
        <w:t>such periodic and special reports as the Fund may reasonably request;</w:t>
      </w:r>
    </w:p>
    <w:p>
      <w:pPr>
        <w:spacing w:after="0" w:line="90" w:lineRule="exact"/>
        <w:rPr>
          <w:rFonts w:ascii="Arial" w:cs="Arial" w:eastAsia="Arial" w:hAnsi="Arial"/>
          <w:sz w:val="18"/>
          <w:szCs w:val="18"/>
          <w:color w:val="auto"/>
        </w:rPr>
      </w:pPr>
    </w:p>
    <w:p>
      <w:pPr>
        <w:ind w:left="1920" w:right="160" w:hanging="440"/>
        <w:spacing w:after="0" w:line="259" w:lineRule="auto"/>
        <w:tabs>
          <w:tab w:leader="none" w:pos="1920" w:val="left"/>
        </w:tabs>
        <w:numPr>
          <w:ilvl w:val="2"/>
          <w:numId w:val="152"/>
        </w:numPr>
        <w:rPr>
          <w:rFonts w:ascii="Arial" w:cs="Arial" w:eastAsia="Arial" w:hAnsi="Arial"/>
          <w:sz w:val="18"/>
          <w:szCs w:val="18"/>
          <w:color w:val="auto"/>
        </w:rPr>
      </w:pPr>
      <w:r>
        <w:rPr>
          <w:rFonts w:ascii="Arial" w:cs="Arial" w:eastAsia="Arial" w:hAnsi="Arial"/>
          <w:sz w:val="18"/>
          <w:szCs w:val="18"/>
          <w:color w:val="auto"/>
        </w:rPr>
        <w:t>a monthly statement summarizing all transactions and entries for the account of the Fund, listing each portfolio security belonging to the Fund (with the corresponding security identification number) held at the end of such month and stating the cash balance of the Account at the end of such month.</w:t>
      </w:r>
    </w:p>
    <w:p>
      <w:pPr>
        <w:spacing w:after="0" w:line="59" w:lineRule="exact"/>
        <w:rPr>
          <w:rFonts w:ascii="Arial" w:cs="Arial" w:eastAsia="Arial" w:hAnsi="Arial"/>
          <w:sz w:val="18"/>
          <w:szCs w:val="18"/>
          <w:color w:val="auto"/>
        </w:rPr>
      </w:pPr>
    </w:p>
    <w:p>
      <w:pPr>
        <w:ind w:left="1920" w:hanging="440"/>
        <w:spacing w:after="0"/>
        <w:tabs>
          <w:tab w:leader="none" w:pos="1920" w:val="left"/>
        </w:tabs>
        <w:numPr>
          <w:ilvl w:val="2"/>
          <w:numId w:val="152"/>
        </w:numPr>
        <w:rPr>
          <w:rFonts w:ascii="Arial" w:cs="Arial" w:eastAsia="Arial" w:hAnsi="Arial"/>
          <w:sz w:val="18"/>
          <w:szCs w:val="18"/>
          <w:color w:val="auto"/>
        </w:rPr>
      </w:pPr>
      <w:r>
        <w:rPr>
          <w:rFonts w:ascii="Arial" w:cs="Arial" w:eastAsia="Arial" w:hAnsi="Arial"/>
          <w:sz w:val="18"/>
          <w:szCs w:val="18"/>
          <w:color w:val="auto"/>
        </w:rPr>
        <w:t>the reports required to be furnished to the Fund pursuant to Rule 17f-4 of the 1940 Act; and</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152"/>
        </w:numPr>
        <w:rPr>
          <w:rFonts w:ascii="Arial" w:cs="Arial" w:eastAsia="Arial" w:hAnsi="Arial"/>
          <w:sz w:val="18"/>
          <w:szCs w:val="18"/>
          <w:color w:val="auto"/>
        </w:rPr>
      </w:pPr>
      <w:r>
        <w:rPr>
          <w:rFonts w:ascii="Arial" w:cs="Arial" w:eastAsia="Arial" w:hAnsi="Arial"/>
          <w:sz w:val="18"/>
          <w:szCs w:val="18"/>
          <w:color w:val="auto"/>
        </w:rPr>
        <w:t>such other information as may be agreed upon from time to time between the Fund and PFPC Trust.</w:t>
      </w:r>
    </w:p>
    <w:p>
      <w:pPr>
        <w:spacing w:after="0" w:line="90" w:lineRule="exact"/>
        <w:rPr>
          <w:rFonts w:ascii="Arial" w:cs="Arial" w:eastAsia="Arial" w:hAnsi="Arial"/>
          <w:sz w:val="18"/>
          <w:szCs w:val="18"/>
          <w:color w:val="auto"/>
        </w:rPr>
      </w:pPr>
    </w:p>
    <w:p>
      <w:pPr>
        <w:ind w:left="1480" w:hanging="567"/>
        <w:spacing w:after="0" w:line="256" w:lineRule="auto"/>
        <w:tabs>
          <w:tab w:leader="none" w:pos="14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PFPC Trust shall transmit promptly to the Fund any proxy statement, proxy material, notice of a call or conversion or similar communication received by it as custodian of the Property. PFPC Trust shall be under no other obligation to inform the Fund as to such actions or events. For clarification, upon termination of this Agreement PFPC Trust shall have no responsibility to transmit such material or to inform the Fund or any other person of such actions or events.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194" w:name="page195"/>
    <w:bookmarkEnd w:id="194"/>
    <w:p>
      <w:pPr>
        <w:ind w:left="446" w:hanging="446"/>
        <w:spacing w:after="0" w:line="286" w:lineRule="auto"/>
        <w:tabs>
          <w:tab w:leader="none" w:pos="446"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Crediting of Accounts</w:t>
      </w:r>
      <w:r>
        <w:rPr>
          <w:rFonts w:ascii="Arial" w:cs="Arial" w:eastAsia="Arial" w:hAnsi="Arial"/>
          <w:sz w:val="16"/>
          <w:szCs w:val="16"/>
          <w:color w:val="auto"/>
        </w:rPr>
        <w:t>. PFPC Trust may in its sole discretion credit an Account with respect to income, dividends, distributions, coupons, option premiums, other payments or similar items prior to PFPC Trust’s actual receipt thereof, and in addition PFPC Trust may in its sole discretion credit or debit the assets in an Account on a contractual settlement date with respect to any sale, exchange or purchase applicable to the Account; provided that nothing herein or otherwise shall require PFPC Trust to make any advances or to credit any amounts until PFPC Trust’s actual receipt thereof. If PFPC Trust credits an Account with respect to (a) income, dividends, distributions, coupons, option premiums, other payments or similar items on a contractual payment date or otherwise in advance of PFPC Trust’s actual receipt of the amount due, (b) the proceeds of any sale or other disposition of assets on the contractual settlement date or otherwise in advance of PFPC Trust’s actual receipt of the amount due or (c) provisional crediting of any amounts due, and (i) PFPC Trust is subsequently unable to collect full and final payment for the amounts so credited within a reasonable time period using reasonable efforts or (ii) pursuant to standard industry practice, law or regulation PFPC Trust is required to repay to a third party such amounts so credited, or if any Property has been incorrectly credited, PFPC Trust shall have the absolute right in its sole discretion without demand to reverse any such credit or payment, to debit or deduct the amount of such credit or payment from the Account, and to otherwise pursue recovery of any such amounts so credited from the Fund. The Fund hereby grants to PFPC Trust and to each sub-custodian utilized by PFPC Trust in connection with providing services to the Fund a first priority contractual possessory security interest in and a right of setoff against the</w:t>
      </w:r>
    </w:p>
    <w:p>
      <w:pPr>
        <w:spacing w:after="0" w:line="10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6"/>
          </w:cols>
          <w:pgMar w:left="694" w:top="280" w:right="239" w:bottom="1440" w:gutter="0" w:footer="0" w:header="0"/>
        </w:sectPr>
      </w:pPr>
    </w:p>
    <w:bookmarkStart w:id="195" w:name="page196"/>
    <w:bookmarkEnd w:id="195"/>
    <w:p>
      <w:pPr>
        <w:ind w:left="466" w:right="1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assets maintained in an Account in the amount necessary to secure the return and payment to PFPC Trust and to each such sub-custodian of any advance or credit made by PFPC Trust and/or by such sub-custodian (including charges related thereto) to such Account. Notwithstanding anything in this Agreement to the contrary, PFPC Trust shall be entitled to assign any rights it has under this subsection (m) to any sub-custodian utilized by PFPC Trust in connection with providing services to the Fund which sub-custodian makes any credits or advances with respect to the Fund.</w:t>
      </w:r>
    </w:p>
    <w:p>
      <w:pPr>
        <w:spacing w:after="0" w:line="17" w:lineRule="exact"/>
        <w:rPr>
          <w:sz w:val="20"/>
          <w:szCs w:val="20"/>
          <w:color w:val="auto"/>
        </w:rPr>
      </w:pPr>
    </w:p>
    <w:p>
      <w:pPr>
        <w:ind w:left="446" w:hanging="446"/>
        <w:spacing w:after="0" w:line="314" w:lineRule="auto"/>
        <w:tabs>
          <w:tab w:leader="none" w:pos="446" w:val="left"/>
        </w:tabs>
        <w:numPr>
          <w:ilvl w:val="0"/>
          <w:numId w:val="154"/>
        </w:numPr>
        <w:rPr>
          <w:rFonts w:ascii="Arial" w:cs="Arial" w:eastAsia="Arial" w:hAnsi="Arial"/>
          <w:sz w:val="15"/>
          <w:szCs w:val="15"/>
          <w:color w:val="auto"/>
        </w:rPr>
      </w:pPr>
      <w:r>
        <w:rPr>
          <w:rFonts w:ascii="Arial" w:cs="Arial" w:eastAsia="Arial" w:hAnsi="Arial"/>
          <w:sz w:val="15"/>
          <w:szCs w:val="15"/>
          <w:u w:val="single" w:color="auto"/>
          <w:color w:val="auto"/>
        </w:rPr>
        <w:t>Collections</w:t>
      </w:r>
      <w:r>
        <w:rPr>
          <w:rFonts w:ascii="Arial" w:cs="Arial" w:eastAsia="Arial" w:hAnsi="Arial"/>
          <w:sz w:val="15"/>
          <w:szCs w:val="15"/>
          <w:color w:val="auto"/>
        </w:rPr>
        <w:t>. All collections of monies or other property in respect, or which are to become part, of the Property (but not the safekeeping thereof upon receipt by PFPC Trust) shall be at the sole risk of the Fund. If payment is not received by PFPC Trust within a reasonable time after proper demands have been made, PFPC Trust shall notify the Fund in writing, including copies of all demand letters, any written responses and memoranda of all oral responses and shall await instructions from the Fund. PFPC Trust shall not be obliged to take legal action for collection unless and until reasonably indemnified to its satisfaction. PFPC Trust shall also notify the Fund as soon as reasonably practicable whenever income due on securities is not collected in due course and shall provide the Fund with periodic status reports of such income collected after a reasonable time.</w:t>
      </w:r>
    </w:p>
    <w:p>
      <w:pPr>
        <w:spacing w:after="0" w:line="23" w:lineRule="exact"/>
        <w:rPr>
          <w:rFonts w:ascii="Arial" w:cs="Arial" w:eastAsia="Arial" w:hAnsi="Arial"/>
          <w:sz w:val="15"/>
          <w:szCs w:val="15"/>
          <w:color w:val="auto"/>
        </w:rPr>
      </w:pPr>
    </w:p>
    <w:p>
      <w:pPr>
        <w:jc w:val="both"/>
        <w:ind w:left="446" w:right="220" w:hanging="446"/>
        <w:spacing w:after="0" w:line="259" w:lineRule="auto"/>
        <w:tabs>
          <w:tab w:leader="none" w:pos="446"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Excess Cash Sweep</w:t>
      </w:r>
      <w:r>
        <w:rPr>
          <w:rFonts w:ascii="Arial" w:cs="Arial" w:eastAsia="Arial" w:hAnsi="Arial"/>
          <w:sz w:val="18"/>
          <w:szCs w:val="18"/>
          <w:color w:val="auto"/>
        </w:rPr>
        <w:t>. PFPC Trust will, consistent with applicable law, sweep any net excess cash balances daily into an investment vehicle or other instrument designated in Written Instructions, so long as the investment vehicle or instrument is acceptable to PFPC Trust, subject to a fee, paid to PFPC Trust for such service,</w:t>
      </w:r>
    </w:p>
    <w:p>
      <w:pPr>
        <w:spacing w:after="0" w:line="12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6"/>
          </w:cols>
          <w:pgMar w:left="694" w:top="280" w:right="259" w:bottom="1440" w:gutter="0" w:footer="0" w:header="0"/>
        </w:sectPr>
      </w:pPr>
    </w:p>
    <w:bookmarkStart w:id="196" w:name="page197"/>
    <w:bookmarkEnd w:id="196"/>
    <w:p>
      <w:pPr>
        <w:ind w:left="912"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be agreed between the parties. Such investment vehicle or instrument may be offered by an affiliate of PFPC Trust or by a PFPC Trust client and PFPC Trust may receive compensation therefrom.</w:t>
      </w:r>
    </w:p>
    <w:p>
      <w:pPr>
        <w:spacing w:after="0" w:line="51" w:lineRule="exact"/>
        <w:rPr>
          <w:sz w:val="20"/>
          <w:szCs w:val="20"/>
          <w:color w:val="auto"/>
        </w:rPr>
      </w:pPr>
    </w:p>
    <w:p>
      <w:pPr>
        <w:ind w:left="892" w:right="220" w:hanging="446"/>
        <w:spacing w:after="0" w:line="259" w:lineRule="auto"/>
        <w:tabs>
          <w:tab w:leader="none" w:pos="892"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Foreign Exchange</w:t>
      </w:r>
      <w:r>
        <w:rPr>
          <w:rFonts w:ascii="Arial" w:cs="Arial" w:eastAsia="Arial" w:hAnsi="Arial"/>
          <w:sz w:val="18"/>
          <w:szCs w:val="18"/>
          <w:color w:val="auto"/>
        </w:rPr>
        <w:t>. PFPC Trust, its sub-custodians and the respective affiliates of such entities (together, “Affiliated Entities”) jointly or separately may act as principal and/or agent for foreign exchange (“FX”) transactions for the Fund, and any of the Affiliated Entities may arrange FX transactions for the Fund with third parties that act as principal or agent.</w:t>
      </w:r>
    </w:p>
    <w:p>
      <w:pPr>
        <w:spacing w:after="0" w:line="59" w:lineRule="exact"/>
        <w:rPr>
          <w:sz w:val="20"/>
          <w:szCs w:val="20"/>
          <w:color w:val="auto"/>
        </w:rPr>
      </w:pPr>
    </w:p>
    <w:p>
      <w:pPr>
        <w:ind w:left="912" w:right="120"/>
        <w:spacing w:after="0" w:line="268" w:lineRule="auto"/>
        <w:rPr>
          <w:sz w:val="20"/>
          <w:szCs w:val="20"/>
          <w:color w:val="auto"/>
        </w:rPr>
      </w:pPr>
      <w:r>
        <w:rPr>
          <w:rFonts w:ascii="Arial" w:cs="Arial" w:eastAsia="Arial" w:hAnsi="Arial"/>
          <w:sz w:val="18"/>
          <w:szCs w:val="18"/>
          <w:color w:val="auto"/>
        </w:rPr>
        <w:t>Affiliated Entities and third parties may receive fees and other compensation in connection with FX transactions for the Fund, and PFPC Trust may receive from such entities a portion of their fees or other compensation.</w:t>
      </w:r>
    </w:p>
    <w:p>
      <w:pPr>
        <w:spacing w:after="0" w:line="51" w:lineRule="exact"/>
        <w:rPr>
          <w:sz w:val="20"/>
          <w:szCs w:val="20"/>
          <w:color w:val="auto"/>
        </w:rPr>
      </w:pPr>
    </w:p>
    <w:p>
      <w:pPr>
        <w:ind w:left="912" w:right="560"/>
        <w:spacing w:after="0" w:line="259" w:lineRule="auto"/>
        <w:rPr>
          <w:sz w:val="20"/>
          <w:szCs w:val="20"/>
          <w:color w:val="auto"/>
        </w:rPr>
      </w:pPr>
      <w:r>
        <w:rPr>
          <w:rFonts w:ascii="Arial" w:cs="Arial" w:eastAsia="Arial" w:hAnsi="Arial"/>
          <w:sz w:val="18"/>
          <w:szCs w:val="18"/>
          <w:color w:val="auto"/>
        </w:rPr>
        <w:t>Unless PFPC Trust itself is the principal for a FX transaction, PFPC Trust will not be responsible and shall have no liability for the actions or omissions of any principal (including any other Affiliated Entity) to any FX transaction for the Fund nor any responsibility to monitor the commercial terms of any such FX transactions.</w:t>
      </w:r>
    </w:p>
    <w:p>
      <w:pPr>
        <w:spacing w:after="0" w:line="175" w:lineRule="exact"/>
        <w:rPr>
          <w:sz w:val="20"/>
          <w:szCs w:val="20"/>
          <w:color w:val="auto"/>
        </w:rPr>
      </w:pPr>
    </w:p>
    <w:p>
      <w:pPr>
        <w:ind w:left="452" w:hanging="452"/>
        <w:spacing w:after="0" w:line="301" w:lineRule="auto"/>
        <w:tabs>
          <w:tab w:leader="none" w:pos="452" w:val="left"/>
        </w:tabs>
        <w:numPr>
          <w:ilvl w:val="0"/>
          <w:numId w:val="15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Duration and Termination</w:t>
      </w:r>
      <w:r>
        <w:rPr>
          <w:rFonts w:ascii="Arial" w:cs="Arial" w:eastAsia="Arial" w:hAnsi="Arial"/>
          <w:sz w:val="16"/>
          <w:szCs w:val="16"/>
          <w:color w:val="auto"/>
        </w:rPr>
        <w:t>. This Agreement shall continue until terminated by the Fund or PFPC Trust on sixty (60) days’ prior written notice to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party. In the event this Agreement is terminated (pending appointment of a successor to PFPC Trust or vote of the shareholders of the Fund to dissolve or to function without a custodian of its cash, securities or other property), PFPC Trust shall not deliver cash, securities or other property of the the Fund. It may deliver them to a bank or trust company of PFPC Trust’s choice, having aggregate capital, surplus and undivided profits, as shown by its last</w:t>
      </w:r>
    </w:p>
    <w:p>
      <w:pPr>
        <w:spacing w:after="0" w:line="9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92"/>
          </w:cols>
          <w:pgMar w:left="248" w:top="280" w:right="259" w:bottom="1440" w:gutter="0" w:footer="0" w:header="0"/>
        </w:sectPr>
      </w:pPr>
    </w:p>
    <w:bookmarkStart w:id="197" w:name="page198"/>
    <w:bookmarkEnd w:id="197"/>
    <w:p>
      <w:pPr>
        <w:ind w:left="452"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published report, of not less than twenty million dollars ($20,000,000), as a custodian for the Fund to be held under terms similar to those of this Agreement. PFPC Trust shall not be required to make any delivery or payment of assets upon termination until full payment shall have been made to PFPC Trust of all of its fees, compensation, costs and expenses (including without limitation fees and expenses associated with deconversion or conversion to another service provider and other trailing expenses incurred by PFPC Trust). PFPC Trust shall have a first priority contractual possessory security interest in and shall have a right of setoff against the Property as security for the payment of its fees, compensation, costs and expenses.</w:t>
      </w:r>
    </w:p>
    <w:p>
      <w:pPr>
        <w:spacing w:after="0" w:line="150" w:lineRule="exact"/>
        <w:rPr>
          <w:sz w:val="20"/>
          <w:szCs w:val="20"/>
          <w:color w:val="auto"/>
        </w:rPr>
      </w:pPr>
    </w:p>
    <w:p>
      <w:pPr>
        <w:jc w:val="both"/>
        <w:ind w:left="452" w:right="160" w:hanging="452"/>
        <w:spacing w:after="0" w:line="262" w:lineRule="auto"/>
        <w:tabs>
          <w:tab w:leader="none" w:pos="452"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Notwithstanding any other provision of this Agreement, in the event of an agreement to enter into a transaction that would result in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of Control of the Fund’s adviser or sponsor, the Fund’s ability to terminate the Agreement pursuant to Section 14 will be suspended from the time of such agreement until two (2) years after the Change of Control.</w:t>
      </w:r>
    </w:p>
    <w:p>
      <w:pPr>
        <w:spacing w:after="0" w:line="145" w:lineRule="exact"/>
        <w:rPr>
          <w:rFonts w:ascii="Arial" w:cs="Arial" w:eastAsia="Arial" w:hAnsi="Arial"/>
          <w:sz w:val="18"/>
          <w:szCs w:val="18"/>
          <w:b w:val="1"/>
          <w:bCs w:val="1"/>
          <w:color w:val="auto"/>
        </w:rPr>
      </w:pPr>
    </w:p>
    <w:p>
      <w:pPr>
        <w:ind w:left="452" w:right="80" w:hanging="452"/>
        <w:spacing w:after="0" w:line="262" w:lineRule="auto"/>
        <w:tabs>
          <w:tab w:leader="none" w:pos="452" w:val="left"/>
        </w:tabs>
        <w:numPr>
          <w:ilvl w:val="0"/>
          <w:numId w:val="1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Notices shall be addressed (a) if to PFPC Trust at 8800 Tinicum Boulevard, Philadelphia, Pennsylvania 19153, Attention: Sam Sparhawk (or such</w:t>
      </w:r>
      <w:r>
        <w:rPr>
          <w:rFonts w:ascii="Arial" w:cs="Arial" w:eastAsia="Arial" w:hAnsi="Arial"/>
          <w:sz w:val="16"/>
          <w:szCs w:val="16"/>
          <w:b w:val="1"/>
          <w:bCs w:val="1"/>
          <w:color w:val="auto"/>
        </w:rPr>
        <w:t xml:space="preserve"> </w:t>
      </w:r>
      <w:r>
        <w:rPr>
          <w:rFonts w:ascii="Arial" w:cs="Arial" w:eastAsia="Arial" w:hAnsi="Arial"/>
          <w:sz w:val="16"/>
          <w:szCs w:val="16"/>
          <w:color w:val="auto"/>
        </w:rPr>
        <w:t>other address as PFPC Trust may inform the Fund in writing); (b) if to the Fund, at 445 Park Avenue, 10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NY 10022, Attention:</w:t>
      </w:r>
    </w:p>
    <w:p>
      <w:pPr>
        <w:ind w:left="452"/>
        <w:spacing w:after="0" w:line="274" w:lineRule="auto"/>
        <w:rPr>
          <w:rFonts w:ascii="Arial" w:cs="Arial" w:eastAsia="Arial" w:hAnsi="Arial"/>
          <w:sz w:val="16"/>
          <w:szCs w:val="16"/>
          <w:b w:val="1"/>
          <w:bCs w:val="1"/>
          <w:color w:val="auto"/>
        </w:rPr>
      </w:pPr>
      <w:r>
        <w:rPr>
          <w:rFonts w:ascii="Arial" w:cs="Arial" w:eastAsia="Arial" w:hAnsi="Arial"/>
          <w:sz w:val="16"/>
          <w:szCs w:val="16"/>
          <w:color w:val="auto"/>
        </w:rPr>
        <w:t>(or such other address as the Fund may inform PFPC Trust in writing); or (c) if to neither of the foregoing, at such other address as shall have been given by like notice to the sender of any such notice or other communication by the receiving party. If notice is sent by confirming electronic delivery, hand or facsimile sending device, it shall be deemed to have been given immediately. If notice is sent by first-class mail, it shall be deemed to have been given five days after it has been mailed. If notice is sent by messenger, it shall be deemed to have been given on the day it is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6797675</wp:posOffset>
            </wp:positionH>
            <wp:positionV relativeFrom="paragraph">
              <wp:posOffset>-553720</wp:posOffset>
            </wp:positionV>
            <wp:extent cx="33464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12"/>
          </w:cols>
          <w:pgMar w:left="248" w:top="280" w:right="239" w:bottom="1440" w:gutter="0" w:footer="0" w:header="0"/>
        </w:sectPr>
      </w:pPr>
    </w:p>
    <w:bookmarkStart w:id="198" w:name="page199"/>
    <w:bookmarkEnd w:id="198"/>
    <w:p>
      <w:pPr>
        <w:ind w:left="452" w:right="840" w:hanging="452"/>
        <w:spacing w:after="0" w:line="275" w:lineRule="auto"/>
        <w:tabs>
          <w:tab w:leader="none" w:pos="452"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Amendments</w:t>
      </w:r>
      <w:r>
        <w:rPr>
          <w:rFonts w:ascii="Arial" w:cs="Arial" w:eastAsia="Arial" w:hAnsi="Arial"/>
          <w:sz w:val="18"/>
          <w:szCs w:val="18"/>
          <w:color w:val="auto"/>
        </w:rPr>
        <w:t>. This Agreement, or any term hereof, may be changed or waived only by a written amendment, signed by the party against whom</w:t>
      </w:r>
      <w:r>
        <w:rPr>
          <w:rFonts w:ascii="Arial" w:cs="Arial" w:eastAsia="Arial" w:hAnsi="Arial"/>
          <w:sz w:val="18"/>
          <w:szCs w:val="18"/>
          <w:b w:val="1"/>
          <w:bCs w:val="1"/>
          <w:color w:val="auto"/>
        </w:rPr>
        <w:t xml:space="preserve"> </w:t>
      </w:r>
      <w:r>
        <w:rPr>
          <w:rFonts w:ascii="Arial" w:cs="Arial" w:eastAsia="Arial" w:hAnsi="Arial"/>
          <w:sz w:val="18"/>
          <w:szCs w:val="18"/>
          <w:color w:val="auto"/>
        </w:rPr>
        <w:t>enforcement of such change or waiver is sought.</w:t>
      </w:r>
    </w:p>
    <w:p>
      <w:pPr>
        <w:spacing w:after="0" w:line="160" w:lineRule="exact"/>
        <w:rPr>
          <w:rFonts w:ascii="Arial" w:cs="Arial" w:eastAsia="Arial" w:hAnsi="Arial"/>
          <w:sz w:val="18"/>
          <w:szCs w:val="18"/>
          <w:b w:val="1"/>
          <w:bCs w:val="1"/>
          <w:color w:val="auto"/>
        </w:rPr>
      </w:pPr>
    </w:p>
    <w:p>
      <w:pPr>
        <w:ind w:left="452" w:right="380" w:hanging="452"/>
        <w:spacing w:after="0" w:line="275" w:lineRule="auto"/>
        <w:tabs>
          <w:tab w:leader="none" w:pos="452"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PFPC Trust may assign this Agreement to any affiliate of PFPC Trust or of The PNC Financial Services Group, Inc., provided that PFPC</w:t>
      </w:r>
      <w:r>
        <w:rPr>
          <w:rFonts w:ascii="Arial" w:cs="Arial" w:eastAsia="Arial" w:hAnsi="Arial"/>
          <w:sz w:val="18"/>
          <w:szCs w:val="18"/>
          <w:b w:val="1"/>
          <w:bCs w:val="1"/>
          <w:color w:val="auto"/>
        </w:rPr>
        <w:t xml:space="preserve"> </w:t>
      </w:r>
      <w:r>
        <w:rPr>
          <w:rFonts w:ascii="Arial" w:cs="Arial" w:eastAsia="Arial" w:hAnsi="Arial"/>
          <w:sz w:val="18"/>
          <w:szCs w:val="18"/>
          <w:color w:val="auto"/>
        </w:rPr>
        <w:t>Trust gives the Fund thirty (30) days’ prior written notice of such assignment.</w:t>
      </w:r>
    </w:p>
    <w:p>
      <w:pPr>
        <w:spacing w:after="0" w:line="160" w:lineRule="exact"/>
        <w:rPr>
          <w:rFonts w:ascii="Arial" w:cs="Arial" w:eastAsia="Arial" w:hAnsi="Arial"/>
          <w:sz w:val="18"/>
          <w:szCs w:val="18"/>
          <w:b w:val="1"/>
          <w:bCs w:val="1"/>
          <w:color w:val="auto"/>
        </w:rPr>
      </w:pPr>
    </w:p>
    <w:p>
      <w:pPr>
        <w:ind w:left="452" w:right="280" w:hanging="452"/>
        <w:spacing w:after="0" w:line="275" w:lineRule="auto"/>
        <w:tabs>
          <w:tab w:leader="none" w:pos="452"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w:t>
      </w:r>
    </w:p>
    <w:p>
      <w:pPr>
        <w:spacing w:after="0" w:line="160" w:lineRule="exact"/>
        <w:rPr>
          <w:rFonts w:ascii="Arial" w:cs="Arial" w:eastAsia="Arial" w:hAnsi="Arial"/>
          <w:sz w:val="18"/>
          <w:szCs w:val="18"/>
          <w:b w:val="1"/>
          <w:bCs w:val="1"/>
          <w:color w:val="auto"/>
        </w:rPr>
      </w:pPr>
    </w:p>
    <w:p>
      <w:pPr>
        <w:ind w:left="452" w:hanging="452"/>
        <w:spacing w:after="0"/>
        <w:tabs>
          <w:tab w:leader="none" w:pos="452"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96" w:lineRule="exact"/>
        <w:rPr>
          <w:rFonts w:ascii="Arial" w:cs="Arial" w:eastAsia="Arial" w:hAnsi="Arial"/>
          <w:sz w:val="18"/>
          <w:szCs w:val="18"/>
          <w:b w:val="1"/>
          <w:bCs w:val="1"/>
          <w:color w:val="auto"/>
        </w:rPr>
      </w:pPr>
    </w:p>
    <w:p>
      <w:pPr>
        <w:ind w:left="892" w:hanging="446"/>
        <w:spacing w:after="0" w:line="259" w:lineRule="auto"/>
        <w:tabs>
          <w:tab w:leader="none" w:pos="892"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the entire agreement and understanding between the parties and supersedes all prior agreements and understandings relating to the subject matter hereof, provided that the parties may embody in one or more separate documents their agreement, if any, with respect to delegated duties.</w:t>
      </w:r>
    </w:p>
    <w:p>
      <w:pPr>
        <w:spacing w:after="0" w:line="59" w:lineRule="exact"/>
        <w:rPr>
          <w:rFonts w:ascii="Arial" w:cs="Arial" w:eastAsia="Arial" w:hAnsi="Arial"/>
          <w:sz w:val="18"/>
          <w:szCs w:val="18"/>
          <w:color w:val="auto"/>
        </w:rPr>
      </w:pPr>
    </w:p>
    <w:p>
      <w:pPr>
        <w:ind w:left="892" w:right="320" w:hanging="446"/>
        <w:spacing w:after="0" w:line="256" w:lineRule="auto"/>
        <w:tabs>
          <w:tab w:leader="none" w:pos="892"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During the term of this Agreement and for one year thereafter, the Fund shall not (with the exceptions noted in the immediately succeeding sentence) knowingly solicit or recruit for employment or hire any of PFPC Trust’s employees, and the Fund shall cause the Fund’s sponsor and the Fund’s affiliates to not (with the exceptions noted in the immediately succeeding sentence) knowingly solicit or recruit for employment or hire any of PFPC Trust’s</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12"/>
          </w:cols>
          <w:pgMar w:left="248" w:top="274" w:right="239" w:bottom="1440" w:gutter="0" w:footer="0" w:header="0"/>
        </w:sectPr>
      </w:pPr>
    </w:p>
    <w:bookmarkStart w:id="199" w:name="page200"/>
    <w:bookmarkEnd w:id="199"/>
    <w:p>
      <w:pPr>
        <w:ind w:left="466"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employees. To “knowingly” solicit, recruit or hire within the meaning of this provision does not include, and therefore does not prohibit, solicitation, recruitment or hiring of a PFPC Trust employee by the Fund, the Fund’s sponsor or an affiliate of the Fund if the PFPC Trust employee was identified by such entity solely as a result of the PFPC Trust employee’s response to a general advertisement by such entity in a publication of trade or industry interest or other similar general solicitation by such entity.</w:t>
      </w:r>
    </w:p>
    <w:p>
      <w:pPr>
        <w:spacing w:after="0" w:line="62" w:lineRule="exact"/>
        <w:rPr>
          <w:sz w:val="20"/>
          <w:szCs w:val="20"/>
          <w:color w:val="auto"/>
        </w:rPr>
      </w:pPr>
    </w:p>
    <w:p>
      <w:pPr>
        <w:ind w:left="446" w:right="20" w:hanging="446"/>
        <w:spacing w:after="0" w:line="255" w:lineRule="auto"/>
        <w:tabs>
          <w:tab w:leader="none" w:pos="446"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No Representations or Warranties</w:t>
      </w:r>
      <w:r>
        <w:rPr>
          <w:rFonts w:ascii="Arial" w:cs="Arial" w:eastAsia="Arial" w:hAnsi="Arial"/>
          <w:sz w:val="18"/>
          <w:szCs w:val="18"/>
          <w:color w:val="auto"/>
        </w:rPr>
        <w:t>. Except as expressly provided in this Agreement, PFPC Trust hereby disclaims all representations and warranties, express or implied, made to the Fund or any other person, including, without limitation, any warranties regarding quality, suitability, merchantability, fitness for a particular purpose or otherwise (irrespective of any course of dealing, custom or usage of trade), of any services or any goods provided incidental to services provided under this Agreement. PFPC Trust disclaims any warranty of title or non-infringement except as otherwise set forth in this Agreement.</w:t>
      </w:r>
    </w:p>
    <w:p>
      <w:pPr>
        <w:spacing w:after="0" w:line="61" w:lineRule="exact"/>
        <w:rPr>
          <w:rFonts w:ascii="Arial" w:cs="Arial" w:eastAsia="Arial" w:hAnsi="Arial"/>
          <w:sz w:val="18"/>
          <w:szCs w:val="18"/>
          <w:color w:val="auto"/>
        </w:rPr>
      </w:pPr>
    </w:p>
    <w:p>
      <w:pPr>
        <w:ind w:left="446" w:right="480" w:hanging="446"/>
        <w:spacing w:after="0" w:line="306" w:lineRule="auto"/>
        <w:tabs>
          <w:tab w:leader="none" w:pos="446"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No Changes that Materially Affect Obligations</w:t>
      </w:r>
      <w:r>
        <w:rPr>
          <w:rFonts w:ascii="Arial" w:cs="Arial" w:eastAsia="Arial" w:hAnsi="Arial"/>
          <w:sz w:val="16"/>
          <w:szCs w:val="16"/>
          <w:color w:val="auto"/>
        </w:rPr>
        <w:t>. Notwithstanding anything in this Agreement to the contrary, the Fund agrees not to make any modifications to its registration statement or adopt any policies which would affect materially the obligations or responsibilities of PFPC Trust hereunder without the prior written approval of PFPC Trust, which approval shall not be unreasonably withheld or delayed.</w:t>
      </w:r>
    </w:p>
    <w:p>
      <w:pPr>
        <w:spacing w:after="0" w:line="25" w:lineRule="exact"/>
        <w:rPr>
          <w:rFonts w:ascii="Arial" w:cs="Arial" w:eastAsia="Arial" w:hAnsi="Arial"/>
          <w:sz w:val="16"/>
          <w:szCs w:val="16"/>
          <w:color w:val="auto"/>
        </w:rPr>
      </w:pPr>
    </w:p>
    <w:p>
      <w:pPr>
        <w:ind w:left="446" w:hanging="446"/>
        <w:spacing w:after="0" w:line="268" w:lineRule="auto"/>
        <w:tabs>
          <w:tab w:leader="none" w:pos="446"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The captions in this Agreement are included for convenience of reference only and in no way define or delimit any of the provisions hereof or otherwise affect their construction or effect.</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6"/>
          </w:cols>
          <w:pgMar w:left="694" w:top="280" w:right="259" w:bottom="1440" w:gutter="0" w:footer="0" w:header="0"/>
        </w:sectPr>
      </w:pPr>
    </w:p>
    <w:bookmarkStart w:id="200" w:name="page201"/>
    <w:bookmarkEnd w:id="200"/>
    <w:p>
      <w:pPr>
        <w:ind w:left="446" w:hanging="446"/>
        <w:spacing w:after="0" w:line="268" w:lineRule="auto"/>
        <w:tabs>
          <w:tab w:leader="none" w:pos="446"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w:t>
      </w:r>
      <w:r>
        <w:rPr>
          <w:rFonts w:ascii="Arial" w:cs="Arial" w:eastAsia="Arial" w:hAnsi="Arial"/>
          <w:sz w:val="18"/>
          <w:szCs w:val="18"/>
          <w:color w:val="auto"/>
        </w:rPr>
        <w:t>. The Fund will provide such information and documentation as PFPC Trust may reasonably request in connection with services provided by PFPC Trust to the Fund.</w:t>
      </w:r>
    </w:p>
    <w:p>
      <w:pPr>
        <w:spacing w:after="0" w:line="50" w:lineRule="exact"/>
        <w:rPr>
          <w:rFonts w:ascii="Arial" w:cs="Arial" w:eastAsia="Arial" w:hAnsi="Arial"/>
          <w:sz w:val="18"/>
          <w:szCs w:val="18"/>
          <w:color w:val="auto"/>
        </w:rPr>
      </w:pPr>
    </w:p>
    <w:p>
      <w:pPr>
        <w:ind w:left="446" w:right="120" w:hanging="446"/>
        <w:spacing w:after="0" w:line="268" w:lineRule="auto"/>
        <w:tabs>
          <w:tab w:leader="none" w:pos="446"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deemed to be a contract made in Delaware and governed by Delaware law, without regard to principles of conflicts of law.</w:t>
      </w:r>
    </w:p>
    <w:p>
      <w:pPr>
        <w:spacing w:after="0" w:line="50" w:lineRule="exact"/>
        <w:rPr>
          <w:rFonts w:ascii="Arial" w:cs="Arial" w:eastAsia="Arial" w:hAnsi="Arial"/>
          <w:sz w:val="18"/>
          <w:szCs w:val="18"/>
          <w:color w:val="auto"/>
        </w:rPr>
      </w:pPr>
    </w:p>
    <w:p>
      <w:pPr>
        <w:ind w:left="446" w:right="280" w:hanging="446"/>
        <w:spacing w:after="0" w:line="268" w:lineRule="auto"/>
        <w:tabs>
          <w:tab w:leader="none" w:pos="446"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Partial Invalidity</w:t>
      </w:r>
      <w:r>
        <w:rPr>
          <w:rFonts w:ascii="Arial" w:cs="Arial" w:eastAsia="Arial" w:hAnsi="Arial"/>
          <w:sz w:val="18"/>
          <w:szCs w:val="18"/>
          <w:color w:val="auto"/>
        </w:rPr>
        <w:t>. If any provision of this Agreement shall be held or made invalid by a court decision, statute, rule or otherwise, the remainder of this Agreement shall not be affected thereby.</w:t>
      </w:r>
    </w:p>
    <w:p>
      <w:pPr>
        <w:spacing w:after="0" w:line="50" w:lineRule="exact"/>
        <w:rPr>
          <w:rFonts w:ascii="Arial" w:cs="Arial" w:eastAsia="Arial" w:hAnsi="Arial"/>
          <w:sz w:val="18"/>
          <w:szCs w:val="18"/>
          <w:color w:val="auto"/>
        </w:rPr>
      </w:pPr>
    </w:p>
    <w:p>
      <w:pPr>
        <w:ind w:left="446" w:right="60" w:hanging="446"/>
        <w:spacing w:after="0" w:line="268" w:lineRule="auto"/>
        <w:tabs>
          <w:tab w:leader="none" w:pos="446"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shall inure to the benefit of the parties hereto and their respective successors and permitted assigns.</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Facsimile Signatures</w:t>
      </w:r>
      <w:r>
        <w:rPr>
          <w:rFonts w:ascii="Arial" w:cs="Arial" w:eastAsia="Arial" w:hAnsi="Arial"/>
          <w:sz w:val="16"/>
          <w:szCs w:val="16"/>
          <w:color w:val="auto"/>
        </w:rPr>
        <w:t>. The facsimile signature of any party to this Agreement shall constitute the valid and binding execution hereof by such party.</w:t>
      </w:r>
    </w:p>
    <w:p>
      <w:pPr>
        <w:spacing w:after="0" w:line="113" w:lineRule="exact"/>
        <w:rPr>
          <w:rFonts w:ascii="Arial" w:cs="Arial" w:eastAsia="Arial" w:hAnsi="Arial"/>
          <w:sz w:val="16"/>
          <w:szCs w:val="16"/>
          <w:color w:val="auto"/>
        </w:rPr>
      </w:pPr>
    </w:p>
    <w:p>
      <w:pPr>
        <w:ind w:left="446" w:right="40" w:hanging="446"/>
        <w:spacing w:after="0" w:line="291" w:lineRule="auto"/>
        <w:tabs>
          <w:tab w:leader="none" w:pos="446"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Customer Identification Program Notice</w:t>
      </w:r>
      <w:r>
        <w:rPr>
          <w:rFonts w:ascii="Arial" w:cs="Arial" w:eastAsia="Arial" w:hAnsi="Arial"/>
          <w:sz w:val="16"/>
          <w:szCs w:val="16"/>
          <w:color w:val="auto"/>
        </w:rPr>
        <w:t>. To help the U.S. government fight the funding of terrorism and money laundering activities, U.S. Federal law requires each financial institution to obtain, verify, and record certain information that identifies each person who initially opens an account with that financial institution on or after October 1, 2003. Consistent with this requirement, PFPC Trust may request (or may have already requested) the Fund’s name, address and taxpayer identification number or other government-issued identification number, and, if such party is a natural person, that party’s date of birth. PFPC Trust may also ask (and may have already asked) for additional identifying information, and PFPC Trust may take steps (and may have already taken steps) to verify the authenticity and accuracy of these data elements.</w:t>
      </w:r>
    </w:p>
    <w:p>
      <w:pPr>
        <w:spacing w:after="0" w:line="10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6"/>
          </w:cols>
          <w:pgMar w:left="694" w:top="280" w:right="259" w:bottom="1440" w:gutter="0" w:footer="0" w:header="0"/>
        </w:sectPr>
      </w:pPr>
    </w:p>
    <w:bookmarkStart w:id="201" w:name="page202"/>
    <w:bookmarkEnd w:id="20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Agreement to be executed as of the day and year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PFPC TRUST COMPANY</w:t>
      </w:r>
    </w:p>
    <w:p>
      <w:pPr>
        <w:spacing w:after="0" w:line="22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Edward A. Smith,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10795</wp:posOffset>
            </wp:positionV>
            <wp:extent cx="25984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EDWARD A. SMITH, III</w:t>
      </w:r>
    </w:p>
    <w:p>
      <w:pPr>
        <w:spacing w:after="0" w:line="1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&amp; DIRECTOR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PENNANTPARK INVESTMENT CORPORATION</w:t>
      </w:r>
    </w:p>
    <w:p>
      <w:pPr>
        <w:spacing w:after="0" w:line="248"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10795</wp:posOffset>
            </wp:positionV>
            <wp:extent cx="25984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Aviv Efrat</w:t>
      </w:r>
    </w:p>
    <w:p>
      <w:pPr>
        <w:spacing w:after="0" w:line="1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w:t>
      </w:r>
    </w:p>
    <w:p>
      <w:pPr>
        <w:spacing w:after="0" w:line="15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100"/>
          </w:cols>
          <w:pgMar w:left="700" w:top="280" w:right="109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(k)(1)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ADMINISTRATION AGREEMENT</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AGREEMENT (this “Agreement”) made as of April 17, 2007 by and between PennantPark Investment Corporation, a Maryland corporation (hereinafter referred to as the “Corporation”), and PennantPark Investment Administration, LLC, a Delaware limited liability company, (hereinafter referred to as the “Administrator”).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WHEREAS, the Corporation is a newly formed closed-end non-diversified management investment company that has filed a notice with the Securities and Exchange Commission that it intends to elect to treated as a business development company under the Investment Company Act of 1940 (hereinafter referred to as the “Investment Company Act”);</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WHEREAS, the Corporation desires to retain the Administrator to provide administrative services to the Corporation in the manner and on the terms hereinafter set forth;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Administrator is willing to provide administrative services to the Corporation on the terms and conditions hereafter set forth.</w:t>
      </w:r>
    </w:p>
    <w:p>
      <w:pPr>
        <w:spacing w:after="0" w:line="19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NOW, THEREFORE, in consideration of the premises and the covenants hereinafter contained and for other good and valuable consideration, the receipt and adequacy of which is hereby acknowledged, the Corporation and the Administrator hereby agree as follows:</w:t>
      </w:r>
    </w:p>
    <w:p>
      <w:pPr>
        <w:spacing w:after="0" w:line="254"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Duties of the Administrator</w:t>
      </w:r>
    </w:p>
    <w:p>
      <w:pPr>
        <w:spacing w:after="0" w:line="90" w:lineRule="exact"/>
        <w:rPr>
          <w:rFonts w:ascii="Arial" w:cs="Arial" w:eastAsia="Arial" w:hAnsi="Arial"/>
          <w:sz w:val="18"/>
          <w:szCs w:val="18"/>
          <w:color w:val="auto"/>
        </w:rPr>
      </w:pPr>
    </w:p>
    <w:p>
      <w:pPr>
        <w:ind w:firstLine="464"/>
        <w:spacing w:after="0" w:line="314" w:lineRule="auto"/>
        <w:tabs>
          <w:tab w:leader="none" w:pos="695" w:val="left"/>
        </w:tabs>
        <w:numPr>
          <w:ilvl w:val="1"/>
          <w:numId w:val="161"/>
        </w:numPr>
        <w:rPr>
          <w:rFonts w:ascii="Arial" w:cs="Arial" w:eastAsia="Arial" w:hAnsi="Arial"/>
          <w:sz w:val="15"/>
          <w:szCs w:val="15"/>
          <w:color w:val="auto"/>
        </w:rPr>
      </w:pPr>
      <w:r>
        <w:rPr>
          <w:rFonts w:ascii="Arial" w:cs="Arial" w:eastAsia="Arial" w:hAnsi="Arial"/>
          <w:sz w:val="15"/>
          <w:szCs w:val="15"/>
          <w:u w:val="single" w:color="auto"/>
          <w:color w:val="auto"/>
        </w:rPr>
        <w:t>Employment of Administrator</w:t>
      </w:r>
      <w:r>
        <w:rPr>
          <w:rFonts w:ascii="Arial" w:cs="Arial" w:eastAsia="Arial" w:hAnsi="Arial"/>
          <w:sz w:val="15"/>
          <w:szCs w:val="15"/>
          <w:color w:val="auto"/>
        </w:rPr>
        <w:t>. The Corporation hereby employs the Administrator to act as administrator of the Corporation, and to furnish, or arrange for others to furnish, the administrative services, personnel and facilities described below, subject to review by and the overall control of the Board of Directors of the Corporation, for the period and on the terms and conditions set forth in this Agreement. The Administrator hereby accepts such employment and agrees during such period to render, or arrange for the rendering of, such services and to assume the obligations herein set forth subject to the reimbursement of costs and expenses provided for below. The Administrator and such others shall for all purposes herein be deemed to be independent contractors and shall, unless otherwise expressly provided or authorized herein, have no authority to act for or represent the Corporation in any way or otherwise be deemed agents of the Corporation.</w:t>
      </w:r>
    </w:p>
    <w:p>
      <w:pPr>
        <w:spacing w:after="0" w:line="104" w:lineRule="exact"/>
        <w:rPr>
          <w:rFonts w:ascii="Arial" w:cs="Arial" w:eastAsia="Arial" w:hAnsi="Arial"/>
          <w:sz w:val="15"/>
          <w:szCs w:val="15"/>
          <w:color w:val="auto"/>
        </w:rPr>
      </w:pPr>
    </w:p>
    <w:p>
      <w:pPr>
        <w:ind w:right="80" w:firstLine="464"/>
        <w:spacing w:after="0" w:line="256" w:lineRule="auto"/>
        <w:tabs>
          <w:tab w:leader="none" w:pos="705" w:val="left"/>
        </w:tabs>
        <w:numPr>
          <w:ilvl w:val="1"/>
          <w:numId w:val="161"/>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The Administrator shall perform (or oversee, or arrange for, the performance of) the administrative services necessary for the operation of the Corporation. Without limiting the generality of the foregoing, the Administrator shall provide the Corporation with office facilities, equipment, clerical, bookkeeping and record keeping services at such facilities and such other services as the Administrator, subject to review by the Board of Directors of the Corporation, shall from time to time determine to be necessary or useful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6" w:right="239" w:bottom="1440" w:gutter="0" w:footer="0" w:header="0"/>
        </w:sectPr>
      </w:pPr>
    </w:p>
    <w:bookmarkStart w:id="203" w:name="page204"/>
    <w:bookmarkEnd w:id="20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 its obligations under this Agreement. The Administrator shall also, on behalf of the Corporation, conduct relations with custodians, depositories, transfer agents, dividend disbursing agents, other stockholder servicing agents, accountants, attorneys, underwriters, brokers and dealers, corporate fiduciaries, insurers, banks and such other persons in any such other capacity deemed to be necessary or desirable. The Administrator shall make reports to the Directors of its performance of obligations hereunder and furnish advice and recommendations with respect to such other aspects of the business and affairs of the Corporation as it shall determine to be desirable; provided that nothing herein shall be construed to require the Administrator to, and the Administrator shall not, provide any advice or recommendation relating to the securities and other assets that the Corporation should purchase, retain or sell or any other investment advisory services to the Corporation. The Administrator shall be responsible for the financial and other records that the Corporation is required to maintain and shall prepare reports to stockholders, and reports and other materials filed with the Securities and Exchange Commission (the “SEC”). The Administrator will provide on the Corporation’s behalf significant managerial assistance to those portfolio companies to which the Corporation is required to provide such assistance. In addition, the Administrator will assist the Corporation in determining and publishing the Corporation’s net asset value, overseeing the preparation and filing of the Corporation’s tax returns, and the printing and dissemination of reports to stockholders of the Corporation, and generally overseeing the payment of the Corporation’s expenses and the performance of administrative and professional services rendered to the Corporation by others.</w:t>
      </w:r>
    </w:p>
    <w:p>
      <w:pPr>
        <w:spacing w:after="0" w:line="246"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Records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Administrator agrees to maintain and keep all books, accounts and other records of the Corporation that relate to activities performed by the Administrator hereunder and, if required by the Investment Company Act, will maintain and keep such books, accounts and records in accordance with that Act. In compliance with the requirements of Rule 31 a-3 under the Investment Company Act, the Administrator agrees that all records which it maintains for the Corporation shall at all times remain the property of the Corporation, shall be readily accessible during normal business hours, and shall be promptly surrendered upon the termination of the Agreement or otherwise on written request. The Administrator further agrees that all records which it maintains for the Corporation pursuant to Rule 31a-1 under the Investment Company Act will be preserved for the periods prescribed by Rule 31a-2 under the Investment Company Act unless any such records are earlier surrendered as provided above. Records shall be surrendered in usable machine-readable form. The Administrator shall have the right to retain copies of such records subject to observance of its confidentiality obligations under this Agreement.</w:t>
      </w:r>
    </w:p>
    <w:p>
      <w:pPr>
        <w:spacing w:after="0" w:line="240"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parties hereto agree that each shall treat confidentially the terms and conditions of this Agreement and all information provided by each party to the other regarding its business and operations. All confidential information provided by a party hereto, including nonpublic personal information pursuant to Regulation S-P of the SEC, shall be used by 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04" w:name="page205"/>
    <w:bookmarkEnd w:id="204"/>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party hereto solely for the purpose of rendering services pursuant to this Agreement and, except as may be required in carrying out this Agreement, shall not be disclosed to any third party, without the prior consent of such providing party. The foregoing shall not be applicable to any information that is publicly available when provided or thereafter becomes publicly available other than through a breach of this Agreement, or that is required to be disclosed by any regulatory authority, any authority or legal counsel of the parties hereto, by judicial or administrative process or otherwise by applicable law or regulation.</w:t>
      </w:r>
    </w:p>
    <w:p>
      <w:pPr>
        <w:spacing w:after="0" w:line="234"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Compensation; Allocation of Costs and Expenses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full consideration of the provision of the services of the Administrator, the Corporation shall reimburse the Administrator for the costs and expenses incurred by the Administrator in performing its obligations and providing personnel and facilities hereunder. If requested to perform significant managerial assistance to portfolio companies of the Corporation, the Administrator will be paid an additional amount based on the services provided, which shall not exceed the amount the Corporation receives from the portfolio companies for providing this assistance.</w:t>
      </w:r>
    </w:p>
    <w:p>
      <w:pPr>
        <w:spacing w:after="0" w:line="11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Corporation will bear all costs and expenses that are incurred in its operation and transactions and not specifically assumed by the Corporation’s investment adviser (the “Adviser”), pursuant to that certain Investment Advisory Management Agreement, dated as of April 17,2007 by and between the Corporation and the Adviser. Costs and expenses to be borne by the Corporation include, but are not limited to, those relating to: organization and offering; calculating the Corporation’s net asset value (including the cost and expenses of any independent valuation firm); expenses incurred by the Adviser payable to third parties, including agents, consultants or other advisors, in monitoring financial and legal affairs for the Corporation and in monitoring the Corporation’s investments and performing due diligence (including related legal expenses) on its prospective portfolio companies and expenses related to unsuccessful portfolio acquisition efforts; interest payable on debt, if any, incurred to finance the Corporation’s investments; offerings of the Corporation’s common stock and other securities; investment advisory and management fees; administration fees payable under this Agreement; fees payable to third parties, including agents, consultants or other advisors, relating to, or associated with, evaluating and making investments, including costs associated with meeting potential financial sponsors; transfer agent and custodial fees; federal and state registration fees; all costs of registration and listing the Corporation’s shares on any securities exchange; federal, state and local taxes; independent Directors’ fees and expenses; costs of preparing and filing reports or other documents required by the SEC; costs of any reports, proxy statements or other notices to stockholders, including printing costs; costs associated with individual or groups of stockholders; the Corporation’s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outside legal costs; and all other expenses incurred by the Corporation or the Administrator in connection with administering the Corporation’s business, including payments under this Agreement based upon the Corporation’s allocable portion of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05" w:name="page206"/>
    <w:bookmarkEnd w:id="205"/>
    <w:p>
      <w:pPr>
        <w:ind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Administrator’s overhead in performing its obligations under this Agreement, including rent and the allocable portion of the cost of the Corporation’s chief compliance officer and chief financial officer and their respective staffs.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At its election, the Administrator may elect to receive payment under this Agreement in the form of a percentage of assets under management by the Corporation, rather than based on the sum of the actual expenses accrued. Such percentage shall be in an amount mutually agreed by the Administrator and the Corporation.</w:t>
      </w:r>
    </w:p>
    <w:p>
      <w:pPr>
        <w:spacing w:after="0" w:line="262"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Limitation of Liability of the Administrator; Indemnification</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Administrator (and its officers, managers, partners, agents, employees, controlling persons, members, and any other person or entity affiliated with the Administrator, including without limitation its sole member) shall not be liable to the Corporation for any action taken or omitted to be taken by the Administrator in connection with the performance of any of its duties or obligations under this Agreement or otherwise as administrator for the Corporation, and the Corporation shall indemnify, defend and protect the Administrator (and its officers, managers, partners, agents, employees, controlling persons, members, and any other person or entity affiliated with the Administrator, including without limitation the Adviser, each of whom shall be deemed a third party beneficiary hereof) (collectively, 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Corporation or its security holders) arising out of or otherwise based upon the performance of any of the Administrator’s duties or obligations under this Agreement or otherwise as administrator for the Corporation. Notwithstanding the preceding sentence of this Paragraph 5 to the contrary, nothing contained herein shall protect or be deemed to protect the Indemnified Parties against or entitle or be deemed to entitle the Indemnified Parties to indemnification in respect of, any liability to the Corporation or its security holders to which the Indemnified Parties would otherwise be subject by reason of willful misfeasance, bad faith or gross negligence in the performance of the Administrator’s duties or by reason of the reckless disregard of the Administrator’s duties and obligations under this Agreement (to the extent applicable, as the same shall be determined in accordance with the Investment Company Act and any interpretations or guidance by the SEC or its staff thereunder).</w:t>
      </w:r>
    </w:p>
    <w:p>
      <w:pPr>
        <w:spacing w:after="0" w:line="250" w:lineRule="exact"/>
        <w:rPr>
          <w:sz w:val="20"/>
          <w:szCs w:val="20"/>
          <w:color w:val="auto"/>
        </w:rPr>
      </w:pPr>
    </w:p>
    <w:p>
      <w:pPr>
        <w:ind w:left="460" w:hanging="452"/>
        <w:spacing w:after="0"/>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Activities of the Administrator</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services of the Administrator to the Corporation are not to be deemed to be exclusive, and the Administrator and each affiliate is free to render services to others. It is understood that directors, officers, employees and stockholders of the Corporation are or may become interested in the Administrator and its affiliates, as directors, officers, members, managers, employees, partners, stockholders or otherwise, and that the Administrator and directors, officers, members, managers, employees, partners and stockholders of the Administrator and its affiliates are or may become similarly interested in the Corporation as stockholders or otherwise.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06" w:name="page207"/>
    <w:bookmarkEnd w:id="206"/>
    <w:p>
      <w:pPr>
        <w:ind w:left="460" w:hanging="452"/>
        <w:spacing w:after="0"/>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Duration and Termination of this Agreement</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This Agreement shall become effective as of the date hereof, and shall remain in force with respect to the Corporation for two years thereafter, and thereafter continue from year to year, but only so long as such continuance is specifically approved at least annually by (i) the Board of Directors of the Corporation and (ii) a majority of those Directors who are not parties to this Agreement or “interested persons” (as defined in the Investment Company Act) of any such party.</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This Agreement may be terminated at any time, without the payment of any penalty, by vote of the Directors of the Corporation, or by the Administrator, upon 60 days’ written notice to the other party. This Agreement may not be assigned by a party without the consent of the other party.</w:t>
      </w:r>
    </w:p>
    <w:p>
      <w:pPr>
        <w:spacing w:after="0" w:line="207"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Amendments of this Agreement</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may be amended pursuant to a written instrument by mutual consent of the parties.</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Agreement shall be construed in accordance with laws of the State of New York and the applicable provisions of the Investment Company Act, if any. To the extent that the applicable laws of the State of New York, or any of the provisions herein, conflict with the applicable provisions of the Investment Company Act, if any, the latter shall control.</w:t>
      </w:r>
    </w:p>
    <w:p>
      <w:pPr>
        <w:spacing w:after="0" w:line="262"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Entire Agreement</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This Agreement contains the entire agreement of the parties and supercedes all prior agreements, understandings and arrangements with respect to the subject matter hereof.</w:t>
      </w:r>
    </w:p>
    <w:p>
      <w:pPr>
        <w:spacing w:after="0" w:line="254" w:lineRule="exact"/>
        <w:rPr>
          <w:sz w:val="20"/>
          <w:szCs w:val="20"/>
          <w:color w:val="auto"/>
        </w:rPr>
      </w:pPr>
    </w:p>
    <w:p>
      <w:pPr>
        <w:ind w:left="460" w:hanging="452"/>
        <w:spacing w:after="0"/>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Any notice under this Agreement shall be given in writing, addressed and delivered or mailed, postage prepaid, to the other party at its principal office.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and delivered this Agreement as of the date first above written.</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10795</wp:posOffset>
            </wp:positionV>
            <wp:extent cx="27101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PENNANTPARK INVESTMENT ADMINISTRATION LLC</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10795</wp:posOffset>
            </wp:positionV>
            <wp:extent cx="27101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60"/>
          </w:cols>
          <w:pgMar w:left="700" w:top="280" w:right="4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(k)(2)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1438275</wp:posOffset>
            </wp:positionH>
            <wp:positionV relativeFrom="paragraph">
              <wp:posOffset>118110</wp:posOffset>
            </wp:positionV>
            <wp:extent cx="2855595" cy="4629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85559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CERTIFICATE OF APPOINTMENT OF</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AMERICAN STOCK TRANSFER</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&amp; TRUST COMPANY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135890</wp:posOffset>
            </wp:positionV>
            <wp:extent cx="1363345" cy="2489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363345" cy="248920"/>
                    </a:xfrm>
                    <a:prstGeom prst="rect">
                      <a:avLst/>
                    </a:prstGeom>
                    <a:noFill/>
                  </pic:spPr>
                </pic:pic>
              </a:graphicData>
            </a:graphic>
          </wp:anchor>
        </w:drawing>
        <w:drawing>
          <wp:anchor simplePos="0" relativeHeight="251657728" behindDoc="1" locked="0" layoutInCell="0" allowOverlap="1">
            <wp:simplePos x="0" y="0"/>
            <wp:positionH relativeFrom="column">
              <wp:posOffset>4251325</wp:posOffset>
            </wp:positionH>
            <wp:positionV relativeFrom="paragraph">
              <wp:posOffset>135890</wp:posOffset>
            </wp:positionV>
            <wp:extent cx="934720" cy="3257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34720" cy="32575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09" w:name="page210"/>
    <w:bookmarkEnd w:id="209"/>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w:t>
      </w:r>
    </w:p>
    <w:p>
      <w:pPr>
        <w:spacing w:after="0" w:line="177"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Pennant Investment Corporation (the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of corporation)</w:t>
      </w:r>
    </w:p>
    <w:p>
      <w:pPr>
        <w:spacing w:after="0" w:line="165" w:lineRule="exact"/>
        <w:rPr>
          <w:sz w:val="20"/>
          <w:szCs w:val="20"/>
          <w:color w:val="auto"/>
        </w:rPr>
      </w:pPr>
    </w:p>
    <w:p>
      <w:pPr>
        <w:ind w:left="5440" w:hanging="128"/>
        <w:spacing w:after="0"/>
        <w:tabs>
          <w:tab w:leader="none" w:pos="54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Maryland</w:t>
      </w:r>
    </w:p>
    <w:p>
      <w:pPr>
        <w:spacing w:after="0" w:line="15" w:lineRule="exact"/>
        <w:rPr>
          <w:rFonts w:ascii="Arial" w:cs="Arial" w:eastAsia="Arial" w:hAnsi="Arial"/>
          <w:sz w:val="18"/>
          <w:szCs w:val="18"/>
          <w:color w:val="auto"/>
        </w:rPr>
      </w:pPr>
    </w:p>
    <w:p>
      <w:pPr>
        <w:ind w:left="4920"/>
        <w:spacing w:after="0"/>
        <w:rPr>
          <w:rFonts w:ascii="Arial" w:cs="Arial" w:eastAsia="Arial" w:hAnsi="Arial"/>
          <w:sz w:val="18"/>
          <w:szCs w:val="18"/>
          <w:color w:val="auto"/>
        </w:rPr>
      </w:pPr>
      <w:r>
        <w:rPr>
          <w:rFonts w:ascii="Arial" w:cs="Arial" w:eastAsia="Arial" w:hAnsi="Arial"/>
          <w:sz w:val="18"/>
          <w:szCs w:val="18"/>
          <w:b w:val="1"/>
          <w:bCs w:val="1"/>
          <w:color w:val="auto"/>
        </w:rPr>
        <w:t>(state of corporation)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entity - e.g.,corporation, partnership)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authorized to issue the following shares/units: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87"/>
              </w:rPr>
              <w:t>Class of Stock</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4"/>
              </w:rPr>
              <w:t>Par Value</w:t>
            </w:r>
          </w:p>
        </w:tc>
        <w:tc>
          <w:tcPr>
            <w:tcW w:w="220" w:type="dxa"/>
            <w:vAlign w:val="bottom"/>
          </w:tcPr>
          <w:p>
            <w:pPr>
              <w:spacing w:after="0"/>
              <w:rPr>
                <w:sz w:val="15"/>
                <w:szCs w:val="15"/>
                <w:color w:val="auto"/>
              </w:rPr>
            </w:pPr>
          </w:p>
        </w:tc>
        <w:tc>
          <w:tcPr>
            <w:tcW w:w="8720" w:type="dxa"/>
            <w:vAlign w:val="bottom"/>
          </w:tcPr>
          <w:p>
            <w:pPr>
              <w:spacing w:after="0"/>
              <w:rPr>
                <w:sz w:val="20"/>
                <w:szCs w:val="20"/>
                <w:color w:val="auto"/>
              </w:rPr>
            </w:pPr>
            <w:r>
              <w:rPr>
                <w:rFonts w:ascii="Arial" w:cs="Arial" w:eastAsia="Arial" w:hAnsi="Arial"/>
                <w:sz w:val="14"/>
                <w:szCs w:val="14"/>
                <w:b w:val="1"/>
                <w:bCs w:val="1"/>
                <w:color w:val="auto"/>
              </w:rPr>
              <w:t>Number of Shares /Units Authorized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$ 0.001</w:t>
            </w:r>
          </w:p>
        </w:tc>
        <w:tc>
          <w:tcPr>
            <w:tcW w:w="8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Preferred</w:t>
            </w: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An amount up to any unissued shares of stock</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Company to which Notices may be sent 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445 Park Avenue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name and address of legal counsel for the Company 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Dechert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Thomas Friedmann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1775 I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20006-2401</w:t>
      </w:r>
    </w:p>
    <w:p>
      <w:pPr>
        <w:spacing w:after="0" w:line="16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Attached are true copies of the certificate of incorporation and bylaws (or such other comparable documents for non-corporate entities), as amended, of the Company.</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If any provision of the certificate of incorporation or by-laws of the Corporation, any court or administrative order, or any other document, affects any transfer agency or registrar function or responsibility relating to the shares, attached is a statement of each such provision.</w:t>
      </w:r>
    </w:p>
    <w:p>
      <w:pPr>
        <w:spacing w:after="0" w:line="13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All shares issued and outstanding as of the date hereof, or to be issued during the term of this appointment, are/shall be duly authorized, validly issued, fully paid and non-assessable. All such shares are (or, in the case of shares that have not yet been issued, will be) duly registered under the Securities Act of 1933 and the Securities Act of 1934. Any shares not so registered were or shall be issued or transferred in a transaction or series of transactions exempt from the registration provisions of the relevant Act, and in each such issuance or transfer, the Corporation was or shall be so advised by its legal counsel and all shares issued or to be issued bear or shall bear all appropriate legends.</w:t>
      </w:r>
    </w:p>
    <w:p>
      <w:pPr>
        <w:spacing w:after="0" w:line="14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American Stock Transfer &amp; Trust Company (“AST”) is hereby appointed as transfer agent and registrar for the shares/units of the Company set forth above, in accordance with the general practices of AST and its regulations set forth in the pamphlet entitled Regulations of American Stock Transfer &amp; Trust Company, a copy of which we have received and reviewed.</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initial term of this Certificate of Appointment shall be three (3) years from the date of this Certificate of Appointment and the appointment shall automatically be renewed for further three years successive terms without further action of the parties, unless written notice is provided by either party at least 90 days prior to the end of the initial or any subsequent three year period. The term of this appointment shall be governed in accordance with this paragraph, notwithstanding the cessation of active trading in the capital stock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will advise AST promptly of any change in any information contained in this Certificate by a supplemental Certificate or otherwise in writing.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WITNESS my hand this 12 day of March, 2007</w:t>
      </w:r>
    </w:p>
    <w:p>
      <w:pPr>
        <w:spacing w:after="0" w:line="200" w:lineRule="exact"/>
        <w:rPr>
          <w:sz w:val="20"/>
          <w:szCs w:val="20"/>
          <w:color w:val="auto"/>
        </w:rPr>
      </w:pPr>
    </w:p>
    <w:p>
      <w:pPr>
        <w:spacing w:after="0" w:line="2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Arthur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CEO</w:t>
      </w:r>
    </w:p>
    <w:p>
      <w:pPr>
        <w:sectPr>
          <w:pgSz w:w="11900" w:h="16838" w:orient="portrait"/>
          <w:cols w:equalWidth="0" w:num="1">
            <w:col w:w="11420"/>
          </w:cols>
          <w:pgMar w:left="240" w:top="274"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(k)(3)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TRADEMARK LICENSE AGREEMENT</w:t>
      </w:r>
    </w:p>
    <w:p>
      <w:pPr>
        <w:spacing w:after="0" w:line="177"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This TRADEMARK LICENSE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effective as of April 15,2007 (the “</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between PennantPark Investment Advisers, LLC a Delaware limited liability company (the “</w:t>
      </w:r>
      <w:r>
        <w:rPr>
          <w:rFonts w:ascii="Arial" w:cs="Arial" w:eastAsia="Arial" w:hAnsi="Arial"/>
          <w:sz w:val="16"/>
          <w:szCs w:val="16"/>
          <w:u w:val="single" w:color="auto"/>
          <w:color w:val="auto"/>
        </w:rPr>
        <w:t>Licensor</w:t>
      </w:r>
      <w:r>
        <w:rPr>
          <w:rFonts w:ascii="Arial" w:cs="Arial" w:eastAsia="Arial" w:hAnsi="Arial"/>
          <w:sz w:val="16"/>
          <w:szCs w:val="16"/>
          <w:color w:val="auto"/>
        </w:rPr>
        <w:t>” or “</w:t>
      </w:r>
      <w:r>
        <w:rPr>
          <w:rFonts w:ascii="Arial" w:cs="Arial" w:eastAsia="Arial" w:hAnsi="Arial"/>
          <w:sz w:val="16"/>
          <w:szCs w:val="16"/>
          <w:u w:val="single" w:color="auto"/>
          <w:color w:val="auto"/>
        </w:rPr>
        <w:t>Adviser</w:t>
      </w:r>
      <w:r>
        <w:rPr>
          <w:rFonts w:ascii="Arial" w:cs="Arial" w:eastAsia="Arial" w:hAnsi="Arial"/>
          <w:sz w:val="16"/>
          <w:szCs w:val="16"/>
          <w:color w:val="auto"/>
        </w:rPr>
        <w:t>”), and PennantPark Investment Corporation, a corporation organized under the laws of the State of Maryland (“</w:t>
      </w:r>
      <w:r>
        <w:rPr>
          <w:rFonts w:ascii="Arial" w:cs="Arial" w:eastAsia="Arial" w:hAnsi="Arial"/>
          <w:sz w:val="16"/>
          <w:szCs w:val="16"/>
          <w:u w:val="single" w:color="auto"/>
          <w:color w:val="auto"/>
        </w:rPr>
        <w:t>Corporation</w:t>
      </w:r>
      <w:r>
        <w:rPr>
          <w:rFonts w:ascii="Arial" w:cs="Arial" w:eastAsia="Arial" w:hAnsi="Arial"/>
          <w:sz w:val="16"/>
          <w:szCs w:val="16"/>
          <w:color w:val="auto"/>
        </w:rPr>
        <w:t>”) (each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WHEREAS, Adviser is the owner of the trade name “PENNANTPARK” (the “</w:t>
      </w:r>
      <w:r>
        <w:rPr>
          <w:rFonts w:ascii="Arial" w:cs="Arial" w:eastAsia="Arial" w:hAnsi="Arial"/>
          <w:sz w:val="16"/>
          <w:szCs w:val="16"/>
          <w:u w:val="single" w:color="auto"/>
          <w:color w:val="auto"/>
        </w:rPr>
        <w:t>Licensed Mark</w:t>
      </w:r>
      <w:r>
        <w:rPr>
          <w:rFonts w:ascii="Arial" w:cs="Arial" w:eastAsia="Arial" w:hAnsi="Arial"/>
          <w:sz w:val="16"/>
          <w:szCs w:val="16"/>
          <w:color w:val="auto"/>
        </w:rPr>
        <w:t>”) and has filed an application to register the mark in the United States of America (the “Territory”) for investment management, investment consultation and investment advisory services.</w:t>
      </w:r>
    </w:p>
    <w:p>
      <w:pPr>
        <w:spacing w:after="0" w:line="85" w:lineRule="exact"/>
        <w:rPr>
          <w:sz w:val="20"/>
          <w:szCs w:val="20"/>
          <w:color w:val="auto"/>
        </w:rPr>
      </w:pPr>
    </w:p>
    <w:p>
      <w:pPr>
        <w:ind w:right="620" w:firstLine="456"/>
        <w:spacing w:after="0" w:line="370" w:lineRule="auto"/>
        <w:rPr>
          <w:sz w:val="20"/>
          <w:szCs w:val="20"/>
          <w:color w:val="auto"/>
        </w:rPr>
      </w:pPr>
      <w:r>
        <w:rPr>
          <w:rFonts w:ascii="Arial" w:cs="Arial" w:eastAsia="Arial" w:hAnsi="Arial"/>
          <w:sz w:val="15"/>
          <w:szCs w:val="15"/>
          <w:color w:val="auto"/>
        </w:rPr>
        <w:t>WHEREAS, Corporation is a newly organized closed-end management investment company that has filed notice with the Securities and Exchange Commission that it intends to elect to be treated as a business development company under the Investment Company Act of 1940 (the “1940 Act”);</w:t>
      </w:r>
    </w:p>
    <w:p>
      <w:pPr>
        <w:spacing w:after="0" w:line="6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WHEREAS, the Corporation is entering into an investment advisory and management agreement with Adviser (the “</w:t>
      </w:r>
      <w:r>
        <w:rPr>
          <w:rFonts w:ascii="Arial" w:cs="Arial" w:eastAsia="Arial" w:hAnsi="Arial"/>
          <w:sz w:val="18"/>
          <w:szCs w:val="18"/>
          <w:u w:val="single" w:color="auto"/>
          <w:color w:val="auto"/>
        </w:rPr>
        <w:t>Advisory Agreement</w:t>
      </w:r>
      <w:r>
        <w:rPr>
          <w:rFonts w:ascii="Arial" w:cs="Arial" w:eastAsia="Arial" w:hAnsi="Arial"/>
          <w:sz w:val="18"/>
          <w:szCs w:val="18"/>
          <w:color w:val="auto"/>
        </w:rPr>
        <w:t>”), wherein Corporation will engage Adviser to act as the investment adviser to the Corporation; and</w:t>
      </w:r>
    </w:p>
    <w:p>
      <w:pPr>
        <w:spacing w:after="0" w:line="132"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WHEREAS, Corporation desires to use the Licensed Mark in connection with the operation of its business, and Adviser is willing to permit Corporation to use the Licensed Mark, subject to the terms and conditions of this Agreement.</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agree as follows: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LICENSE GRANT</w:t>
      </w:r>
    </w:p>
    <w:p>
      <w:pPr>
        <w:spacing w:after="0" w:line="165" w:lineRule="exact"/>
        <w:rPr>
          <w:sz w:val="20"/>
          <w:szCs w:val="20"/>
          <w:color w:val="auto"/>
        </w:rPr>
      </w:pPr>
    </w:p>
    <w:p>
      <w:pPr>
        <w:jc w:val="both"/>
        <w:ind w:right="40" w:firstLine="456"/>
        <w:spacing w:after="0" w:line="284"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License</w:t>
      </w:r>
      <w:r>
        <w:rPr>
          <w:rFonts w:ascii="Arial" w:cs="Arial" w:eastAsia="Arial" w:hAnsi="Arial"/>
          <w:sz w:val="16"/>
          <w:szCs w:val="16"/>
          <w:color w:val="auto"/>
        </w:rPr>
        <w:t>. Subject to the terms and conditions of this Agreement, Adviser hereby grants to Corporation, and Corporation hereby accepts from Adviser, a personal, non-exclusive, royalty-free right and license to use the Licensed Mark solely and exclusively as an element of Corporation’s own corporate name and in connection with marketing the investment management, investment consultation and investment advisory services that Adviser may provide to Corporation.</w:t>
      </w:r>
    </w:p>
    <w:p>
      <w:pPr>
        <w:spacing w:after="0" w:line="1"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During the term of this Agreement, Corporation shall use the Licensed Mark only to the extent permitted under this License, and except as provided above, neither Corporation nor any affiliate, owner, director, officer, employee, or agent thereof shall otherwise use the Licensed Mark or any derivative thereof in the Territory without the prior express written consent of Adviser in its sole and absolute discretion and shall not use the Licensed Mark for any purpose outside the Territory. All rights not expressly granted to Corporation hereunder shall remain the exclusive property of Adviser.</w:t>
      </w:r>
    </w:p>
    <w:p>
      <w:pPr>
        <w:sectPr>
          <w:pgSz w:w="11900" w:h="16838" w:orient="portrait"/>
          <w:cols w:equalWidth="0" w:num="1">
            <w:col w:w="11420"/>
          </w:cols>
          <w:pgMar w:left="240" w:top="125" w:right="239" w:bottom="1440" w:gutter="0" w:footer="0" w:header="0"/>
        </w:sectPr>
      </w:pPr>
    </w:p>
    <w:bookmarkStart w:id="211" w:name="page212"/>
    <w:bookmarkEnd w:id="211"/>
    <w:p>
      <w:pPr>
        <w:ind w:right="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1.2. </w:t>
      </w:r>
      <w:r>
        <w:rPr>
          <w:rFonts w:ascii="Arial" w:cs="Arial" w:eastAsia="Arial" w:hAnsi="Arial"/>
          <w:sz w:val="16"/>
          <w:szCs w:val="16"/>
          <w:u w:val="single" w:color="auto"/>
          <w:color w:val="auto"/>
        </w:rPr>
        <w:t>Licensor’s Use</w:t>
      </w:r>
      <w:r>
        <w:rPr>
          <w:rFonts w:ascii="Arial" w:cs="Arial" w:eastAsia="Arial" w:hAnsi="Arial"/>
          <w:sz w:val="16"/>
          <w:szCs w:val="16"/>
          <w:color w:val="auto"/>
        </w:rPr>
        <w:t>. Nothing in this Agreement shall preclude Licensor or any of its successors or assigns from using or permitting other entities to use the Licensed Mark, whether or not such entity directly or indirectly competes or conflicts with Corporation’s business in any manner.</w:t>
      </w:r>
    </w:p>
    <w:p>
      <w:pPr>
        <w:spacing w:after="0" w:line="16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OWNERSHIP</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Ownership</w:t>
      </w:r>
      <w:r>
        <w:rPr>
          <w:rFonts w:ascii="Arial" w:cs="Arial" w:eastAsia="Arial" w:hAnsi="Arial"/>
          <w:sz w:val="18"/>
          <w:szCs w:val="18"/>
          <w:color w:val="auto"/>
        </w:rPr>
        <w:t>. Corporation acknowledges and agrees that Adviser is the owner of all right, title, and interest in and to the Licensed Mark, and all such right, title and interest shall remain with the Adviser. Corporation shall not contest, dispute, challenge, oppose or seek to cancel Adviser’s right, title, and interest in and to the Licensed Mark. Corporation shall not prosecute any application for registration of the Licensed Mark, or seek to register the Licensed Mark as a domain name or part of any domain name.</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Goodwill</w:t>
      </w:r>
      <w:r>
        <w:rPr>
          <w:rFonts w:ascii="Arial" w:cs="Arial" w:eastAsia="Arial" w:hAnsi="Arial"/>
          <w:sz w:val="16"/>
          <w:szCs w:val="16"/>
          <w:color w:val="auto"/>
        </w:rPr>
        <w:t>. Corporation acknowledges that Corporation shall not acquire any right, title, or interest in the Licensed Mark by virtue of this Agreement other than the license granted hereunder, and disclaims any such right, title, interest, or ownership. All goodwill and reputation generated by Corporation’s use of the Licensed Mark shall inure to the exclusive benefit of Adviser. Corporation shall not by any act or omission use the Licensed Mark in any manner that disparages or reflects adversely on Adviser or its business or reputation. Corporation shall not take any action that would interfere with or prejudice Adviser’s ownership or registration of the Licensed Mark, the validity of the Licensed Mark or the validity of the license granted by this Agreement.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COMPLIANCE</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Quality Control</w:t>
      </w:r>
      <w:r>
        <w:rPr>
          <w:rFonts w:ascii="Arial" w:cs="Arial" w:eastAsia="Arial" w:hAnsi="Arial"/>
          <w:sz w:val="16"/>
          <w:szCs w:val="16"/>
          <w:color w:val="auto"/>
        </w:rPr>
        <w:t>. In order to preserve the inherent value of the Licensed Mark, Corporation agrees to use reasonable efforts to ensure that it maintains the quality of the Corporation’s business and the operation thereof equal to the standards prevailing in the operation of Adviser’s and Corporation’s business as of the date of this Agreement. Adviser shall oversee the quality of the services provided under the Licensed Mark by virtue of its role as investment adviser to the Corporation, and shall approve, prior to their use, all prospectuses, advertisements, and other materials upon which Corporation uses the Licensed Mark. The Corporation further agrees to use the Licensed Mark in accordance with such quality standards as may be reasonably established by Licensor and communicated to the Corporation from time to time in writing, or as may be agreed to by Licensor and the Corporation from time to time in writing.</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Corporation agrees that the business operated by it in connection with the Licensed Mark shall comply with all laws, rules, regulations and</w:t>
      </w:r>
    </w:p>
    <w:p>
      <w:pPr>
        <w:sectPr>
          <w:pgSz w:w="11900" w:h="16838" w:orient="portrait"/>
          <w:cols w:equalWidth="0" w:num="1">
            <w:col w:w="11360"/>
          </w:cols>
          <w:pgMar w:left="240" w:top="280" w:right="299" w:bottom="1440" w:gutter="0" w:footer="0" w:header="0"/>
        </w:sectPr>
      </w:pPr>
    </w:p>
    <w:bookmarkStart w:id="212" w:name="page213"/>
    <w:bookmarkEnd w:id="212"/>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requirements of any governmental body in the Territory or elsewhere as may be applicable to the operation, advertising and promotion of the business and shall notify Adviser of any action that must be taken by Corporation to comply with such law, rules, regulations or requirements.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Notification of Infringement</w:t>
      </w:r>
      <w:r>
        <w:rPr>
          <w:rFonts w:ascii="Arial" w:cs="Arial" w:eastAsia="Arial" w:hAnsi="Arial"/>
          <w:sz w:val="16"/>
          <w:szCs w:val="16"/>
          <w:color w:val="auto"/>
        </w:rPr>
        <w:t>. Each party shall immediately notify the other party and provide to the other party all relevant background facts upon becoming aware of (a) any registrations of, or applications for registration of, marks in the Territory that do or may conflict with any Licensed Mark, and (b) any infringements, imitations, or illegal use or misuse of the Licensed Mark in the Territory. Adviser shall have the exclusive right, but not the obligation, to prosecute, defend and/or settle in its sole discretion, all actions, proceedings and claims involving any Third Party Infringement or Third Party Claim, and to take any other action that it deems necessary or proper for the protection and preservation of its rights in the Licensed Mark. Corporation shall cooperate with Adviser in the prosecution, defense, or settlement of such actions, proceedings, or claims.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REPRESENTATIONS AND WARRANTIES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4.1. Corporation acknowledges that Adviser has applied for registration in the Territory of PENNANTPARK, that Adviser’s application for registration has not yet been examined or approved for registration, and that Corporation accepts this license on an “as is” basis. Corporation acknowledges that Adviser makes no explicit or implicit representation or warranty as to the registrability, validity, enforceability, or ownership of the Licensed Mark, or as to Corporation’s ability to use the Licensed Mark without infringing or otherwise violating the rights of others, and Adviser has no obligation to indemnify Corporation with respect to any claims arising from Corporation’s use of the Licensed Mark.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Mutual Representations</w:t>
      </w:r>
      <w:r>
        <w:rPr>
          <w:rFonts w:ascii="Arial" w:cs="Arial" w:eastAsia="Arial" w:hAnsi="Arial"/>
          <w:sz w:val="18"/>
          <w:szCs w:val="18"/>
          <w:color w:val="auto"/>
        </w:rPr>
        <w:t>. Each party hereby represents and warrants to the other party as follows:</w:t>
      </w:r>
    </w:p>
    <w:p>
      <w:pPr>
        <w:spacing w:after="0" w:line="90" w:lineRule="exact"/>
        <w:rPr>
          <w:sz w:val="20"/>
          <w:szCs w:val="20"/>
          <w:color w:val="auto"/>
        </w:rPr>
      </w:pPr>
    </w:p>
    <w:p>
      <w:pPr>
        <w:ind w:left="460" w:right="160" w:firstLine="443"/>
        <w:spacing w:after="0" w:line="332" w:lineRule="auto"/>
        <w:tabs>
          <w:tab w:leader="none" w:pos="1137"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Due Authorization</w:t>
      </w:r>
      <w:r>
        <w:rPr>
          <w:rFonts w:ascii="Arial" w:cs="Arial" w:eastAsia="Arial" w:hAnsi="Arial"/>
          <w:sz w:val="16"/>
          <w:szCs w:val="16"/>
          <w:color w:val="auto"/>
        </w:rPr>
        <w:t>. Such party is a corporation duly incorporated and in good standing as of the Effective Date, and the execution, delivery and performance of this Agreement by such party have been duly authorized by all necessary action on the part of such party.</w:t>
      </w:r>
    </w:p>
    <w:p>
      <w:pPr>
        <w:spacing w:after="0" w:line="4" w:lineRule="exact"/>
        <w:rPr>
          <w:rFonts w:ascii="Arial" w:cs="Arial" w:eastAsia="Arial" w:hAnsi="Arial"/>
          <w:sz w:val="16"/>
          <w:szCs w:val="16"/>
          <w:color w:val="auto"/>
        </w:rPr>
      </w:pPr>
    </w:p>
    <w:p>
      <w:pPr>
        <w:ind w:left="460" w:right="160" w:firstLine="443"/>
        <w:spacing w:after="0" w:line="332" w:lineRule="auto"/>
        <w:tabs>
          <w:tab w:leader="none" w:pos="1147"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Due Execution</w:t>
      </w:r>
      <w:r>
        <w:rPr>
          <w:rFonts w:ascii="Arial" w:cs="Arial" w:eastAsia="Arial" w:hAnsi="Arial"/>
          <w:sz w:val="16"/>
          <w:szCs w:val="16"/>
          <w:color w:val="auto"/>
        </w:rPr>
        <w:t>. This Agreement has been duly executed and delivered by such party and, with due authorization, execution and delivery by the other party, constitutes a legal, valid and binding obligation of such party, enforceable against such party in accordance with its terms.</w:t>
      </w:r>
    </w:p>
    <w:p>
      <w:pPr>
        <w:spacing w:after="0" w:line="4" w:lineRule="exact"/>
        <w:rPr>
          <w:rFonts w:ascii="Arial" w:cs="Arial" w:eastAsia="Arial" w:hAnsi="Arial"/>
          <w:sz w:val="16"/>
          <w:szCs w:val="16"/>
          <w:color w:val="auto"/>
        </w:rPr>
      </w:pPr>
    </w:p>
    <w:p>
      <w:pPr>
        <w:ind w:left="460" w:right="200" w:firstLine="443"/>
        <w:spacing w:after="0" w:line="268" w:lineRule="auto"/>
        <w:tabs>
          <w:tab w:leader="none" w:pos="1137"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No Conflict</w:t>
      </w:r>
      <w:r>
        <w:rPr>
          <w:rFonts w:ascii="Arial" w:cs="Arial" w:eastAsia="Arial" w:hAnsi="Arial"/>
          <w:sz w:val="18"/>
          <w:szCs w:val="18"/>
          <w:color w:val="auto"/>
        </w:rPr>
        <w:t>. Such party’s execution, delivery and performance of this Agreement do not: (i) violate, conflict with or result in the breach of any provision of the charter or by-laws (or similar organizational documents) of such party; (ii) conflict with or violate any</w:t>
      </w:r>
    </w:p>
    <w:p>
      <w:pPr>
        <w:sectPr>
          <w:pgSz w:w="11900" w:h="16838" w:orient="portrait"/>
          <w:cols w:equalWidth="0" w:num="1">
            <w:col w:w="11380"/>
          </w:cols>
          <w:pgMar w:left="240" w:top="280" w:right="279" w:bottom="1440" w:gutter="0" w:footer="0" w:header="0"/>
        </w:sectPr>
      </w:pPr>
    </w:p>
    <w:bookmarkStart w:id="213" w:name="page214"/>
    <w:bookmarkEnd w:id="213"/>
    <w:p>
      <w:pPr>
        <w:ind w:left="4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law or governmental order applicable to such party or any of its assets, properties or businesses; or (iii) conflict with, result in any breach of, constitute a default (or event which with the giving of notice or lapse of time, or both, would become a default) under, require any consent under, or give to others any rights of termination, amendment, acceleration, suspension, revocation or cancellation of any contract, agreement, lease, sublease, license, permit, franchise or other instrument or arrangement to which it is a party.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TERM AND TERMINATION</w:t>
      </w:r>
    </w:p>
    <w:p>
      <w:pPr>
        <w:spacing w:after="0" w:line="165"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expire (a) upon expiration or termination of the Advisory Agreement; (b) if the Adviser ceases to serve as investment adviser to Corporation; (c) by Adviser or Corporation upon sixty (60) days’ written notice to the other party, or (d) by Adviser at any time in the event Corporation assigns or attempts to assign or sublicense this Agreement or any of Corporation’s rights or duties hereunder without the prior written consent of Adviser.</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Upon Termination</w:t>
      </w:r>
      <w:r>
        <w:rPr>
          <w:rFonts w:ascii="Arial" w:cs="Arial" w:eastAsia="Arial" w:hAnsi="Arial"/>
          <w:sz w:val="18"/>
          <w:szCs w:val="18"/>
          <w:color w:val="auto"/>
        </w:rPr>
        <w:t>. Upon expiration or termination of this Agreement, all rights granted to Corporation under this Agreement with respect to the Licensed Mark shall cease, and Corporation shall immediately discontinue all use of the Licensed Mark. Corporation shall immediately change its corporate name by deleting the term “PENNANTPARK.” For twenty- four (24) months following termination of this Agreement, Corporation shall specify on all public-facing materials in a prominent place and in prominent typeface that Corporation is no longer operating under the Licensed Mark and is no longer associated with Licensor.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16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Corporation will not sublicense, assign, pledge, grant or otherwise encumber or transfer to any third party all or any part of its rights or duties under this Agreement, in whole or in part, without the prior written consent from Adviser, which consent Adviser may grant or withhold in its sole and absolute discretion. Any purported transfer without such consent shall be void </w:t>
      </w:r>
      <w:r>
        <w:rPr>
          <w:rFonts w:ascii="Arial" w:cs="Arial" w:eastAsia="Arial" w:hAnsi="Arial"/>
          <w:sz w:val="18"/>
          <w:szCs w:val="18"/>
          <w:i w:val="1"/>
          <w:iCs w:val="1"/>
          <w:color w:val="auto"/>
        </w:rPr>
        <w:t>ab initio.</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Independent Contractor</w:t>
      </w:r>
      <w:r>
        <w:rPr>
          <w:rFonts w:ascii="Arial" w:cs="Arial" w:eastAsia="Arial" w:hAnsi="Arial"/>
          <w:sz w:val="16"/>
          <w:szCs w:val="16"/>
          <w:color w:val="auto"/>
        </w:rPr>
        <w:t>. Except as expressly provided or authorized in the Advisory Agreement, neither party shall have, or shall represent that it has, any power, right or authority to bind the other party to any obligation or liability, or to assume or create any obligation or liability on behalf of the other party.</w:t>
      </w:r>
    </w:p>
    <w:p>
      <w:pPr>
        <w:sectPr>
          <w:pgSz w:w="11900" w:h="16838" w:orient="portrait"/>
          <w:cols w:equalWidth="0" w:num="1">
            <w:col w:w="11420"/>
          </w:cols>
          <w:pgMar w:left="240" w:top="280" w:right="239" w:bottom="1440" w:gutter="0" w:footer="0" w:header="0"/>
        </w:sectPr>
      </w:pPr>
    </w:p>
    <w:bookmarkStart w:id="214" w:name="page215"/>
    <w:bookmarkEnd w:id="214"/>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6.3.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demands and other communications hereunder shall be in writing and shall be given or made (and shall be deemed to have been duly given or made upon receipt) by delivery in person, by overnight courier service (with signature required), by facsimile, or by registered or certified mail (postage prepaid, return receipt requested) to the respective parties at the following addresses:</w:t>
      </w:r>
    </w:p>
    <w:p>
      <w:pPr>
        <w:sectPr>
          <w:pgSz w:w="11900" w:h="16838" w:orient="portrait"/>
          <w:cols w:equalWidth="0" w:num="1">
            <w:col w:w="11380"/>
          </w:cols>
          <w:pgMar w:left="240" w:top="280" w:right="27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If to Adviser: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If to Corporation:</w:t>
      </w:r>
    </w:p>
    <w:p>
      <w:pPr>
        <w:spacing w:after="0" w:line="200" w:lineRule="exact"/>
        <w:rPr>
          <w:sz w:val="20"/>
          <w:szCs w:val="20"/>
          <w:color w:val="auto"/>
        </w:rPr>
      </w:pPr>
    </w:p>
    <w:p>
      <w:pPr>
        <w:sectPr>
          <w:pgSz w:w="11900" w:h="16838" w:orient="portrait"/>
          <w:cols w:equalWidth="0" w:num="2">
            <w:col w:w="5240" w:space="720"/>
            <w:col w:w="5420"/>
          </w:cols>
          <w:pgMar w:left="240" w:top="280" w:right="2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PennantPark Investment Advisers, LLC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445 Park Avenue, 10</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No.: (212) 307-3280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(212) 515-3451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Compliance Officer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PennantPark Investment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445 Park Avenue, 10</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No.: (212) 307-3280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(212 ) 515-3451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Compliance Officer</w:t>
      </w:r>
    </w:p>
    <w:p>
      <w:pPr>
        <w:spacing w:after="0" w:line="165" w:lineRule="exact"/>
        <w:rPr>
          <w:sz w:val="20"/>
          <w:szCs w:val="20"/>
          <w:color w:val="auto"/>
        </w:rPr>
      </w:pPr>
    </w:p>
    <w:p>
      <w:pPr>
        <w:sectPr>
          <w:pgSz w:w="11900" w:h="16838" w:orient="portrait"/>
          <w:cols w:equalWidth="0" w:num="2">
            <w:col w:w="5240" w:space="720"/>
            <w:col w:w="5420"/>
          </w:cols>
          <w:pgMar w:left="240" w:top="280" w:right="279" w:bottom="1440" w:gutter="0" w:footer="0" w:header="0"/>
          <w:type w:val="continuous"/>
        </w:sectPr>
      </w:pPr>
    </w:p>
    <w:p>
      <w:pPr>
        <w:ind w:right="80" w:firstLine="456"/>
        <w:spacing w:after="0" w:line="30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New York. The parties unconditionally and irrevocably consent to the exclusive jurisdiction of the courts located in the State of New York and waive any objection with respect thereto, for the purpose of any action, suit or proceeding arising out of or relating to this Agreement or the transactions contemplated hereby.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amended or modified except by an instrument in writing signed by each party hereto.</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either party to enforce at any time for any period the provisions of or any rights deriving from this Agreement shall not be construed to be a waiver of such provisions or rights or the right of such party thereafter to enforce such provisions, and no waiver shall be binding unless executed in writing by all parties hereto.</w:t>
      </w:r>
    </w:p>
    <w:p>
      <w:pPr>
        <w:spacing w:after="0" w:line="140"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 xml:space="preserve">6.7. </w:t>
      </w:r>
      <w:r>
        <w:rPr>
          <w:rFonts w:ascii="Arial" w:cs="Arial" w:eastAsia="Arial" w:hAnsi="Arial"/>
          <w:sz w:val="15"/>
          <w:szCs w:val="15"/>
          <w:u w:val="single" w:color="auto"/>
          <w:color w:val="auto"/>
        </w:rPr>
        <w:t>Severability</w:t>
      </w:r>
      <w:r>
        <w:rPr>
          <w:rFonts w:ascii="Arial" w:cs="Arial" w:eastAsia="Arial" w:hAnsi="Arial"/>
          <w:sz w:val="15"/>
          <w:szCs w:val="15"/>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0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Headings</w:t>
      </w:r>
      <w:r>
        <w:rPr>
          <w:rFonts w:ascii="Arial" w:cs="Arial" w:eastAsia="Arial" w:hAnsi="Arial"/>
          <w:sz w:val="18"/>
          <w:szCs w:val="18"/>
          <w:color w:val="auto"/>
        </w:rPr>
        <w:t>. The descriptive headings contained in this Agreement are for convenience of reference only and shall not affect in any way the meaning or interpretation of this Agreement.</w:t>
      </w:r>
    </w:p>
    <w:p>
      <w:pPr>
        <w:spacing w:after="0" w:line="13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when executed shall be deemed to be an original instrument and all of which taken together shall constitute one and the same agreement.</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of the parties with respect to the subject matter hereof and supersedes all prior agreements and undertakings, both written and oral, between the parties with respect to such subject matter.</w:t>
      </w:r>
    </w:p>
    <w:p>
      <w:pPr>
        <w:sectPr>
          <w:pgSz w:w="11900" w:h="16838" w:orient="portrait"/>
          <w:cols w:equalWidth="0" w:num="1">
            <w:col w:w="11380"/>
          </w:cols>
          <w:pgMar w:left="240" w:top="280" w:right="279" w:bottom="1440" w:gutter="0" w:footer="0" w:header="0"/>
          <w:type w:val="continuous"/>
        </w:sectPr>
      </w:pPr>
    </w:p>
    <w:bookmarkStart w:id="215" w:name="page216"/>
    <w:bookmarkEnd w:id="21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6.11.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Nothing in this Agreement, either express or implied, is intended to or shall confer upon any third party any legal or equitable right, benefit or remedy of any nature whatsoever under or by reason of this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each party has caused this Agreement to be executed as of the Effective Date by its duly authorized officer.</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ADVISER:</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CORPORATION:</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ectPr>
          <w:pgSz w:w="11900" w:h="16838" w:orient="portrait"/>
          <w:cols w:equalWidth="0" w:num="1">
            <w:col w:w="10840"/>
          </w:cols>
          <w:pgMar w:left="240" w:top="280" w:right="81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(k)(5)</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REGISTRATION RIGHTS AGREEMENT</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April 16, 2007</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among</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PENNANTPARK INVESTMENT CORPORATION</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OTHER HOLDERS NAMED HEREIN</w:t>
      </w:r>
    </w:p>
    <w:p>
      <w:pPr>
        <w:sectPr>
          <w:pgSz w:w="11900" w:h="16838" w:orient="portrait"/>
          <w:cols w:equalWidth="0" w:num="1">
            <w:col w:w="10220"/>
          </w:cols>
          <w:pgMar w:left="1440" w:top="125" w:right="239" w:bottom="1440" w:gutter="0" w:footer="0" w:header="0"/>
        </w:sectPr>
      </w:pPr>
    </w:p>
    <w:bookmarkStart w:id="217" w:name="page218"/>
    <w:bookmarkEnd w:id="217"/>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RIGHTS AGREEMENT</w:t>
      </w:r>
    </w:p>
    <w:p>
      <w:pPr>
        <w:spacing w:after="0" w:line="17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This Registration Rights Agreement is made and entered into as of April 16, 2007 (this “</w:t>
      </w:r>
      <w:r>
        <w:rPr>
          <w:rFonts w:ascii="Arial" w:cs="Arial" w:eastAsia="Arial" w:hAnsi="Arial"/>
          <w:sz w:val="16"/>
          <w:szCs w:val="16"/>
          <w:u w:val="single" w:color="auto"/>
          <w:color w:val="auto"/>
        </w:rPr>
        <w:t>Agreement</w:t>
      </w:r>
      <w:r>
        <w:rPr>
          <w:rFonts w:ascii="Arial" w:cs="Arial" w:eastAsia="Arial" w:hAnsi="Arial"/>
          <w:sz w:val="16"/>
          <w:szCs w:val="16"/>
          <w:color w:val="auto"/>
        </w:rPr>
        <w:t>”), among PennantPark Investment Corporation, a corporation organized under the laws of Maryland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persons named on the signature pages hereto (the “</w:t>
      </w:r>
      <w:r>
        <w:rPr>
          <w:rFonts w:ascii="Arial" w:cs="Arial" w:eastAsia="Arial" w:hAnsi="Arial"/>
          <w:sz w:val="16"/>
          <w:szCs w:val="16"/>
          <w:u w:val="single" w:color="auto"/>
          <w:color w:val="auto"/>
        </w:rPr>
        <w:t>Investors</w:t>
      </w:r>
      <w:r>
        <w:rPr>
          <w:rFonts w:ascii="Arial" w:cs="Arial" w:eastAsia="Arial" w:hAnsi="Arial"/>
          <w:sz w:val="16"/>
          <w:szCs w:val="16"/>
          <w:color w:val="auto"/>
        </w:rPr>
        <w:t>”).</w:t>
      </w:r>
    </w:p>
    <w:p>
      <w:pPr>
        <w:spacing w:after="0" w:line="16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WHEREAS, the Company has filed a registration statement on Form N-2 for the purpose of registering 31,050,000 shares of its Common Stock (as defined herein) for issuance and sale by the Company in an initial public offering (the “IPO”).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WHEREAS, immediately prior to the IPO, the Company and the Investors are entering into a subscription agreement dated April 16, 2007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pursuant to which the Company has agreed to issue and sell to the Investors, and the Investors have agreed to purchase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an aggregate of 320,000 shares of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on the terms and subject to the conditions described therein; and</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 WHEREAS, as an inducement to the Investors to enter into the Subscription Agreement, the Company has agreed to provide the registration rights set forth in this Agreement.</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Agreement</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NOW, THEREFORE, in consideration of the foregoing and the mutual promises, covenants and agreements of the parties hereto, and for other good and valuable consideration the receipt and sufficiency of which are hereby acknowledged, the parties hereto agree as follows:</w:t>
      </w: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SECTION 1. DEFINITIONS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Defined Terms. As used in this Agreement, the following terms shall have the following meanings: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Adverse Disclosure</w:t>
      </w:r>
      <w:r>
        <w:rPr>
          <w:rFonts w:ascii="Arial" w:cs="Arial" w:eastAsia="Arial" w:hAnsi="Arial"/>
          <w:sz w:val="16"/>
          <w:szCs w:val="16"/>
          <w:color w:val="auto"/>
        </w:rPr>
        <w:t>” means public disclosure of material non-public information, which disclosure, in the good faith judgment of the Board of Directors or the chief executive officer of the Company after consultation with counsel to the Company, (i) would be required to be made in any Registration Statement so that such Registration Statement would not be materially misleading, (ii) would not be required to be made at such time but for the public availability of such Registration Statement and (iii) the Company has a bona fide business purpose for not disclosing publicly.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 hereto.</w:t>
      </w:r>
    </w:p>
    <w:p>
      <w:pPr>
        <w:sectPr>
          <w:pgSz w:w="11900" w:h="16838" w:orient="portrait"/>
          <w:cols w:equalWidth="0" w:num="1">
            <w:col w:w="11280"/>
          </w:cols>
          <w:pgMar w:left="240" w:top="274" w:right="379" w:bottom="1440" w:gutter="0" w:footer="0" w:header="0"/>
        </w:sectPr>
      </w:pPr>
    </w:p>
    <w:bookmarkStart w:id="218" w:name="page219"/>
    <w:bookmarkEnd w:id="21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$.001 per share, of the Company.</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 hereto and shall include the Company’s successors by merger, amalgamation, acquisition, reorganization or otherwise.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w:t>
      </w:r>
      <w:r>
        <w:rPr>
          <w:rFonts w:ascii="Arial" w:cs="Arial" w:eastAsia="Arial" w:hAnsi="Arial"/>
          <w:sz w:val="18"/>
          <w:szCs w:val="18"/>
          <w:color w:val="auto"/>
        </w:rPr>
        <w:t>” has the meaning set forth in Section 2.2(a).</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thereto, and any rules and regulations promulgated thereunder, all as the same shall be in effect from time to time.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or “</w:t>
      </w:r>
      <w:r>
        <w:rPr>
          <w:rFonts w:ascii="Arial" w:cs="Arial" w:eastAsia="Arial" w:hAnsi="Arial"/>
          <w:sz w:val="18"/>
          <w:szCs w:val="18"/>
          <w:u w:val="single" w:color="auto"/>
          <w:color w:val="auto"/>
        </w:rPr>
        <w:t>holders</w:t>
      </w:r>
      <w:r>
        <w:rPr>
          <w:rFonts w:ascii="Arial" w:cs="Arial" w:eastAsia="Arial" w:hAnsi="Arial"/>
          <w:sz w:val="18"/>
          <w:szCs w:val="18"/>
          <w:color w:val="auto"/>
        </w:rPr>
        <w:t>” means any holder or holders of Registrable Securities who is a party hereto or who otherwise agrees in writing to be bound by the provisions of this Agreement pursuant to Section 3.3.</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Incidental Registration</w:t>
      </w:r>
      <w:r>
        <w:rPr>
          <w:rFonts w:ascii="Arial" w:cs="Arial" w:eastAsia="Arial" w:hAnsi="Arial"/>
          <w:sz w:val="18"/>
          <w:szCs w:val="18"/>
          <w:color w:val="auto"/>
        </w:rPr>
        <w:t>” has the meaning set forth in Section 2.3(a).</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 and any successor thereto, and any rules and regulations promulgated thereunder, all as the same shall be in effect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Investors</w:t>
      </w:r>
      <w:r>
        <w:rPr>
          <w:rFonts w:ascii="Arial" w:cs="Arial" w:eastAsia="Arial" w:hAnsi="Arial"/>
          <w:sz w:val="18"/>
          <w:szCs w:val="18"/>
          <w:color w:val="auto"/>
        </w:rPr>
        <w:t>” has the meaning set forth in the preamble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has the meaning set forth in the recitals hereto.</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Listing Date</w:t>
      </w:r>
      <w:r>
        <w:rPr>
          <w:rFonts w:ascii="Arial" w:cs="Arial" w:eastAsia="Arial" w:hAnsi="Arial"/>
          <w:sz w:val="18"/>
          <w:szCs w:val="18"/>
          <w:color w:val="auto"/>
        </w:rPr>
        <w:t>” means the date on which the Common Stock commences trading on the Nasdaq Global Market, any U.S. national securities exchange, the London Stock Market (including the AIM Market), the Euronext Registered Market or any other securities exchange.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w:t>
      </w:r>
      <w:r>
        <w:rPr>
          <w:rFonts w:ascii="Arial" w:cs="Arial" w:eastAsia="Arial" w:hAnsi="Arial"/>
          <w:sz w:val="18"/>
          <w:szCs w:val="18"/>
          <w:color w:val="auto"/>
        </w:rPr>
        <w:t>” has the meaning set forth in Section 2.9(a).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w:t>
      </w:r>
      <w:r>
        <w:rPr>
          <w:rFonts w:ascii="Arial" w:cs="Arial" w:eastAsia="Arial" w:hAnsi="Arial"/>
          <w:sz w:val="18"/>
          <w:szCs w:val="18"/>
          <w:color w:val="auto"/>
        </w:rPr>
        <w:t>” means the National Association of Securities Dealers, Inc.</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firm, limited liability company or partnership, joint venture, corporation, joint stock company, trust or unincorporated organization, incorporated or unincorporated association, government (or any department, agency or political subdivision thereof) or other entity of any kind.</w:t>
      </w:r>
    </w:p>
    <w:p>
      <w:pPr>
        <w:spacing w:after="0" w:line="85"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prospectus included in any Registration Statement, all amendments and supplements to such prospectus and all material incorporated by reference in such prospectus.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(i) all of the Shares issued and sold by the Company to the Investors pursuant to the terms of the Subscription Agreement and (ii) any securities that may be issued or distributed or be issuable in respect thereof by way of stock</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240"/>
          </w:cols>
          <w:pgMar w:left="240" w:top="280" w:right="419" w:bottom="1440" w:gutter="0" w:footer="0" w:header="0"/>
        </w:sectPr>
      </w:pPr>
    </w:p>
    <w:bookmarkStart w:id="219" w:name="page220"/>
    <w:bookmarkEnd w:id="219"/>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dividend, stock split or other distribution, merger, amalgamation, consolidation, exchange offer, recapitalization or reclassification or similar transaction or exercise or conversion of any of the foregoing;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of the foregoing securities shall cease to be “Registrable Securities” to the extent (i) a Registration Statement with respect to their sale or exchange for registered securities has been declared effective under the Securities Act and they have been disposed of or exchanged pursuant to such Registration Statement, (ii) they have been distributed pursuant to Rule 144 (or any similar provision then in force) under the Securities Act or (iii) new certificates for them not bearing a legend restricting transfer under the Securities Act shall have been delivered by the Company and they may be publicly resold (without volume or method of sale restrictions) without registration under the Securities Act. For purposes of this Agreement, a “class” of Registrable Securities shall mean all Securities with the same terms and a “percentage” (or a “majority”) of the Registrable Securities (or, where applicable, of any other securities) shall be determined based on the number of shares of such securities.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w:t>
      </w:r>
      <w:r>
        <w:rPr>
          <w:rFonts w:ascii="Arial" w:cs="Arial" w:eastAsia="Arial" w:hAnsi="Arial"/>
          <w:sz w:val="18"/>
          <w:szCs w:val="18"/>
          <w:color w:val="auto"/>
        </w:rPr>
        <w:t>” means a registration of the Company’s securities for sale to the public under a Registration Statement.</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any registration statement of the Company filed with, or to be filed with, the SEC under the rules and regulations promulgated under the Securities Act, including the Prospectus, any and all amendments and supplements to such registration statement, including post-effective amendments, and all exhibits to and all material incorporated by reference in such registration statement.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any successor thereto, and any rules and regulations promulgated thereunder, all as the same shall be in effect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w:t>
      </w:r>
      <w:r>
        <w:rPr>
          <w:rFonts w:ascii="Arial" w:cs="Arial" w:eastAsia="Arial" w:hAnsi="Arial"/>
          <w:sz w:val="18"/>
          <w:szCs w:val="18"/>
          <w:color w:val="auto"/>
        </w:rPr>
        <w:t>” means a registration effected pursuant to Section 2.1.</w:t>
      </w:r>
    </w:p>
    <w:p>
      <w:pPr>
        <w:spacing w:after="0" w:line="171"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means a Registration Statement of the Company filed with the SEC on Form N-2 (or any successor form or other appropriate forms under the Securities Act or the Investment Company Act) for an offering to be made on a continuous or delayed basis pursuant to Rule 415 under the Securities Act (or any similar rule that may be adopted by the SEC) covering the Registrable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has the meaning set forth in the recitals hereto.</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means a registration in which securities of the Company are sold to an underwriter or underwriters on a firm commitment basis for reoffering to the public.</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General Interpretive Principles</w:t>
      </w:r>
      <w:r>
        <w:rPr>
          <w:rFonts w:ascii="Arial" w:cs="Arial" w:eastAsia="Arial" w:hAnsi="Arial"/>
          <w:sz w:val="18"/>
          <w:szCs w:val="18"/>
          <w:color w:val="auto"/>
        </w:rPr>
        <w:t>. Whenever used in this Agreement, except as otherwise expressly provided or unless the context otherwise requires, any noun or pronoun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80" w:right="239" w:bottom="1440" w:gutter="0" w:footer="0" w:header="0"/>
        </w:sectPr>
      </w:pPr>
    </w:p>
    <w:bookmarkStart w:id="220" w:name="page221"/>
    <w:bookmarkEnd w:id="220"/>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deemed to include the plural as well as the singular and to cover all genders. The names assigned in this Agreement and the section captions used herein are for convenience of reference only and shall not be construed to affect the meaning, construction or effect hereof. Unless otherwise specified, the terms “hereof,” “herein,” “hereunder” and similar terms refer to this Agreement as a whole (including the exhibits, schedules and disclosure statements hereto), and references herein to Sections refer to Sections of this Agreement.</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2. REGISTRATION RIGHTS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9" w:lineRule="auto"/>
        <w:tabs>
          <w:tab w:leader="none" w:pos="695"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Filing</w:t>
      </w:r>
      <w:r>
        <w:rPr>
          <w:rFonts w:ascii="Arial" w:cs="Arial" w:eastAsia="Arial" w:hAnsi="Arial"/>
          <w:sz w:val="16"/>
          <w:szCs w:val="16"/>
          <w:color w:val="auto"/>
        </w:rPr>
        <w:t>. Commencing at such time as the Company is eligible to use Form S-3, and subject to Section 2.1(c), upon the written request of the holders of not less than 25% of the Registrable Securities at any time, the Company shall use its reasonable best efforts to file with the SEC as soon as practicable and, in any event, within 60 days of the Company’s receipt of such written request, a Shelf Registration Statement relating to the offer and sale of all Registrable Securities from time to time in accordance with the reasonable and customary methods of distribution elected by such requesting holders and shall use its reasonable best efforts to cause such Shelf Registration Statement to be declared effective under the Securities Act. The Company shall not be required to effect more than three Shelf Registrations covering the Registrable Securities. The Company may elect to include in such registration additional securities of the same class as the Registrable Securities to be registered hereunder, including securities to be sold for the Company’s own account or for the account of Persons who are not holders of Registrable Securities.</w:t>
      </w:r>
    </w:p>
    <w:p>
      <w:pPr>
        <w:spacing w:after="0" w:line="118" w:lineRule="exact"/>
        <w:rPr>
          <w:rFonts w:ascii="Arial" w:cs="Arial" w:eastAsia="Arial" w:hAnsi="Arial"/>
          <w:sz w:val="16"/>
          <w:szCs w:val="16"/>
          <w:color w:val="auto"/>
        </w:rPr>
      </w:pPr>
    </w:p>
    <w:p>
      <w:pPr>
        <w:ind w:right="140" w:firstLine="464"/>
        <w:spacing w:after="0" w:line="290" w:lineRule="auto"/>
        <w:tabs>
          <w:tab w:leader="none" w:pos="705"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Continued Effectiveness</w:t>
      </w:r>
      <w:r>
        <w:rPr>
          <w:rFonts w:ascii="Arial" w:cs="Arial" w:eastAsia="Arial" w:hAnsi="Arial"/>
          <w:sz w:val="16"/>
          <w:szCs w:val="16"/>
          <w:color w:val="auto"/>
        </w:rPr>
        <w:t>. Subject to Section 2.1(c), the Company shall use its reasonable best efforts to keep a Shelf Registration Statement filed pursuant to Section 2.1(a) continuously effective for a period of two years (or such shorter period as will terminate when all Registrable Securities covered by such Shelf Registration Statement have been sold or withdrawn) in order to permit the Prospectus forming a part thereof to be usable by the holders during such two-year (or shorter) period. The Company shall not be deemed to have used its reasonable best efforts to keep a Shelf Registration Statement effective if the Company voluntarily takes any action, or omits to take any action, that would result in the inability of any holder of Registrable Securities covered by such Registration Statement to be able to offer and sell any such Registrable Securities during the two-year (or shorter) period during which such Registration Statement is required to be effective, unless such action or omission is required by applicable law.</w:t>
      </w:r>
    </w:p>
    <w:p>
      <w:pPr>
        <w:spacing w:after="0" w:line="118" w:lineRule="exact"/>
        <w:rPr>
          <w:rFonts w:ascii="Arial" w:cs="Arial" w:eastAsia="Arial" w:hAnsi="Arial"/>
          <w:sz w:val="16"/>
          <w:szCs w:val="16"/>
          <w:color w:val="auto"/>
        </w:rPr>
      </w:pPr>
    </w:p>
    <w:p>
      <w:pPr>
        <w:ind w:firstLine="464"/>
        <w:spacing w:after="0" w:line="255" w:lineRule="auto"/>
        <w:tabs>
          <w:tab w:leader="none" w:pos="695"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Suspension of Registration</w:t>
      </w:r>
      <w:r>
        <w:rPr>
          <w:rFonts w:ascii="Arial" w:cs="Arial" w:eastAsia="Arial" w:hAnsi="Arial"/>
          <w:sz w:val="18"/>
          <w:szCs w:val="18"/>
          <w:color w:val="auto"/>
        </w:rPr>
        <w:t>. If the filing, initial effectiveness or continued use of a Shelf Registration Statement at any time would require the Company to make an Adverse Disclosure or would require the inclusion in such Shelf Registration Statement of financial statements that are unavailable to the Company for reasons beyond the Company’s control, the Company may, upon giving prompt written notice of such action to the holders, delay the filing or initial effectiveness of, or suspend use of, such Shelf Registration Statement for the shortest period of time determined in good faith by the Company to be necessary for such</w:t>
      </w:r>
    </w:p>
    <w:p>
      <w:pPr>
        <w:spacing w:after="0" w:line="129" w:lineRule="exact"/>
        <w:rPr>
          <w:rFonts w:ascii="Arial" w:cs="Arial" w:eastAsia="Arial" w:hAnsi="Arial"/>
          <w:sz w:val="18"/>
          <w:szCs w:val="18"/>
          <w:color w:val="auto"/>
        </w:rPr>
      </w:pPr>
    </w:p>
    <w:p>
      <w:pPr>
        <w:ind w:left="5680" w:hanging="112"/>
        <w:spacing w:after="0"/>
        <w:tabs>
          <w:tab w:leader="none" w:pos="56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80"/>
          </w:cols>
          <w:pgMar w:left="240" w:top="280" w:right="279" w:bottom="1440" w:gutter="0" w:footer="0" w:header="0"/>
        </w:sectPr>
      </w:pPr>
    </w:p>
    <w:bookmarkStart w:id="221" w:name="page222"/>
    <w:bookmarkEnd w:id="22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purpose;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permitted to do so (A) more than two times during any 12-month period, (B) for a period exceeding 120 days on any one occasion or (C) for a total of more than 180 days in any 12-month period. In the event the Company exercises its rights under the preceding sentence, the holders agree to suspend, immediately upon their receipt of the notice referred to above, their use of the Prospectus relating to such Shelf Registration in connection with any sale or offer to sell Registrable Securities and agree not to disclose to any other Person the fact that the Company has exercised such rights or any related facts. The Company shall immediately notify the holders upon the expiration of any period during which it exercised its rights under this Section 2.1(c) and that the use of the Prospectus may, subject to receipt of any supplemented or amended Prospectus contemplated by Section 2.5(a)(iv) if necessitated by the circumstances giving rise to the delay or suspension described above, be resumed. In the event that the Company shall exercise its rights under this Section 2.1(c) to suspend the use of such Shelf Registration Statement after it has been declared effective, the period during which the Shelf Registration Statement is required pursuant to Section 2.1(b) to be maintained effective shall be extended by the number of days during the period from and including the date of the giving of such suspension notice to and including the date when each holder of Registrable Securities covered by such Shelf Registration Statement either receives the copies of the supplemented or amended Prospectus contemplated by Section 2.5(a)(iv) or is advised in writing by the Company that the use of the Prospectus may be resumed.</w:t>
      </w:r>
    </w:p>
    <w:p>
      <w:pPr>
        <w:spacing w:after="0" w:line="124" w:lineRule="exact"/>
        <w:rPr>
          <w:sz w:val="20"/>
          <w:szCs w:val="20"/>
          <w:color w:val="auto"/>
        </w:rPr>
      </w:pPr>
    </w:p>
    <w:p>
      <w:pPr>
        <w:ind w:right="160" w:firstLine="464"/>
        <w:spacing w:after="0" w:line="291" w:lineRule="auto"/>
        <w:tabs>
          <w:tab w:leader="none" w:pos="705"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Underwritten Offering</w:t>
      </w:r>
      <w:r>
        <w:rPr>
          <w:rFonts w:ascii="Arial" w:cs="Arial" w:eastAsia="Arial" w:hAnsi="Arial"/>
          <w:sz w:val="16"/>
          <w:szCs w:val="16"/>
          <w:color w:val="auto"/>
        </w:rPr>
        <w:t xml:space="preserve">. If the holders of not less than two-thirds of the Registrable Securities included in any offering pursuant to a Shelf Registration Statement so elect, such offering shall be in the foam of an Underwritten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estimated market value of any such offering, including any other shares of Common Stock included therein, would constitute at least $50 million in aggregate gross proceeds. If necessary, the Company shall amend or supplement the Shelf Registration Statement for such purpose. The Issuer shall have the right, after consulting with the holders of Registrable Securities making such election to be included in such Underwritten Offering, to select the managing underwriter or underwriters for the offering, subject to the right of a majority of such holders to approve such managing underwriter or underwriters, which approval shall not be unreasonably withheld.</w:t>
      </w:r>
    </w:p>
    <w:p>
      <w:pPr>
        <w:spacing w:after="0" w:line="120" w:lineRule="exact"/>
        <w:rPr>
          <w:rFonts w:ascii="Arial" w:cs="Arial" w:eastAsia="Arial" w:hAnsi="Arial"/>
          <w:sz w:val="16"/>
          <w:szCs w:val="16"/>
          <w:color w:val="auto"/>
        </w:rPr>
      </w:pPr>
    </w:p>
    <w:p>
      <w:pPr>
        <w:jc w:val="both"/>
        <w:ind w:right="60" w:firstLine="464"/>
        <w:spacing w:after="0" w:line="259" w:lineRule="auto"/>
        <w:tabs>
          <w:tab w:leader="none" w:pos="695"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Effect on Demand and Incidental Registration Obligation</w:t>
      </w:r>
      <w:r>
        <w:rPr>
          <w:rFonts w:ascii="Arial" w:cs="Arial" w:eastAsia="Arial" w:hAnsi="Arial"/>
          <w:sz w:val="18"/>
          <w:szCs w:val="18"/>
          <w:color w:val="auto"/>
        </w:rPr>
        <w:t>. The provisions of Sections 2.2 and 2.3 shall not apply to any holder of Registrable Securities at any time the Company is maintaining an effective Shelf Registration Statement with respect to any Registrable Securities of such holder and is complying with its obligations under this Section 2.1 with respect to Registrable Securities.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Demand Registrations</w:t>
      </w:r>
      <w:r>
        <w:rPr>
          <w:rFonts w:ascii="Arial" w:cs="Arial" w:eastAsia="Arial" w:hAnsi="Arial"/>
          <w:sz w:val="18"/>
          <w:szCs w:val="18"/>
          <w:color w:val="auto"/>
        </w:rPr>
        <w:t>.</w:t>
      </w:r>
    </w:p>
    <w:p>
      <w:pPr>
        <w:spacing w:after="0" w:line="171" w:lineRule="exact"/>
        <w:rPr>
          <w:sz w:val="20"/>
          <w:szCs w:val="20"/>
          <w:color w:val="auto"/>
        </w:rPr>
      </w:pPr>
    </w:p>
    <w:p>
      <w:pPr>
        <w:ind w:right="80" w:firstLine="464"/>
        <w:spacing w:after="0" w:line="259" w:lineRule="auto"/>
        <w:tabs>
          <w:tab w:leader="none" w:pos="695"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Demand by Holders</w:t>
      </w:r>
      <w:r>
        <w:rPr>
          <w:rFonts w:ascii="Arial" w:cs="Arial" w:eastAsia="Arial" w:hAnsi="Arial"/>
          <w:sz w:val="18"/>
          <w:szCs w:val="18"/>
          <w:color w:val="auto"/>
        </w:rPr>
        <w:t>. (i) From and after the date which is the earlier of (A) 180 days after the date upon which the Company has commenced filing reports under Section 13 of the Exchange Act with the SEC and (B) the Listing Date, the holders of not less than two-thirds of Registrable Securities may make a written request to the Company for registration of all</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80" w:right="239" w:bottom="1440" w:gutter="0" w:footer="0" w:header="0"/>
        </w:sectPr>
      </w:pPr>
    </w:p>
    <w:bookmarkStart w:id="222" w:name="page223"/>
    <w:bookmarkEnd w:id="22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or any portion of the Registrable Securities held by such requesting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estimated market value of the Registrable Securities to be registered is at least $50 million in aggregate gross proceeds in any public offering thereof. Any such requested registration shall hereinafter be referred to as a “</w:t>
      </w:r>
      <w:r>
        <w:rPr>
          <w:rFonts w:ascii="Arial" w:cs="Arial" w:eastAsia="Arial" w:hAnsi="Arial"/>
          <w:sz w:val="18"/>
          <w:szCs w:val="18"/>
          <w:u w:val="single" w:color="auto"/>
          <w:color w:val="auto"/>
        </w:rPr>
        <w:t>Demand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Registration</w:t>
      </w:r>
      <w:r>
        <w:rPr>
          <w:rFonts w:ascii="Arial" w:cs="Arial" w:eastAsia="Arial" w:hAnsi="Arial"/>
          <w:sz w:val="18"/>
          <w:szCs w:val="18"/>
          <w:color w:val="auto"/>
        </w:rPr>
        <w:t>.” Each request for a Demand Registration shall specify the aggregate amount of Registrable Securities to be registered and the intended methods of disposition thereof.</w:t>
      </w:r>
    </w:p>
    <w:p>
      <w:pPr>
        <w:spacing w:after="0" w:line="62" w:lineRule="exact"/>
        <w:rPr>
          <w:sz w:val="20"/>
          <w:szCs w:val="20"/>
          <w:color w:val="auto"/>
        </w:rPr>
      </w:pPr>
    </w:p>
    <w:p>
      <w:pPr>
        <w:ind w:left="460" w:right="40" w:firstLine="443"/>
        <w:spacing w:after="0" w:line="289" w:lineRule="auto"/>
        <w:tabs>
          <w:tab w:leader="none" w:pos="1157" w:val="left"/>
        </w:tabs>
        <w:numPr>
          <w:ilvl w:val="1"/>
          <w:numId w:val="176"/>
        </w:numPr>
        <w:rPr>
          <w:rFonts w:ascii="Arial" w:cs="Arial" w:eastAsia="Arial" w:hAnsi="Arial"/>
          <w:sz w:val="16"/>
          <w:szCs w:val="16"/>
          <w:color w:val="auto"/>
        </w:rPr>
      </w:pPr>
      <w:r>
        <w:rPr>
          <w:rFonts w:ascii="Arial" w:cs="Arial" w:eastAsia="Arial" w:hAnsi="Arial"/>
          <w:sz w:val="16"/>
          <w:szCs w:val="16"/>
          <w:color w:val="auto"/>
        </w:rPr>
        <w:t xml:space="preserve">Within five days following receipt of any written request for a Demand Registration, the Company shall deliver written notice of such request to all other holders of Registrable Securities of the class or classes to be registered. Thereafter, subject to Section 2.2(g), the Company shall include in such Demand Registration any additional Registrable Securities of each such class which the holder or holders thereof have requested in writing be included in such Demand Registration;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requests therefor have been received by the Company within 15 days of the Company’s having sent the applicable notice to such holder or holders. All such requests shall specify the aggregate amount and class of Registrable Securities to be registered and the intended method of distribution of the same. Subject to Section 2.2(g), the Company also may elect to include in such registration additional securities of the class or classes of the Registrable Securities to be registered hereunder, including securities to be sold for the Company’s own account or for the account of Persons who are not holders of Registrable Securities.</w:t>
      </w:r>
    </w:p>
    <w:p>
      <w:pPr>
        <w:spacing w:after="0" w:line="37" w:lineRule="exact"/>
        <w:rPr>
          <w:rFonts w:ascii="Arial" w:cs="Arial" w:eastAsia="Arial" w:hAnsi="Arial"/>
          <w:sz w:val="16"/>
          <w:szCs w:val="16"/>
          <w:color w:val="auto"/>
        </w:rPr>
      </w:pPr>
    </w:p>
    <w:p>
      <w:pPr>
        <w:ind w:left="460" w:right="80" w:firstLine="443"/>
        <w:spacing w:after="0" w:line="259" w:lineRule="auto"/>
        <w:tabs>
          <w:tab w:leader="none" w:pos="1205"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As promptly as practicable (and, in any event, within 60 days) following receipt of a written request for a Demand Registration, the Company shall file a Registration Statement relating to such Demand Registration and shall use its reasonable best efforts to cause such Registration Statement to be declared effective under the Securities Act.</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Limitation on Demand Registrations</w:t>
      </w:r>
      <w:r>
        <w:rPr>
          <w:rFonts w:ascii="Arial" w:cs="Arial" w:eastAsia="Arial" w:hAnsi="Arial"/>
          <w:sz w:val="18"/>
          <w:szCs w:val="18"/>
          <w:color w:val="auto"/>
        </w:rPr>
        <w:t>. In no event shall the Company be required to effect more than four Demand Registrations.</w:t>
      </w:r>
    </w:p>
    <w:p>
      <w:pPr>
        <w:spacing w:after="0" w:line="171" w:lineRule="exact"/>
        <w:rPr>
          <w:rFonts w:ascii="Arial" w:cs="Arial" w:eastAsia="Arial" w:hAnsi="Arial"/>
          <w:sz w:val="18"/>
          <w:szCs w:val="18"/>
          <w:color w:val="auto"/>
        </w:rPr>
      </w:pPr>
    </w:p>
    <w:p>
      <w:pPr>
        <w:ind w:right="20" w:firstLine="464"/>
        <w:spacing w:after="0" w:line="255" w:lineRule="auto"/>
        <w:tabs>
          <w:tab w:leader="none" w:pos="695"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Demand Withdrawal</w:t>
      </w:r>
      <w:r>
        <w:rPr>
          <w:rFonts w:ascii="Arial" w:cs="Arial" w:eastAsia="Arial" w:hAnsi="Arial"/>
          <w:sz w:val="18"/>
          <w:szCs w:val="18"/>
          <w:color w:val="auto"/>
        </w:rPr>
        <w:t>. A holder may withdraw its Registrable Securities from a Demand Registration at any time prior to the effectiveness of the applicable Registration Statement. If holders of a majority of the Registrable Securities to be included in the applicable Registration Statement do so, the Company shall cease all efforts to secure registration and such registration nonetheless shall be deemed a Demand Registration for purposes Section 2.2(b) unless such withdrawing holders shall have paid or reimbursed the Company for all of the reasonable out-of-pocket fees and expenses incurred by the Company in connection with the withdrawn registration.</w:t>
      </w:r>
    </w:p>
    <w:p>
      <w:pPr>
        <w:spacing w:after="0" w:line="142" w:lineRule="exact"/>
        <w:rPr>
          <w:rFonts w:ascii="Arial" w:cs="Arial" w:eastAsia="Arial" w:hAnsi="Arial"/>
          <w:sz w:val="18"/>
          <w:szCs w:val="18"/>
          <w:color w:val="auto"/>
        </w:rPr>
      </w:pPr>
    </w:p>
    <w:p>
      <w:pPr>
        <w:ind w:right="280" w:firstLine="464"/>
        <w:spacing w:after="0" w:line="298" w:lineRule="auto"/>
        <w:tabs>
          <w:tab w:leader="none" w:pos="705"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Effective Registration</w:t>
      </w:r>
      <w:r>
        <w:rPr>
          <w:rFonts w:ascii="Arial" w:cs="Arial" w:eastAsia="Arial" w:hAnsi="Arial"/>
          <w:sz w:val="16"/>
          <w:szCs w:val="16"/>
          <w:color w:val="auto"/>
        </w:rPr>
        <w:t>. The Company shall be deemed to have effected a Demand Registration if the applicable Registration Statement is declared effective by the SEC and remains effective for not less than 180 days (or such shorter period as will terminate when all Registrable Securities covered by such Registration Statement have been sold or withdrawn). No Demand Registration shall be deemed to have been effected if an Underwritten Offering is contemplated by such Demand Registration and the conditions to closing specified in the</w:t>
      </w:r>
    </w:p>
    <w:p>
      <w:pPr>
        <w:spacing w:after="0" w:line="99" w:lineRule="exact"/>
        <w:rPr>
          <w:rFonts w:ascii="Arial" w:cs="Arial" w:eastAsia="Arial" w:hAnsi="Arial"/>
          <w:sz w:val="16"/>
          <w:szCs w:val="16"/>
          <w:color w:val="auto"/>
        </w:rPr>
      </w:pPr>
    </w:p>
    <w:p>
      <w:pPr>
        <w:ind w:left="5680" w:hanging="112"/>
        <w:spacing w:after="0"/>
        <w:tabs>
          <w:tab w:leader="none" w:pos="5680" w:val="left"/>
        </w:tabs>
        <w:numPr>
          <w:ilvl w:val="2"/>
          <w:numId w:val="177"/>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00"/>
          </w:cols>
          <w:pgMar w:left="240" w:top="280" w:right="259" w:bottom="1440" w:gutter="0" w:footer="0" w:header="0"/>
        </w:sectPr>
      </w:pPr>
    </w:p>
    <w:bookmarkStart w:id="223" w:name="page224"/>
    <w:bookmarkEnd w:id="223"/>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underwriting agreement are not satisfied by reason of a wrongful act, misrepresentation or breach of such underwriting agreement or this Agreement by the Company.</w:t>
      </w:r>
    </w:p>
    <w:p>
      <w:pPr>
        <w:spacing w:after="0" w:line="132" w:lineRule="exact"/>
        <w:rPr>
          <w:sz w:val="20"/>
          <w:szCs w:val="20"/>
          <w:color w:val="auto"/>
        </w:rPr>
      </w:pPr>
    </w:p>
    <w:p>
      <w:pPr>
        <w:ind w:right="40" w:firstLine="464"/>
        <w:spacing w:after="0" w:line="285" w:lineRule="auto"/>
        <w:tabs>
          <w:tab w:leader="none" w:pos="695"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Suspension of Registration</w:t>
      </w:r>
      <w:r>
        <w:rPr>
          <w:rFonts w:ascii="Arial" w:cs="Arial" w:eastAsia="Arial" w:hAnsi="Arial"/>
          <w:sz w:val="16"/>
          <w:szCs w:val="16"/>
          <w:color w:val="auto"/>
        </w:rPr>
        <w:t xml:space="preserve">. If the filing, initial effectiveness or continued use of a Registration Statement in respect of a Demand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a the shortest period of time determined in good faith by the Company to be necessary for such purpose;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permitted to do so for a period exceeding 90 days on any one occasion. In the event the Company exercises its rights under the preceding sentence, the holders agree to suspend, immediately upon their receipt of the notice referred to above, their use of the Prospectus relating to the Demand Registration in connection with any sale or offer to sell Registrable Securities and agree not to disclose to any other Person the fact that the Company has exercised such rights or any related facts. The Company shall immediately notify the holders of the expiration of any period during which it exercised its rights under this Section 2.2(e) and that the use of the Prospectus may, subject to receipt of any supplemented or amended Prospectus contemplated by Section 2.5(a)(iv) if necessitated by the circumstances giving rise to the delay or suspension described above, be resumed. In the event that the Company shall exercise its rights under this Section 2.2(e) to suspend the use of such Registration Statement after it has been declared effective, the period during which the Registration Statement is required pursuant to Section 2.2(d) to be maintained effective shall be extended by the number of days during the period from and including the date of the giving of such suspension notice to and including the date when each seller of Registrable Securities covered by such Registration Statement either receives the copies of the supplemented or amended Prospectus contemplated by Section 2.5(a)(iv) or is advised in writing by the Company that the use of the Prospectus may be resumed.</w:t>
      </w:r>
    </w:p>
    <w:p>
      <w:pPr>
        <w:spacing w:after="0" w:line="126" w:lineRule="exact"/>
        <w:rPr>
          <w:rFonts w:ascii="Arial" w:cs="Arial" w:eastAsia="Arial" w:hAnsi="Arial"/>
          <w:sz w:val="16"/>
          <w:szCs w:val="16"/>
          <w:color w:val="auto"/>
        </w:rPr>
      </w:pPr>
    </w:p>
    <w:p>
      <w:pPr>
        <w:ind w:right="40" w:firstLine="464"/>
        <w:spacing w:after="0" w:line="298" w:lineRule="auto"/>
        <w:tabs>
          <w:tab w:leader="none" w:pos="676"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Underwritten Offering</w:t>
      </w:r>
      <w:r>
        <w:rPr>
          <w:rFonts w:ascii="Arial" w:cs="Arial" w:eastAsia="Arial" w:hAnsi="Arial"/>
          <w:sz w:val="16"/>
          <w:szCs w:val="16"/>
          <w:color w:val="auto"/>
        </w:rPr>
        <w:t>. If either the Company or the holders of not less than two-thirds of the Registrable Securities included in any offering pursuant to a Demand Registration so elect, such offering shall be in the form of an Underwritten Offering. The Company shall have the right, after consulting with the holders of the Registrable Securities included in such Underwritten Offering, to select the managing underwriter or underwriters for the offering, subject to the right of a majority of such holders to approve such managing underwriter or underwriters, which approval shall not be unreasonably withheld.</w:t>
      </w:r>
    </w:p>
    <w:p>
      <w:pPr>
        <w:spacing w:after="0" w:line="112" w:lineRule="exact"/>
        <w:rPr>
          <w:rFonts w:ascii="Arial" w:cs="Arial" w:eastAsia="Arial" w:hAnsi="Arial"/>
          <w:sz w:val="16"/>
          <w:szCs w:val="16"/>
          <w:color w:val="auto"/>
        </w:rPr>
      </w:pPr>
    </w:p>
    <w:p>
      <w:pPr>
        <w:ind w:firstLine="464"/>
        <w:spacing w:after="0" w:line="298" w:lineRule="auto"/>
        <w:tabs>
          <w:tab w:leader="none" w:pos="705"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Priority of Securities Registered Pursuant to Demand Registrations</w:t>
      </w:r>
      <w:r>
        <w:rPr>
          <w:rFonts w:ascii="Arial" w:cs="Arial" w:eastAsia="Arial" w:hAnsi="Arial"/>
          <w:sz w:val="16"/>
          <w:szCs w:val="16"/>
          <w:color w:val="auto"/>
        </w:rPr>
        <w:t>. If the managing underwriter or underwriters of a proposed Underwritten Offering of a class of Registrable Securities included in a Demand Registration (or, in the case of a Demand Registration not being underwritten, the holders of a majority of a class of Registrable Securities included in such Registration Statement), inform the holders of such Registrable Securities and the Company in writing that, in its or their opinion, the number of securities of such class requested to be included in such Demand Registration (including securities of the Company for</w:t>
      </w:r>
    </w:p>
    <w:p>
      <w:pPr>
        <w:spacing w:after="0" w:line="99" w:lineRule="exact"/>
        <w:rPr>
          <w:rFonts w:ascii="Arial" w:cs="Arial" w:eastAsia="Arial" w:hAnsi="Arial"/>
          <w:sz w:val="16"/>
          <w:szCs w:val="16"/>
          <w:color w:val="auto"/>
        </w:rPr>
      </w:pPr>
    </w:p>
    <w:p>
      <w:pPr>
        <w:ind w:left="5680" w:hanging="112"/>
        <w:spacing w:after="0"/>
        <w:tabs>
          <w:tab w:leader="none" w:pos="56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20"/>
          </w:cols>
          <w:pgMar w:left="240" w:top="280" w:right="239" w:bottom="1440" w:gutter="0" w:footer="0" w:header="0"/>
        </w:sectPr>
      </w:pPr>
    </w:p>
    <w:bookmarkStart w:id="224" w:name="page225"/>
    <w:bookmarkEnd w:id="22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its own account or for the account of other Persons which are not holders of Registrable Securities) exceeds the number which can be sold in such offering without being likely to have a significant adverse effect on the price, timing or distribution of the class of securities offered or the market for the class of securities offered, the Company will include in such registration all of the Registrable Securities of such class sought to be registered therein and only such lesser number of other securities as shall not, in the opinion of the managing underwriter or underwriters (or, in the case of a Demand Registration not being underwritten, in the opinion of the holders of a majority of such class of Registrable Securities included therein) be likely to have such an effect. In the event that, despite the reduction of the number of shares of securities to be offered for the account of the Company or Persons other than holders of Registrable Securities in such registration pursuant to the immediately preceding sentence, the number of Registrable Securities of such class to be included in such registration exceeds the number which, in the opinion of the managing underwriter or underwriters (or, in the case of a Demand Registration not being underwritten, the holders of a majority of such class of Registrable Securities included therein) can be sold without having the adverse effect referred to above, the number of Registrable Securities of such class that can be included without having such an adverse effect shall be allocated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among the holders which have requested participation in the Demand Registration (based, for each such holder, on the percentage derived by dividing (i) the number of Registrable Securities of such class which such holder has requested to include in such Demand Registration by (ii) the aggregate number of Registrable Securities of such class which all such holders have requested to include).</w:t>
      </w:r>
    </w:p>
    <w:p>
      <w:pPr>
        <w:spacing w:after="0" w:line="121" w:lineRule="exact"/>
        <w:rPr>
          <w:sz w:val="20"/>
          <w:szCs w:val="20"/>
          <w:color w:val="auto"/>
        </w:rPr>
      </w:pPr>
    </w:p>
    <w:p>
      <w:pPr>
        <w:ind w:right="100" w:firstLine="464"/>
        <w:spacing w:after="0" w:line="305" w:lineRule="auto"/>
        <w:tabs>
          <w:tab w:leader="none" w:pos="705" w:val="left"/>
        </w:tabs>
        <w:numPr>
          <w:ilvl w:val="1"/>
          <w:numId w:val="179"/>
        </w:numPr>
        <w:rPr>
          <w:rFonts w:ascii="Arial" w:cs="Arial" w:eastAsia="Arial" w:hAnsi="Arial"/>
          <w:sz w:val="15"/>
          <w:szCs w:val="15"/>
          <w:color w:val="auto"/>
        </w:rPr>
      </w:pPr>
      <w:r>
        <w:rPr>
          <w:rFonts w:ascii="Arial" w:cs="Arial" w:eastAsia="Arial" w:hAnsi="Arial"/>
          <w:sz w:val="15"/>
          <w:szCs w:val="15"/>
          <w:u w:val="single" w:color="auto"/>
          <w:color w:val="auto"/>
        </w:rPr>
        <w:t>Registration Statement Form</w:t>
      </w:r>
      <w:r>
        <w:rPr>
          <w:rFonts w:ascii="Arial" w:cs="Arial" w:eastAsia="Arial" w:hAnsi="Arial"/>
          <w:sz w:val="15"/>
          <w:szCs w:val="15"/>
          <w:color w:val="auto"/>
        </w:rPr>
        <w:t>. Registrations under this Section 2.2 shall be on such appropriate registration form of the SEC (i) as shall be selected by the Company and as shall be reasonably acceptable to the holders of a majority of Registrable Securities requesting participation in the Demand Registration and</w:t>
      </w:r>
    </w:p>
    <w:p>
      <w:pPr>
        <w:ind w:right="460" w:firstLine="8"/>
        <w:spacing w:after="0" w:line="261" w:lineRule="auto"/>
        <w:tabs>
          <w:tab w:leader="none" w:pos="25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as shall permit the disposition of the Registrable Securities in accordance with the intended method or methods of disposition specified in the applicable holders’ requests for such registration.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Incidental Registrations</w:t>
      </w:r>
      <w:r>
        <w:rPr>
          <w:rFonts w:ascii="Arial" w:cs="Arial" w:eastAsia="Arial" w:hAnsi="Arial"/>
          <w:sz w:val="18"/>
          <w:szCs w:val="18"/>
          <w:color w:val="auto"/>
        </w:rPr>
        <w:t>.</w:t>
      </w:r>
    </w:p>
    <w:p>
      <w:pPr>
        <w:spacing w:after="0" w:line="171" w:lineRule="exact"/>
        <w:rPr>
          <w:sz w:val="20"/>
          <w:szCs w:val="20"/>
          <w:color w:val="auto"/>
        </w:rPr>
      </w:pPr>
    </w:p>
    <w:p>
      <w:pPr>
        <w:ind w:right="180" w:firstLine="464"/>
        <w:spacing w:after="0" w:line="289" w:lineRule="auto"/>
        <w:tabs>
          <w:tab w:leader="none" w:pos="695"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Participation</w:t>
      </w:r>
      <w:r>
        <w:rPr>
          <w:rFonts w:ascii="Arial" w:cs="Arial" w:eastAsia="Arial" w:hAnsi="Arial"/>
          <w:sz w:val="16"/>
          <w:szCs w:val="16"/>
          <w:color w:val="auto"/>
        </w:rPr>
        <w:t>. (i) If the Company at any time proposes to file a Registration Statement with respect to any offering of its equity securities (including securities convertible into equity securities) for its own account or for the account of any holders of its securities (other than (A) a registration under Section 2.1 or 2.2 hereof, (B) a registration on Form N-14 or any successor form to such form or (C) pursuant to a shelf registration under Rule 415 of the Securities Act), then, as soon as practicable (but in no event less than 20 days prior to the proposed date of filing such Registration Statement), the Company shall give written notice of such proposed filing to all holders of Registrable Securities, and such notice shall offer the holders of such Registrable Securities the opportunity to register such number of Registrable Securities as each such holder may request in writing (an “</w:t>
      </w:r>
      <w:r>
        <w:rPr>
          <w:rFonts w:ascii="Arial" w:cs="Arial" w:eastAsia="Arial" w:hAnsi="Arial"/>
          <w:sz w:val="16"/>
          <w:szCs w:val="16"/>
          <w:u w:val="single" w:color="auto"/>
          <w:color w:val="auto"/>
        </w:rPr>
        <w:t>Incidental Registration</w:t>
      </w:r>
      <w:r>
        <w:rPr>
          <w:rFonts w:ascii="Arial" w:cs="Arial" w:eastAsia="Arial" w:hAnsi="Arial"/>
          <w:sz w:val="16"/>
          <w:szCs w:val="16"/>
          <w:color w:val="auto"/>
        </w:rPr>
        <w:t>”). Subject to this Section 2.3(b), the Company shall include in such Registration Statement all such Registrable Securities which are requested to be included therein within 15 days after the receipt by such holder of any such notice. If at any time after giving written notice of its intention to</w:t>
      </w:r>
    </w:p>
    <w:p>
      <w:pPr>
        <w:spacing w:after="0" w:line="104" w:lineRule="exact"/>
        <w:rPr>
          <w:rFonts w:ascii="Arial" w:cs="Arial" w:eastAsia="Arial" w:hAnsi="Arial"/>
          <w:sz w:val="16"/>
          <w:szCs w:val="16"/>
          <w:color w:val="auto"/>
        </w:rPr>
      </w:pPr>
    </w:p>
    <w:p>
      <w:pPr>
        <w:ind w:left="5680" w:hanging="112"/>
        <w:spacing w:after="0"/>
        <w:tabs>
          <w:tab w:leader="none" w:pos="56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20"/>
          </w:cols>
          <w:pgMar w:left="240" w:top="280" w:right="239" w:bottom="1440" w:gutter="0" w:footer="0" w:header="0"/>
        </w:sectPr>
      </w:pPr>
    </w:p>
    <w:bookmarkStart w:id="225" w:name="page226"/>
    <w:bookmarkEnd w:id="225"/>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register any securities and prior to the effective date of the Registration Statement filed in connection with such registration, the Company shall determine for any reason not to register or to delay registration of such securities, the Company may, at its election, give written notice of such determination to each holder of Registrable Securities and, (x) in the case of a determination not to register, shall be relieved of its obligation to register any Registrable Securities in connection with such registration, and (y) in the case of a determination to delay registering, shall be permitted to delay registering any Registrable Securities for the same period as the delay in registering such other securities.</w:t>
      </w:r>
    </w:p>
    <w:p>
      <w:pPr>
        <w:spacing w:after="0" w:line="62" w:lineRule="exact"/>
        <w:rPr>
          <w:sz w:val="20"/>
          <w:szCs w:val="20"/>
          <w:color w:val="auto"/>
        </w:rPr>
      </w:pPr>
    </w:p>
    <w:p>
      <w:pPr>
        <w:ind w:left="460" w:right="100" w:firstLine="443"/>
        <w:spacing w:after="0" w:line="255" w:lineRule="auto"/>
        <w:tabs>
          <w:tab w:leader="none" w:pos="1157"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If the offering pursuant to an Incidental Registration is to be an Underwritten Offering, then each holder making a request for its Registrable Securities to be included therein must, and the Company shall make such arrangements with the underwriters so that each such holder may, participate in such Underwritten Offering on the same terms as the Company and other Persons selling securities in such Underwritten Offering. If the offering pursuant to such registration is to be on any other basis, then each holder making a request for an Incidental Registration pursuant to this Section 2.3(a) must participate in such offering on such basis.</w:t>
      </w:r>
    </w:p>
    <w:p>
      <w:pPr>
        <w:spacing w:after="0" w:line="61" w:lineRule="exact"/>
        <w:rPr>
          <w:rFonts w:ascii="Arial" w:cs="Arial" w:eastAsia="Arial" w:hAnsi="Arial"/>
          <w:sz w:val="18"/>
          <w:szCs w:val="18"/>
          <w:color w:val="auto"/>
        </w:rPr>
      </w:pPr>
    </w:p>
    <w:p>
      <w:pPr>
        <w:ind w:left="460" w:right="40" w:firstLine="443"/>
        <w:spacing w:after="0" w:line="256" w:lineRule="auto"/>
        <w:tabs>
          <w:tab w:leader="none" w:pos="1205" w:val="left"/>
        </w:tabs>
        <w:numPr>
          <w:ilvl w:val="1"/>
          <w:numId w:val="182"/>
        </w:numPr>
        <w:rPr>
          <w:rFonts w:ascii="Arial" w:cs="Arial" w:eastAsia="Arial" w:hAnsi="Arial"/>
          <w:sz w:val="18"/>
          <w:szCs w:val="18"/>
          <w:color w:val="auto"/>
        </w:rPr>
      </w:pPr>
      <w:r>
        <w:rPr>
          <w:rFonts w:ascii="Arial" w:cs="Arial" w:eastAsia="Arial" w:hAnsi="Arial"/>
          <w:sz w:val="18"/>
          <w:szCs w:val="18"/>
          <w:color w:val="auto"/>
        </w:rPr>
        <w:t xml:space="preserve">Each holder of Registrable Securities shall be permitted to withdraw all or part of such holder’s Registrable Securities from an Incidental Registration at any time prior to the effective date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be entitled to reimbursement from the holder of such withdrawn Registrable Securities for any SEC registration fees incurred by the Company in connection with the registration of such withdrawn Registrable Securities.</w:t>
      </w:r>
    </w:p>
    <w:p>
      <w:pPr>
        <w:spacing w:after="0" w:line="143" w:lineRule="exact"/>
        <w:rPr>
          <w:rFonts w:ascii="Arial" w:cs="Arial" w:eastAsia="Arial" w:hAnsi="Arial"/>
          <w:sz w:val="18"/>
          <w:szCs w:val="18"/>
          <w:color w:val="auto"/>
        </w:rPr>
      </w:pPr>
    </w:p>
    <w:p>
      <w:pPr>
        <w:ind w:right="80" w:firstLine="464"/>
        <w:spacing w:after="0" w:line="291" w:lineRule="auto"/>
        <w:tabs>
          <w:tab w:leader="none" w:pos="705"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Priority of Incidental Registration</w:t>
      </w:r>
      <w:r>
        <w:rPr>
          <w:rFonts w:ascii="Arial" w:cs="Arial" w:eastAsia="Arial" w:hAnsi="Arial"/>
          <w:sz w:val="16"/>
          <w:szCs w:val="16"/>
          <w:color w:val="auto"/>
        </w:rPr>
        <w:t>. If the managing underwriter or underwriters of any proposed Underwritten Offering of a class of securities included in an Incidental Registration (or in the case of an Incidental Registration not being underwritten, the Company) informs the holders of Registrable Securities of any class sought to be included in such registration in writing that, in its or their opinion, the total amount or kind of securities which such holders and any other Persons intend to include in such offering exceeds the number which can be sold in such offering without being likely to have a significant adverse effect on the price, timing or distribution of the class or classes of the securities offered or the market for the class or classes of securities offered or the Company’s publicly traded capital stock, then the securities of each class to be included in such registration shall be allocated as follows:</w:t>
      </w:r>
    </w:p>
    <w:p>
      <w:pPr>
        <w:spacing w:after="0" w:line="39" w:lineRule="exact"/>
        <w:rPr>
          <w:rFonts w:ascii="Arial" w:cs="Arial" w:eastAsia="Arial" w:hAnsi="Arial"/>
          <w:sz w:val="16"/>
          <w:szCs w:val="16"/>
          <w:color w:val="auto"/>
        </w:rPr>
      </w:pPr>
    </w:p>
    <w:p>
      <w:pPr>
        <w:ind w:left="1480" w:hanging="567"/>
        <w:spacing w:after="0" w:line="268" w:lineRule="auto"/>
        <w:tabs>
          <w:tab w:leader="none" w:pos="1480" w:val="left"/>
        </w:tabs>
        <w:numPr>
          <w:ilvl w:val="2"/>
          <w:numId w:val="183"/>
        </w:numPr>
        <w:rPr>
          <w:rFonts w:ascii="Arial" w:cs="Arial" w:eastAsia="Arial" w:hAnsi="Arial"/>
          <w:sz w:val="18"/>
          <w:szCs w:val="18"/>
          <w:color w:val="auto"/>
        </w:rPr>
      </w:pPr>
      <w:r>
        <w:rPr>
          <w:rFonts w:ascii="Arial" w:cs="Arial" w:eastAsia="Arial" w:hAnsi="Arial"/>
          <w:sz w:val="18"/>
          <w:szCs w:val="18"/>
          <w:i w:val="1"/>
          <w:iCs w:val="1"/>
          <w:color w:val="auto"/>
        </w:rPr>
        <w:t xml:space="preserve">first, </w:t>
      </w:r>
      <w:r>
        <w:rPr>
          <w:rFonts w:ascii="Arial" w:cs="Arial" w:eastAsia="Arial" w:hAnsi="Arial"/>
          <w:sz w:val="18"/>
          <w:szCs w:val="18"/>
          <w:color w:val="auto"/>
        </w:rPr>
        <w:t>100% of the securities that the Company or (subject to Section 2.7) any Person (other than a holder of Registrable Securities) exercising</w:t>
      </w:r>
      <w:r>
        <w:rPr>
          <w:rFonts w:ascii="Arial" w:cs="Arial" w:eastAsia="Arial" w:hAnsi="Arial"/>
          <w:sz w:val="18"/>
          <w:szCs w:val="18"/>
          <w:i w:val="1"/>
          <w:iCs w:val="1"/>
          <w:color w:val="auto"/>
        </w:rPr>
        <w:t xml:space="preserve"> </w:t>
      </w:r>
      <w:r>
        <w:rPr>
          <w:rFonts w:ascii="Arial" w:cs="Arial" w:eastAsia="Arial" w:hAnsi="Arial"/>
          <w:sz w:val="18"/>
          <w:szCs w:val="18"/>
          <w:color w:val="auto"/>
        </w:rPr>
        <w:t>a contractual right to demand registration has proposed to sell shall be included therein;</w:t>
      </w:r>
    </w:p>
    <w:p>
      <w:pPr>
        <w:spacing w:after="0" w:line="50" w:lineRule="exact"/>
        <w:rPr>
          <w:rFonts w:ascii="Arial" w:cs="Arial" w:eastAsia="Arial" w:hAnsi="Arial"/>
          <w:sz w:val="18"/>
          <w:szCs w:val="18"/>
          <w:color w:val="auto"/>
        </w:rPr>
      </w:pPr>
    </w:p>
    <w:p>
      <w:pPr>
        <w:ind w:left="1480" w:right="220" w:hanging="567"/>
        <w:spacing w:after="0" w:line="332" w:lineRule="auto"/>
        <w:tabs>
          <w:tab w:leader="none" w:pos="1480" w:val="left"/>
        </w:tabs>
        <w:numPr>
          <w:ilvl w:val="2"/>
          <w:numId w:val="183"/>
        </w:numPr>
        <w:rPr>
          <w:rFonts w:ascii="Arial" w:cs="Arial" w:eastAsia="Arial" w:hAnsi="Arial"/>
          <w:sz w:val="16"/>
          <w:szCs w:val="16"/>
          <w:color w:val="auto"/>
        </w:rPr>
      </w:pPr>
      <w:r>
        <w:rPr>
          <w:rFonts w:ascii="Arial" w:cs="Arial" w:eastAsia="Arial" w:hAnsi="Arial"/>
          <w:sz w:val="16"/>
          <w:szCs w:val="16"/>
          <w:i w:val="1"/>
          <w:iCs w:val="1"/>
          <w:color w:val="auto"/>
        </w:rPr>
        <w:t xml:space="preserve">second, </w:t>
      </w:r>
      <w:r>
        <w:rPr>
          <w:rFonts w:ascii="Arial" w:cs="Arial" w:eastAsia="Arial" w:hAnsi="Arial"/>
          <w:sz w:val="16"/>
          <w:szCs w:val="16"/>
          <w:color w:val="auto"/>
        </w:rPr>
        <w:t>and only if all the securities referenced in clause (i) have been included, the number of Registrable Securities of such class that, in</w:t>
      </w:r>
      <w:r>
        <w:rPr>
          <w:rFonts w:ascii="Arial" w:cs="Arial" w:eastAsia="Arial" w:hAnsi="Arial"/>
          <w:sz w:val="16"/>
          <w:szCs w:val="16"/>
          <w:i w:val="1"/>
          <w:iCs w:val="1"/>
          <w:color w:val="auto"/>
        </w:rPr>
        <w:t xml:space="preserve"> </w:t>
      </w:r>
      <w:r>
        <w:rPr>
          <w:rFonts w:ascii="Arial" w:cs="Arial" w:eastAsia="Arial" w:hAnsi="Arial"/>
          <w:sz w:val="16"/>
          <w:szCs w:val="16"/>
          <w:color w:val="auto"/>
        </w:rPr>
        <w:t>the opinion of such underwriter or underwriters (or in the case of an Incidental Registration not being underwritten, the</w:t>
      </w:r>
    </w:p>
    <w:p>
      <w:pPr>
        <w:spacing w:after="0" w:line="71" w:lineRule="exact"/>
        <w:rPr>
          <w:rFonts w:ascii="Arial" w:cs="Arial" w:eastAsia="Arial" w:hAnsi="Arial"/>
          <w:sz w:val="16"/>
          <w:szCs w:val="16"/>
          <w:color w:val="auto"/>
        </w:rPr>
      </w:pPr>
    </w:p>
    <w:p>
      <w:pPr>
        <w:ind w:left="5680" w:hanging="112"/>
        <w:spacing w:after="0"/>
        <w:tabs>
          <w:tab w:leader="none" w:pos="5680" w:val="left"/>
        </w:tabs>
        <w:numPr>
          <w:ilvl w:val="3"/>
          <w:numId w:val="183"/>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400"/>
          </w:cols>
          <w:pgMar w:left="240" w:top="280" w:right="259" w:bottom="1440" w:gutter="0" w:footer="0" w:header="0"/>
        </w:sectPr>
      </w:pPr>
    </w:p>
    <w:bookmarkStart w:id="226" w:name="page227"/>
    <w:bookmarkEnd w:id="226"/>
    <w:p>
      <w:pPr>
        <w:ind w:left="1020" w:right="6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Company), can be sold without having such adverse effect shall be included therein, with such number to be allocated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among the holders which have requested participation in the Incidental Registration (based, for each such holder, on the percentage derived by dividing</w:t>
      </w:r>
    </w:p>
    <w:p>
      <w:pPr>
        <w:ind w:left="1020" w:right="180"/>
        <w:spacing w:after="0" w:line="323" w:lineRule="auto"/>
        <w:rPr>
          <w:sz w:val="20"/>
          <w:szCs w:val="20"/>
          <w:color w:val="auto"/>
        </w:rPr>
      </w:pPr>
      <w:r>
        <w:rPr>
          <w:rFonts w:ascii="Arial" w:cs="Arial" w:eastAsia="Arial" w:hAnsi="Arial"/>
          <w:sz w:val="16"/>
          <w:szCs w:val="16"/>
          <w:color w:val="auto"/>
        </w:rPr>
        <w:t>(x) the number of Registrable Securities of such class which such holder has requested to include in such Incidental Registration by (y) the aggregate number of Registrable Securities of such class which all such holders have requested to include); and</w:t>
      </w:r>
    </w:p>
    <w:p>
      <w:pPr>
        <w:spacing w:after="0" w:line="11" w:lineRule="exact"/>
        <w:rPr>
          <w:sz w:val="20"/>
          <w:szCs w:val="20"/>
          <w:color w:val="auto"/>
        </w:rPr>
      </w:pPr>
    </w:p>
    <w:p>
      <w:pPr>
        <w:ind w:left="1020" w:right="580" w:hanging="567"/>
        <w:spacing w:after="0" w:line="268" w:lineRule="auto"/>
        <w:tabs>
          <w:tab w:leader="none" w:pos="1020"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 xml:space="preserve">third </w:t>
      </w:r>
      <w:r>
        <w:rPr>
          <w:rFonts w:ascii="Arial" w:cs="Arial" w:eastAsia="Arial" w:hAnsi="Arial"/>
          <w:sz w:val="18"/>
          <w:szCs w:val="18"/>
          <w:color w:val="auto"/>
        </w:rPr>
        <w:t>and only if all of the Registrable Securities referenced in clauses (i) and (ii) have been included, any other securities eligible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inclusion in such registration shall be included therein.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Black-out Periods</w:t>
      </w:r>
      <w:r>
        <w:rPr>
          <w:rFonts w:ascii="Arial" w:cs="Arial" w:eastAsia="Arial" w:hAnsi="Arial"/>
          <w:sz w:val="18"/>
          <w:szCs w:val="18"/>
          <w:color w:val="auto"/>
        </w:rPr>
        <w:t>.</w:t>
      </w:r>
    </w:p>
    <w:p>
      <w:pPr>
        <w:spacing w:after="0" w:line="171" w:lineRule="exact"/>
        <w:rPr>
          <w:sz w:val="20"/>
          <w:szCs w:val="20"/>
          <w:color w:val="auto"/>
        </w:rPr>
      </w:pPr>
    </w:p>
    <w:p>
      <w:pPr>
        <w:ind w:left="-460" w:firstLine="464"/>
        <w:spacing w:after="0" w:line="286" w:lineRule="auto"/>
        <w:tabs>
          <w:tab w:leader="none" w:pos="235"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Black-out Periods for Holders</w:t>
      </w:r>
      <w:r>
        <w:rPr>
          <w:rFonts w:ascii="Arial" w:cs="Arial" w:eastAsia="Arial" w:hAnsi="Arial"/>
          <w:sz w:val="16"/>
          <w:szCs w:val="16"/>
          <w:color w:val="auto"/>
        </w:rPr>
        <w:t xml:space="preserve">. In the event of a registration by the Company involving the offering and sale by the Company of equity securities or securities convertible into or exchanged for its equity securities, the holders of Registrable Securities agree, if requested by the Company (or, in the case of an Underwritten Offering, by the managing underwriter or underwriters), not to effect any public sale or distribution (including any sale pursuant to Rule 144 under the Securities Act) of any securities (except, in each case, as part of the applicable registration, if permitted hereunder or otherwise) that are the same as or similar to those being registered in connection with such registration, or which are convertible into or exchangeable or exercisable for such securities, during the period beginning on the date that is the earlier of (i) the receipt by such holder of information concerning the date for such offering and sale by the Company (if such information is then not otherwise known to the public), but in no event more than 30 days, or (ii) seven days before, and ending 180 days (or such lesser period as may be permitted by the Company or such managing underwriter or underwriters) after, the effective date of the Registration Statement filed in connection with such registration, to the extent such holders are timely notified in writing by the Company or the managing underwriter or underwriters;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sale and distribution restrictions set forth above in this Section 2.4(a) shall apply only to the first two registrations by the Company described above or until the date that is the two year anniversary of the Effective Date, whichever is earlier.</w:t>
      </w:r>
    </w:p>
    <w:p>
      <w:pPr>
        <w:spacing w:after="0" w:line="127" w:lineRule="exact"/>
        <w:rPr>
          <w:rFonts w:ascii="Arial" w:cs="Arial" w:eastAsia="Arial" w:hAnsi="Arial"/>
          <w:sz w:val="16"/>
          <w:szCs w:val="16"/>
          <w:color w:val="auto"/>
        </w:rPr>
      </w:pPr>
    </w:p>
    <w:p>
      <w:pPr>
        <w:ind w:left="-460" w:firstLine="464"/>
        <w:spacing w:after="0" w:line="254" w:lineRule="auto"/>
        <w:tabs>
          <w:tab w:leader="none" w:pos="245"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Black-out Period for the Company and Others</w:t>
      </w:r>
      <w:r>
        <w:rPr>
          <w:rFonts w:ascii="Arial" w:cs="Arial" w:eastAsia="Arial" w:hAnsi="Arial"/>
          <w:sz w:val="18"/>
          <w:szCs w:val="18"/>
          <w:color w:val="auto"/>
        </w:rPr>
        <w:t>. (i) In the case of a registration of Registrable Securities pursuant to Section 2.1 or 2.2, the Company agrees, if requested by the holders of a majority of Registrable Securities to be sold pursuant to the such registration (or, in the case of an Underwritten Offering, by the managing underwriter or underwriters in such Underwritten Offering), not to effect any public sale or distribution of any securities (except, in each case, as part of the applicable registration, if permitted) which are the same as or similar to those being registered, or which are convertible into or exchangeable or exercisable for such securities, during the period beginning seven days before, and ending 90 days (or such lesser period as may be permitted by such holders or such underwriter or</w:t>
      </w:r>
    </w:p>
    <w:p>
      <w:pPr>
        <w:spacing w:after="0" w:line="130" w:lineRule="exact"/>
        <w:rPr>
          <w:rFonts w:ascii="Arial" w:cs="Arial" w:eastAsia="Arial" w:hAnsi="Arial"/>
          <w:sz w:val="18"/>
          <w:szCs w:val="18"/>
          <w:color w:val="auto"/>
        </w:rPr>
      </w:pPr>
    </w:p>
    <w:p>
      <w:pPr>
        <w:ind w:left="5160" w:hanging="96"/>
        <w:spacing w:after="0"/>
        <w:tabs>
          <w:tab w:leader="none" w:pos="51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940"/>
          </w:cols>
          <w:pgMar w:left="700" w:top="280" w:right="259" w:bottom="1440" w:gutter="0" w:footer="0" w:header="0"/>
        </w:sectPr>
      </w:pPr>
    </w:p>
    <w:bookmarkStart w:id="227" w:name="page228"/>
    <w:bookmarkEnd w:id="227"/>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underwriters) after, the effective date of the Registration Statement filed in connection with such registration, to the extent the Company is timely notified in writing by a holder of Registrable Securities covered by such Registration Statement or the managing underwriter or underwriters. Notwithstanding the foregoing, the Company may effect a public sale or distribution of securities of the type described above and during the periods described above if the same is made</w:t>
      </w:r>
    </w:p>
    <w:p>
      <w:pPr>
        <w:spacing w:after="0" w:line="1" w:lineRule="exact"/>
        <w:rPr>
          <w:sz w:val="20"/>
          <w:szCs w:val="20"/>
          <w:color w:val="auto"/>
        </w:rPr>
      </w:pPr>
    </w:p>
    <w:p>
      <w:pPr>
        <w:ind w:right="420" w:firstLine="8"/>
        <w:spacing w:after="0" w:line="261" w:lineRule="auto"/>
        <w:tabs>
          <w:tab w:leader="none" w:pos="28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pursuant to any registration on Form N-14 or any successor form to such form, (B) in connection with a direct or indirect acquisition by the Company of another Person or (C) pursuant to an effective shelf registration under Rule 415 of the Securities Act.</w:t>
      </w:r>
    </w:p>
    <w:p>
      <w:pPr>
        <w:spacing w:after="0" w:line="56" w:lineRule="exact"/>
        <w:rPr>
          <w:rFonts w:ascii="Arial" w:cs="Arial" w:eastAsia="Arial" w:hAnsi="Arial"/>
          <w:sz w:val="18"/>
          <w:szCs w:val="18"/>
          <w:color w:val="auto"/>
        </w:rPr>
      </w:pPr>
    </w:p>
    <w:p>
      <w:pPr>
        <w:ind w:left="460" w:right="60" w:firstLine="443"/>
        <w:spacing w:after="0" w:line="284" w:lineRule="auto"/>
        <w:tabs>
          <w:tab w:leader="none" w:pos="1157" w:val="left"/>
        </w:tabs>
        <w:numPr>
          <w:ilvl w:val="1"/>
          <w:numId w:val="186"/>
        </w:numPr>
        <w:rPr>
          <w:rFonts w:ascii="Arial" w:cs="Arial" w:eastAsia="Arial" w:hAnsi="Arial"/>
          <w:sz w:val="16"/>
          <w:szCs w:val="16"/>
          <w:color w:val="auto"/>
        </w:rPr>
      </w:pPr>
      <w:r>
        <w:rPr>
          <w:rFonts w:ascii="Arial" w:cs="Arial" w:eastAsia="Arial" w:hAnsi="Arial"/>
          <w:sz w:val="16"/>
          <w:szCs w:val="16"/>
          <w:color w:val="auto"/>
        </w:rPr>
        <w:t>The Company agrees to use all reasonable efforts to obtain from each holder of restricted securities of the Company which are the same as or similar to those being registered by the Company, or which are convertible into or exchangeable or exercisable for any of its securities, an agreement not to effect any public sale or distribution of such securities (other than securities purchased in a public offering) during any period referred to in this</w:t>
      </w:r>
    </w:p>
    <w:p>
      <w:pPr>
        <w:spacing w:after="0" w:line="1" w:lineRule="exact"/>
        <w:rPr>
          <w:rFonts w:ascii="Arial" w:cs="Arial" w:eastAsia="Arial" w:hAnsi="Arial"/>
          <w:sz w:val="16"/>
          <w:szCs w:val="16"/>
          <w:color w:val="auto"/>
        </w:rPr>
      </w:pPr>
    </w:p>
    <w:p>
      <w:pPr>
        <w:ind w:left="460"/>
        <w:spacing w:after="0" w:line="302" w:lineRule="auto"/>
        <w:rPr>
          <w:rFonts w:ascii="Arial" w:cs="Arial" w:eastAsia="Arial" w:hAnsi="Arial"/>
          <w:sz w:val="16"/>
          <w:szCs w:val="16"/>
          <w:color w:val="auto"/>
        </w:rPr>
      </w:pPr>
      <w:r>
        <w:rPr>
          <w:rFonts w:ascii="Arial" w:cs="Arial" w:eastAsia="Arial" w:hAnsi="Arial"/>
          <w:sz w:val="16"/>
          <w:szCs w:val="16"/>
          <w:color w:val="auto"/>
        </w:rPr>
        <w:t>Section 2.4(b), except as part of any such registration if permitted. Without limiting the foregoing (but subject to Section 2.7), if after the date hereof the Company grants any Person (other than a holder of Registrable Securities) any rights to demand or participate in a registration, the Company agrees that the agreement with respect thereto shall include such Person’s agreement as contemplated by the previous sentence.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171" w:lineRule="exact"/>
        <w:rPr>
          <w:sz w:val="20"/>
          <w:szCs w:val="20"/>
          <w:color w:val="auto"/>
        </w:rPr>
      </w:pPr>
    </w:p>
    <w:p>
      <w:pPr>
        <w:ind w:right="220" w:firstLine="464"/>
        <w:spacing w:after="0" w:line="306" w:lineRule="auto"/>
        <w:tabs>
          <w:tab w:leader="none" w:pos="69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In connection with the Company’s registration obligations in this Agreement, the Company will, subject to the limitations set forth herein, use its reasonable best efforts to effect any such registration so as to permit the sale of the applicable Registrable Securities in accordance with the intended method or methods of distribution thereof as expeditiously as reasonably practicable, and in connection therewith the Company will:</w:t>
      </w:r>
    </w:p>
    <w:p>
      <w:pPr>
        <w:spacing w:after="0" w:line="25" w:lineRule="exact"/>
        <w:rPr>
          <w:rFonts w:ascii="Arial" w:cs="Arial" w:eastAsia="Arial" w:hAnsi="Arial"/>
          <w:sz w:val="16"/>
          <w:szCs w:val="16"/>
          <w:color w:val="auto"/>
        </w:rPr>
      </w:pPr>
    </w:p>
    <w:p>
      <w:pPr>
        <w:ind w:left="460" w:firstLine="443"/>
        <w:spacing w:after="0" w:line="306" w:lineRule="auto"/>
        <w:tabs>
          <w:tab w:leader="none" w:pos="1108" w:val="left"/>
        </w:tabs>
        <w:numPr>
          <w:ilvl w:val="1"/>
          <w:numId w:val="187"/>
        </w:numPr>
        <w:rPr>
          <w:rFonts w:ascii="Arial" w:cs="Arial" w:eastAsia="Arial" w:hAnsi="Arial"/>
          <w:sz w:val="16"/>
          <w:szCs w:val="16"/>
          <w:color w:val="auto"/>
        </w:rPr>
      </w:pPr>
      <w:r>
        <w:rPr>
          <w:rFonts w:ascii="Arial" w:cs="Arial" w:eastAsia="Arial" w:hAnsi="Arial"/>
          <w:sz w:val="16"/>
          <w:szCs w:val="16"/>
          <w:color w:val="auto"/>
        </w:rPr>
        <w:t>before filing a Registration Statement or Prospectus, or any amendments or supplements thereto and in connection therewith, furnish to the underwriter or underwriters, if any, and to the holders of Registrable Securities covered by such Registration Statement, copies of all documents prepared to be filed, which documents will be subject to the review of such underwriters and such holders and their respective counsel;</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57" w:val="left"/>
        </w:tabs>
        <w:numPr>
          <w:ilvl w:val="1"/>
          <w:numId w:val="187"/>
        </w:numPr>
        <w:rPr>
          <w:rFonts w:ascii="Arial" w:cs="Arial" w:eastAsia="Arial" w:hAnsi="Arial"/>
          <w:sz w:val="18"/>
          <w:szCs w:val="18"/>
          <w:color w:val="auto"/>
        </w:rPr>
      </w:pPr>
      <w:r>
        <w:rPr>
          <w:rFonts w:ascii="Arial" w:cs="Arial" w:eastAsia="Arial" w:hAnsi="Arial"/>
          <w:sz w:val="18"/>
          <w:szCs w:val="18"/>
          <w:color w:val="auto"/>
        </w:rPr>
        <w:t>prepare and file with the SEC such amendments or supplements to the applicable Registration Statement or Prospectus as may be (A) reasonably requested by any participating holder (to the extent such request relates to information relating to such holder) or (B) necessary to keep such registration effective for the period of time required by this Agreement;</w:t>
      </w:r>
    </w:p>
    <w:p>
      <w:pPr>
        <w:spacing w:after="0" w:line="59" w:lineRule="exact"/>
        <w:rPr>
          <w:rFonts w:ascii="Arial" w:cs="Arial" w:eastAsia="Arial" w:hAnsi="Arial"/>
          <w:sz w:val="18"/>
          <w:szCs w:val="18"/>
          <w:color w:val="auto"/>
        </w:rPr>
      </w:pPr>
    </w:p>
    <w:p>
      <w:pPr>
        <w:ind w:left="460" w:right="140" w:firstLine="443"/>
        <w:spacing w:after="0" w:line="335" w:lineRule="auto"/>
        <w:tabs>
          <w:tab w:leader="none" w:pos="1205" w:val="left"/>
        </w:tabs>
        <w:numPr>
          <w:ilvl w:val="1"/>
          <w:numId w:val="187"/>
        </w:numPr>
        <w:rPr>
          <w:rFonts w:ascii="Arial" w:cs="Arial" w:eastAsia="Arial" w:hAnsi="Arial"/>
          <w:sz w:val="15"/>
          <w:szCs w:val="15"/>
          <w:color w:val="auto"/>
        </w:rPr>
      </w:pPr>
      <w:r>
        <w:rPr>
          <w:rFonts w:ascii="Arial" w:cs="Arial" w:eastAsia="Arial" w:hAnsi="Arial"/>
          <w:sz w:val="15"/>
          <w:szCs w:val="15"/>
          <w:color w:val="auto"/>
        </w:rPr>
        <w:t>notify the selling holders of Registrable Securities and the managing underwriter or underwriters, if any, and (if requested) confirm such advice in writing, as soon as reasonably practicable after notice thereof is received by the Company, (A) when the applicable Registration Statement or any amendment thereto has been filed or becomes effective and when the applicable Prospectus or any amendment or supplement thereto has been filed, (B)</w:t>
      </w:r>
    </w:p>
    <w:p>
      <w:pPr>
        <w:spacing w:after="0" w:line="74" w:lineRule="exact"/>
        <w:rPr>
          <w:rFonts w:ascii="Arial" w:cs="Arial" w:eastAsia="Arial" w:hAnsi="Arial"/>
          <w:sz w:val="15"/>
          <w:szCs w:val="15"/>
          <w:color w:val="auto"/>
        </w:rPr>
      </w:pPr>
    </w:p>
    <w:p>
      <w:pPr>
        <w:ind w:left="5620" w:hanging="93"/>
        <w:spacing w:after="0"/>
        <w:tabs>
          <w:tab w:leader="none" w:pos="5620" w:val="left"/>
        </w:tabs>
        <w:numPr>
          <w:ilvl w:val="2"/>
          <w:numId w:val="187"/>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420"/>
          </w:cols>
          <w:pgMar w:left="240" w:top="280" w:right="239" w:bottom="1440" w:gutter="0" w:footer="0" w:header="0"/>
        </w:sectPr>
      </w:pPr>
    </w:p>
    <w:bookmarkStart w:id="228" w:name="page229"/>
    <w:bookmarkEnd w:id="228"/>
    <w:p>
      <w:pPr>
        <w:ind w:right="1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any written comments by the SEC or any request by the SEC or any other federal or state governmental authority for amendments or supplements to such Registration Statement or Prospectus or for additional information, (C) of the issuance by the SEC of any stop order suspending the effectiveness of such Registration Statement or any order preventing or suspending the use of any preliminary or final Prospectus or the initiation or threat of any proceedings for such purposes and (D) of the receipt by the Company of any notification with respect to the suspension of the qualification of the Registrable Securities for offering or sale in any jurisdiction or the initiation or threat of any proceeding for such purpose;</w:t>
      </w:r>
    </w:p>
    <w:p>
      <w:pPr>
        <w:spacing w:after="0" w:line="35" w:lineRule="exact"/>
        <w:rPr>
          <w:sz w:val="20"/>
          <w:szCs w:val="20"/>
          <w:color w:val="auto"/>
        </w:rPr>
      </w:pPr>
    </w:p>
    <w:p>
      <w:pPr>
        <w:ind w:right="80" w:firstLine="443"/>
        <w:spacing w:after="0" w:line="290" w:lineRule="auto"/>
        <w:tabs>
          <w:tab w:leader="none" w:pos="736" w:val="left"/>
        </w:tabs>
        <w:numPr>
          <w:ilvl w:val="0"/>
          <w:numId w:val="188"/>
        </w:numPr>
        <w:rPr>
          <w:rFonts w:ascii="Arial" w:cs="Arial" w:eastAsia="Arial" w:hAnsi="Arial"/>
          <w:sz w:val="16"/>
          <w:szCs w:val="16"/>
          <w:color w:val="auto"/>
        </w:rPr>
      </w:pPr>
      <w:r>
        <w:rPr>
          <w:rFonts w:ascii="Arial" w:cs="Arial" w:eastAsia="Arial" w:hAnsi="Arial"/>
          <w:sz w:val="16"/>
          <w:szCs w:val="16"/>
          <w:color w:val="auto"/>
        </w:rPr>
        <w:t>promptly notify each selling holder of Registrable Securities and the managing underwriter or underwriters, if any, when the Company becomes aware of the happening of any event as a result of which the applicable Registration Statement or Prospectus (as then in effect) contains any untrue statement of a material fact or omits to state a material fact necessary to make the statements therein (in the case of the Prospectus and any preliminary Prospectus, in light of the circumstances under which they were made) not misleading or, if for any other reason it shall be necessary to amend or supplement such Registration Statement or Prospectus in order to comply with the Securities Act and, in either case as promptly as reasonably practicable thereafter, prepare and file with the SEC an amendment or supplement to such Registration Statement or Prospectus which will correct such statement or omission or effect such compliance;</w:t>
      </w:r>
    </w:p>
    <w:p>
      <w:pPr>
        <w:spacing w:after="0" w:line="37" w:lineRule="exact"/>
        <w:rPr>
          <w:rFonts w:ascii="Arial" w:cs="Arial" w:eastAsia="Arial" w:hAnsi="Arial"/>
          <w:sz w:val="16"/>
          <w:szCs w:val="16"/>
          <w:color w:val="auto"/>
        </w:rPr>
      </w:pPr>
    </w:p>
    <w:p>
      <w:pPr>
        <w:ind w:firstLine="443"/>
        <w:spacing w:after="0" w:line="268" w:lineRule="auto"/>
        <w:tabs>
          <w:tab w:leader="none" w:pos="68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make every reasonable effort to prevent, or obtain at the earliest possible moment the withdrawal of, any stop order with respect to, the applicable Registration Statement or other order suspending the use of any preliminary or final Prospectus;</w:t>
      </w:r>
    </w:p>
    <w:p>
      <w:pPr>
        <w:spacing w:after="0" w:line="50" w:lineRule="exact"/>
        <w:rPr>
          <w:rFonts w:ascii="Arial" w:cs="Arial" w:eastAsia="Arial" w:hAnsi="Arial"/>
          <w:sz w:val="18"/>
          <w:szCs w:val="18"/>
          <w:color w:val="auto"/>
        </w:rPr>
      </w:pPr>
    </w:p>
    <w:p>
      <w:pPr>
        <w:ind w:right="60" w:firstLine="443"/>
        <w:spacing w:after="0" w:line="255" w:lineRule="auto"/>
        <w:tabs>
          <w:tab w:leader="none" w:pos="73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promptly incorporate in a Prospectus supplement or post-effective amendment to the applicable Registration Statement such information as the managing underwriter or underwriters, if any, or the holders of a majority of the Registrable Securities being sold agree should be included therein relating to the plan of distribution with respect to such Registrable Securities; and make all required filings of such Prospectus supplement or post-effective amendment as soon as reasonably practicable after being notified of the matters to be incorporated in such Prospectus supplement or post-effective amendment;</w:t>
      </w:r>
    </w:p>
    <w:p>
      <w:pPr>
        <w:spacing w:after="0" w:line="61" w:lineRule="exact"/>
        <w:rPr>
          <w:rFonts w:ascii="Arial" w:cs="Arial" w:eastAsia="Arial" w:hAnsi="Arial"/>
          <w:sz w:val="18"/>
          <w:szCs w:val="18"/>
          <w:color w:val="auto"/>
        </w:rPr>
      </w:pPr>
    </w:p>
    <w:p>
      <w:pPr>
        <w:ind w:right="300" w:firstLine="443"/>
        <w:spacing w:after="0" w:line="268" w:lineRule="auto"/>
        <w:tabs>
          <w:tab w:leader="none" w:pos="78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furnish to each selling holder of Registrable Securities and each managing underwriter, if any, without charge, as many conformed copies as such holder or managing underwriter may reasonably request of the applicable Registration Statement;</w:t>
      </w:r>
    </w:p>
    <w:p>
      <w:pPr>
        <w:spacing w:after="0" w:line="50" w:lineRule="exact"/>
        <w:rPr>
          <w:rFonts w:ascii="Arial" w:cs="Arial" w:eastAsia="Arial" w:hAnsi="Arial"/>
          <w:sz w:val="18"/>
          <w:szCs w:val="18"/>
          <w:color w:val="auto"/>
        </w:rPr>
      </w:pPr>
    </w:p>
    <w:p>
      <w:pPr>
        <w:jc w:val="both"/>
        <w:ind w:right="20" w:firstLine="443"/>
        <w:spacing w:after="0" w:line="256" w:lineRule="auto"/>
        <w:tabs>
          <w:tab w:leader="none" w:pos="83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deliver to each selling holder of Registrable Securities and each managing underwriter, if any, without charge, as many copies of the applicable Prospectus (including each preliminary Prospectus) as such holder or managing underwriter may reasonably request (it being understood that the Company consents to the use of the Prospectus by each of the selling holders of Registrable Securities and the underwriter or underwriters, if any, in connection with the offering and sale of the Registrable Securities covered by the Prospectus);</w:t>
      </w:r>
    </w:p>
    <w:p>
      <w:pPr>
        <w:spacing w:after="0" w:line="129" w:lineRule="exact"/>
        <w:rPr>
          <w:rFonts w:ascii="Arial" w:cs="Arial" w:eastAsia="Arial" w:hAnsi="Arial"/>
          <w:sz w:val="18"/>
          <w:szCs w:val="18"/>
          <w:color w:val="auto"/>
        </w:rPr>
      </w:pPr>
    </w:p>
    <w:p>
      <w:pPr>
        <w:ind w:left="5160" w:hanging="96"/>
        <w:spacing w:after="0"/>
        <w:tabs>
          <w:tab w:leader="none" w:pos="516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940"/>
          </w:cols>
          <w:pgMar w:left="700" w:top="280" w:right="259" w:bottom="1440" w:gutter="0" w:footer="0" w:header="0"/>
        </w:sectPr>
      </w:pPr>
    </w:p>
    <w:bookmarkStart w:id="229" w:name="page230"/>
    <w:bookmarkEnd w:id="229"/>
    <w:p>
      <w:pPr>
        <w:ind w:right="60" w:firstLine="443"/>
        <w:spacing w:after="0" w:line="290" w:lineRule="auto"/>
        <w:tabs>
          <w:tab w:leader="none" w:pos="736" w:val="left"/>
        </w:tabs>
        <w:numPr>
          <w:ilvl w:val="0"/>
          <w:numId w:val="1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on or prior to the date on which the applicable Registration Statement is declared effective, use its reasonable best efforts to register or qualify such Registrable Securities for offer and sale under the securities or “Blue Sky” laws of each state and other jurisdiction of the United States, as any such selling holder or underwriter, if any, or their respective counsel reasonably requests in writing, and do any and all other acts or things reasonably necessary or advisable to keep such registration or qualification in effect so as to permit the commencement and continuance of sales and dealings in such jurisdictions for as long as may be necessary to complete the distribution of the Registrable Securities covered by the Registration 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will not be required to qualify generally to do business in any jurisdiction where it is not then so qualified or to take any action which would subject it to taxation or general service of process in any such jurisdiction where it is not then so subject;</w:t>
      </w:r>
    </w:p>
    <w:p>
      <w:pPr>
        <w:spacing w:after="0" w:line="37" w:lineRule="exact"/>
        <w:rPr>
          <w:rFonts w:ascii="Arial" w:cs="Arial" w:eastAsia="Arial" w:hAnsi="Arial"/>
          <w:sz w:val="16"/>
          <w:szCs w:val="16"/>
          <w:color w:val="auto"/>
        </w:rPr>
      </w:pPr>
    </w:p>
    <w:p>
      <w:pPr>
        <w:ind w:right="280" w:firstLine="443"/>
        <w:spacing w:after="0" w:line="332" w:lineRule="auto"/>
        <w:tabs>
          <w:tab w:leader="none" w:pos="68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cooperate with the selling holders of Registrable Securities and the managing underwriter, underwriters or agent, if any, to facilitate the timely preparation and delivery of certificates representing Registrable Securities to be sold and not bearing any restrictive legends;</w:t>
      </w:r>
    </w:p>
    <w:p>
      <w:pPr>
        <w:spacing w:after="0" w:line="4" w:lineRule="exact"/>
        <w:rPr>
          <w:rFonts w:ascii="Arial" w:cs="Arial" w:eastAsia="Arial" w:hAnsi="Arial"/>
          <w:sz w:val="16"/>
          <w:szCs w:val="16"/>
          <w:color w:val="auto"/>
        </w:rPr>
      </w:pPr>
    </w:p>
    <w:p>
      <w:pPr>
        <w:ind w:right="120" w:firstLine="443"/>
        <w:spacing w:after="0" w:line="259" w:lineRule="auto"/>
        <w:tabs>
          <w:tab w:leader="none" w:pos="73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not later than the effective date of the applicable Registration Statement, provide a CUSIP number for all Registrable Securities and provide the applicable transfer agent with printed certificates for the Registrable Securities, if required, which certificates shall be in a form eligible for deposit with The Depository Trust Company;</w:t>
      </w:r>
    </w:p>
    <w:p>
      <w:pPr>
        <w:spacing w:after="0" w:line="59" w:lineRule="exact"/>
        <w:rPr>
          <w:rFonts w:ascii="Arial" w:cs="Arial" w:eastAsia="Arial" w:hAnsi="Arial"/>
          <w:sz w:val="18"/>
          <w:szCs w:val="18"/>
          <w:color w:val="auto"/>
        </w:rPr>
      </w:pPr>
    </w:p>
    <w:p>
      <w:pPr>
        <w:ind w:firstLine="443"/>
        <w:spacing w:after="0" w:line="298" w:lineRule="auto"/>
        <w:tabs>
          <w:tab w:leader="none" w:pos="784" w:val="left"/>
        </w:tabs>
        <w:numPr>
          <w:ilvl w:val="0"/>
          <w:numId w:val="189"/>
        </w:numPr>
        <w:rPr>
          <w:rFonts w:ascii="Arial" w:cs="Arial" w:eastAsia="Arial" w:hAnsi="Arial"/>
          <w:sz w:val="16"/>
          <w:szCs w:val="16"/>
          <w:color w:val="auto"/>
        </w:rPr>
      </w:pPr>
      <w:r>
        <w:rPr>
          <w:rFonts w:ascii="Arial" w:cs="Arial" w:eastAsia="Arial" w:hAnsi="Arial"/>
          <w:sz w:val="16"/>
          <w:szCs w:val="16"/>
          <w:color w:val="auto"/>
        </w:rPr>
        <w:t>obtain for delivery to the holders of Registrable Securities being registered and to the underwriter or underwriters, if any, an opinion or opinions from counsel for the Company dated the effective date of the Registration Statement or, in the event of an Underwritten Offering, the date of the closing under the underwriting agreement, in customary form, scope and substance, which counsel and opinions shall be reasonably satisfactory to a majority of the holders of Registrable Securities being registered and the underwriter or underwriters, if any, and their respective counsel;</w:t>
      </w:r>
    </w:p>
    <w:p>
      <w:pPr>
        <w:spacing w:after="0" w:line="31" w:lineRule="exact"/>
        <w:rPr>
          <w:rFonts w:ascii="Arial" w:cs="Arial" w:eastAsia="Arial" w:hAnsi="Arial"/>
          <w:sz w:val="16"/>
          <w:szCs w:val="16"/>
          <w:color w:val="auto"/>
        </w:rPr>
      </w:pPr>
    </w:p>
    <w:p>
      <w:pPr>
        <w:ind w:right="80" w:firstLine="443"/>
        <w:spacing w:after="0" w:line="323" w:lineRule="auto"/>
        <w:tabs>
          <w:tab w:leader="none" w:pos="833" w:val="left"/>
        </w:tabs>
        <w:numPr>
          <w:ilvl w:val="0"/>
          <w:numId w:val="189"/>
        </w:numPr>
        <w:rPr>
          <w:rFonts w:ascii="Arial" w:cs="Arial" w:eastAsia="Arial" w:hAnsi="Arial"/>
          <w:sz w:val="15"/>
          <w:szCs w:val="15"/>
          <w:color w:val="auto"/>
        </w:rPr>
      </w:pPr>
      <w:r>
        <w:rPr>
          <w:rFonts w:ascii="Arial" w:cs="Arial" w:eastAsia="Arial" w:hAnsi="Arial"/>
          <w:sz w:val="15"/>
          <w:szCs w:val="15"/>
          <w:color w:val="auto"/>
        </w:rPr>
        <w:t>in the case of an Underwritten Offering, obtain for delivery to the Company and the underwriter or underwriters, if any, with copies to the holders of Registrable Securities included in such registration, a cold comfort letter from the Company’s independent certified public accountants in customary form and covering such matters of the type customarily covered by cold comfort letters as the managing underwriter or underwriters reasonably request, dated the date of execution of the underwriting agreement and brought down to the date of the closing under the underwriting agreement;</w:t>
      </w:r>
    </w:p>
    <w:p>
      <w:pPr>
        <w:spacing w:after="0" w:line="16" w:lineRule="exact"/>
        <w:rPr>
          <w:rFonts w:ascii="Arial" w:cs="Arial" w:eastAsia="Arial" w:hAnsi="Arial"/>
          <w:sz w:val="15"/>
          <w:szCs w:val="15"/>
          <w:color w:val="auto"/>
        </w:rPr>
      </w:pPr>
    </w:p>
    <w:p>
      <w:pPr>
        <w:ind w:right="280" w:firstLine="443"/>
        <w:spacing w:after="0" w:line="268" w:lineRule="auto"/>
        <w:tabs>
          <w:tab w:leader="none" w:pos="82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cooperate with each seller of Registrable Securities and each underwriter or agent, if any, participating in the disposition of such Registrable Securities and their respective counsel in connection with any filings required to be made with the NASD;</w:t>
      </w:r>
    </w:p>
    <w:p>
      <w:pPr>
        <w:spacing w:after="0" w:line="50" w:lineRule="exact"/>
        <w:rPr>
          <w:rFonts w:ascii="Arial" w:cs="Arial" w:eastAsia="Arial" w:hAnsi="Arial"/>
          <w:sz w:val="18"/>
          <w:szCs w:val="18"/>
          <w:color w:val="auto"/>
        </w:rPr>
      </w:pPr>
    </w:p>
    <w:p>
      <w:pPr>
        <w:ind w:left="780" w:hanging="337"/>
        <w:spacing w:after="0"/>
        <w:tabs>
          <w:tab w:leader="none" w:pos="78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use its reasonable best efforts to comply with all applicable rules and regulations of the SEC and make generally available to its security holders,</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as soon as</w:t>
      </w:r>
    </w:p>
    <w:p>
      <w:pPr>
        <w:spacing w:after="0" w:line="151" w:lineRule="exact"/>
        <w:rPr>
          <w:rFonts w:ascii="Arial" w:cs="Arial" w:eastAsia="Arial" w:hAnsi="Arial"/>
          <w:sz w:val="15"/>
          <w:szCs w:val="15"/>
          <w:color w:val="auto"/>
        </w:rPr>
      </w:pPr>
    </w:p>
    <w:p>
      <w:pPr>
        <w:ind w:left="5160" w:hanging="96"/>
        <w:spacing w:after="0"/>
        <w:tabs>
          <w:tab w:leader="none" w:pos="51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960"/>
          </w:cols>
          <w:pgMar w:left="700" w:top="280" w:right="239" w:bottom="1440" w:gutter="0" w:footer="0" w:header="0"/>
        </w:sectPr>
      </w:pPr>
    </w:p>
    <w:bookmarkStart w:id="230" w:name="page231"/>
    <w:bookmarkEnd w:id="230"/>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reasonably practicable (but not more than 15 months) after the effective date of the applicable Registration Statement, an earnings statement satisfying the provisions of Section 11 (a) of the Securities Act and the rules and regulations promulgated thereunder;</w:t>
      </w:r>
    </w:p>
    <w:p>
      <w:pPr>
        <w:spacing w:after="0" w:line="51" w:lineRule="exact"/>
        <w:rPr>
          <w:sz w:val="20"/>
          <w:szCs w:val="20"/>
          <w:color w:val="auto"/>
        </w:rPr>
      </w:pPr>
    </w:p>
    <w:p>
      <w:pPr>
        <w:ind w:right="60" w:firstLine="443"/>
        <w:spacing w:after="0" w:line="268" w:lineRule="auto"/>
        <w:tabs>
          <w:tab w:leader="none" w:pos="823" w:val="left"/>
        </w:tabs>
        <w:numPr>
          <w:ilvl w:val="1"/>
          <w:numId w:val="190"/>
        </w:numPr>
        <w:rPr>
          <w:rFonts w:ascii="Arial" w:cs="Arial" w:eastAsia="Arial" w:hAnsi="Arial"/>
          <w:sz w:val="18"/>
          <w:szCs w:val="18"/>
          <w:color w:val="auto"/>
        </w:rPr>
      </w:pPr>
      <w:r>
        <w:rPr>
          <w:rFonts w:ascii="Arial" w:cs="Arial" w:eastAsia="Arial" w:hAnsi="Arial"/>
          <w:sz w:val="18"/>
          <w:szCs w:val="18"/>
          <w:color w:val="auto"/>
        </w:rPr>
        <w:t>provide and cause to be maintained a transfer agent and registrar for all Registrable Securities covered by the applicable Registration Statement from and after a date not later than the effective date of such Registration Statement;</w:t>
      </w:r>
    </w:p>
    <w:p>
      <w:pPr>
        <w:spacing w:after="0" w:line="50" w:lineRule="exact"/>
        <w:rPr>
          <w:rFonts w:ascii="Arial" w:cs="Arial" w:eastAsia="Arial" w:hAnsi="Arial"/>
          <w:sz w:val="18"/>
          <w:szCs w:val="18"/>
          <w:color w:val="auto"/>
        </w:rPr>
      </w:pPr>
    </w:p>
    <w:p>
      <w:pPr>
        <w:ind w:right="60" w:firstLine="443"/>
        <w:spacing w:after="0" w:line="259" w:lineRule="auto"/>
        <w:tabs>
          <w:tab w:leader="none" w:pos="872" w:val="left"/>
        </w:tabs>
        <w:numPr>
          <w:ilvl w:val="1"/>
          <w:numId w:val="190"/>
        </w:numPr>
        <w:rPr>
          <w:rFonts w:ascii="Arial" w:cs="Arial" w:eastAsia="Arial" w:hAnsi="Arial"/>
          <w:sz w:val="18"/>
          <w:szCs w:val="18"/>
          <w:color w:val="auto"/>
        </w:rPr>
      </w:pPr>
      <w:r>
        <w:rPr>
          <w:rFonts w:ascii="Arial" w:cs="Arial" w:eastAsia="Arial" w:hAnsi="Arial"/>
          <w:sz w:val="18"/>
          <w:szCs w:val="18"/>
          <w:color w:val="auto"/>
        </w:rPr>
        <w:t>cause all Registrable Securities of the class covered by the applicable Registration Statement to be listed on each securities exchange on which any of the Company’s securities of such class are then listed and on each interdealer quotation system on which any of the Company’s securities of such class are then quoted;</w:t>
      </w:r>
    </w:p>
    <w:p>
      <w:pPr>
        <w:spacing w:after="0" w:line="59" w:lineRule="exact"/>
        <w:rPr>
          <w:rFonts w:ascii="Arial" w:cs="Arial" w:eastAsia="Arial" w:hAnsi="Arial"/>
          <w:sz w:val="18"/>
          <w:szCs w:val="18"/>
          <w:color w:val="auto"/>
        </w:rPr>
      </w:pPr>
    </w:p>
    <w:p>
      <w:pPr>
        <w:ind w:firstLine="443"/>
        <w:spacing w:after="0" w:line="288" w:lineRule="auto"/>
        <w:tabs>
          <w:tab w:leader="none" w:pos="921" w:val="left"/>
        </w:tabs>
        <w:numPr>
          <w:ilvl w:val="1"/>
          <w:numId w:val="190"/>
        </w:numPr>
        <w:rPr>
          <w:rFonts w:ascii="Arial" w:cs="Arial" w:eastAsia="Arial" w:hAnsi="Arial"/>
          <w:sz w:val="16"/>
          <w:szCs w:val="16"/>
          <w:color w:val="auto"/>
        </w:rPr>
      </w:pPr>
      <w:r>
        <w:rPr>
          <w:rFonts w:ascii="Arial" w:cs="Arial" w:eastAsia="Arial" w:hAnsi="Arial"/>
          <w:sz w:val="16"/>
          <w:szCs w:val="16"/>
          <w:color w:val="auto"/>
        </w:rPr>
        <w:t>make available upon reasonable notice at reasonable times and for reasonable periods for inspection by a representative appointed by the holders of a majority of the Registrable Securities covered by the applicable Registration Statement, by any managing underwriter or underwriters participating in any disposition to be effected pursuant to such Registration Statement and by any attorney, accountant or other agent retained by such sellers or any such managing underwriter, all pertinent financial and other records, pertinent corporate documents and properties of the Company, and cause all of the Company’s officers, directors and employees and the independent public accountants who have certified its financial statements to make themselves reasonably available to discuss the business of the Company and to supply all information reasonably requested by any such seller, underwriter, attorney, accountant or agent in connection with such Registration Statement as shall be necessary to enable them to exercise their due diligence responsibility (subject to the entry by each party referred to in this clause (xviii) into customary confidentiality agreements in a form reasonably acceptable to the Company); and</w:t>
      </w:r>
    </w:p>
    <w:p>
      <w:pPr>
        <w:spacing w:after="0" w:line="38" w:lineRule="exact"/>
        <w:rPr>
          <w:rFonts w:ascii="Arial" w:cs="Arial" w:eastAsia="Arial" w:hAnsi="Arial"/>
          <w:sz w:val="16"/>
          <w:szCs w:val="16"/>
          <w:color w:val="auto"/>
        </w:rPr>
      </w:pPr>
    </w:p>
    <w:p>
      <w:pPr>
        <w:ind w:right="60" w:firstLine="443"/>
        <w:spacing w:after="0" w:line="306" w:lineRule="auto"/>
        <w:tabs>
          <w:tab w:leader="none" w:pos="823" w:val="left"/>
        </w:tabs>
        <w:numPr>
          <w:ilvl w:val="1"/>
          <w:numId w:val="190"/>
        </w:numPr>
        <w:rPr>
          <w:rFonts w:ascii="Arial" w:cs="Arial" w:eastAsia="Arial" w:hAnsi="Arial"/>
          <w:sz w:val="16"/>
          <w:szCs w:val="16"/>
          <w:color w:val="auto"/>
        </w:rPr>
      </w:pPr>
      <w:r>
        <w:rPr>
          <w:rFonts w:ascii="Arial" w:cs="Arial" w:eastAsia="Arial" w:hAnsi="Arial"/>
          <w:sz w:val="16"/>
          <w:szCs w:val="16"/>
          <w:color w:val="auto"/>
        </w:rPr>
        <w:t>in the case of an Underwritten Offering, cause the senior executive officers of the Company to participate in the customary “road show” presentations that may be reasonably requested by the managing underwriter in any such Underwritten Offering and otherwise to facilitate, cooperate with, and participate in each proposed offering contemplated herein and customary selling efforts related thereto.</w:t>
      </w:r>
    </w:p>
    <w:p>
      <w:pPr>
        <w:spacing w:after="0" w:line="106" w:lineRule="exact"/>
        <w:rPr>
          <w:rFonts w:ascii="Arial" w:cs="Arial" w:eastAsia="Arial" w:hAnsi="Arial"/>
          <w:sz w:val="16"/>
          <w:szCs w:val="16"/>
          <w:color w:val="auto"/>
        </w:rPr>
      </w:pPr>
    </w:p>
    <w:p>
      <w:pPr>
        <w:ind w:left="-460" w:right="40" w:firstLine="464"/>
        <w:spacing w:after="0" w:line="294" w:lineRule="auto"/>
        <w:tabs>
          <w:tab w:leader="none" w:pos="24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Company may require each selling holder of Registrable Securities as to which any registration is being effected to furnish to the Company such information regarding the distribution of such Registrable Securities and such other information relating to such holder and its ownership of the applicable Registrable Securities as the Company may from time to time reasonably request. Each holder of Registrable Securities agrees to furnish such information to the Company and to cooperate with the Company as necessary to enable the Company to comply with the provisions of this Agreement. The Company shall have the right to exclude any holder that does not comply with the preceding sentence from the applicable registration.</w:t>
      </w:r>
    </w:p>
    <w:p>
      <w:pPr>
        <w:spacing w:after="0" w:line="115" w:lineRule="exact"/>
        <w:rPr>
          <w:rFonts w:ascii="Arial" w:cs="Arial" w:eastAsia="Arial" w:hAnsi="Arial"/>
          <w:sz w:val="16"/>
          <w:szCs w:val="16"/>
          <w:color w:val="auto"/>
        </w:rPr>
      </w:pPr>
    </w:p>
    <w:p>
      <w:pPr>
        <w:ind w:left="-460" w:right="400" w:firstLine="464"/>
        <w:spacing w:after="0" w:line="268" w:lineRule="auto"/>
        <w:tabs>
          <w:tab w:leader="none" w:pos="23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holder of Registrable Securities agrees by acquisition of such Registrable Securities that, upon receipt of any notice from the Company of the happening of any</w:t>
      </w:r>
    </w:p>
    <w:p>
      <w:pPr>
        <w:spacing w:after="0" w:line="118" w:lineRule="exact"/>
        <w:rPr>
          <w:rFonts w:ascii="Arial" w:cs="Arial" w:eastAsia="Arial" w:hAnsi="Arial"/>
          <w:sz w:val="18"/>
          <w:szCs w:val="18"/>
          <w:color w:val="auto"/>
        </w:rPr>
      </w:pPr>
    </w:p>
    <w:p>
      <w:pPr>
        <w:ind w:left="5160" w:hanging="96"/>
        <w:spacing w:after="0"/>
        <w:tabs>
          <w:tab w:leader="none" w:pos="5160" w:val="left"/>
        </w:tabs>
        <w:numPr>
          <w:ilvl w:val="2"/>
          <w:numId w:val="191"/>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960"/>
          </w:cols>
          <w:pgMar w:left="700" w:top="280" w:right="239" w:bottom="1440" w:gutter="0" w:footer="0" w:header="0"/>
        </w:sectPr>
      </w:pPr>
    </w:p>
    <w:bookmarkStart w:id="231" w:name="page232"/>
    <w:bookmarkEnd w:id="231"/>
    <w:p>
      <w:pPr>
        <w:ind w:right="60"/>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event of the kind described in Section 2.5(a)(iv), such holder shall discontinue disposition of its Registrable Securities pursuant to such Registration Statement until such holder’s receipt of the copies of the supplemented or amended Prospectus contemplated by Section 2.5(a)(iv), or until such holder is advised in writing by the Company that the use of the Prospectus may be resumed, and has received copies of any additional or supplemental filings that are incorporated by reference in the Prospectus, and, if so directed by the Company, such holder shall deliver to the Company (at the Company’s expense) all copies, other than permanent file copies then in such holder’s possession, of the Prospectus covering such Registrable Securities which are current at the time of the receipt of such notice. In the event that the Company shall give any such notice in respect of a Demand Registration, the period during which the applicable Registration Statement is required to be maintained effective shall be extended by the number of days during the period from and including the date of the giving of such notice to and including the date when each seller of Registrable Securities covered by such Registration Statement either receives the copies of the supplemented or amended Prospectus contemplated by Section 2.5(a)(iv) or is advised in writing by the Company that the use of the Prospectus may be resumed.</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Underwritten Offerings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8" w:lineRule="auto"/>
        <w:tabs>
          <w:tab w:leader="none" w:pos="695"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Underwriting Agreements</w:t>
      </w:r>
      <w:r>
        <w:rPr>
          <w:rFonts w:ascii="Arial" w:cs="Arial" w:eastAsia="Arial" w:hAnsi="Arial"/>
          <w:sz w:val="16"/>
          <w:szCs w:val="16"/>
          <w:color w:val="auto"/>
        </w:rPr>
        <w:t>. If requested by the underwriters for any Underwritten Offering requested by the Company or the holders pursuant to Section 2.1, 2.2 or 2.3, the Company and the holders of Registrable Securities to be included therein shall enter into an underwriting agreement with such underwriters, such agreement to be reasonably satisfactory in substance and form to the Company, the holders of majority of the Registrable Securities to be included in such Underwritten Offering and the underwriters, and to contain such terms and conditions as are customary in agreements of that type, including, without limitation, indemnities no less favorable to the recipient thereof than those provided in Section 2.9. The holders of any Registrable Securities to be included in any Underwritten Offering pursuant to Section 2.3 shall enter into such an underwriting agreement at the request of the Company. No holder shall be required in any such underwriting agreement to make any representations or warranties to or agreements with the Company or the underwriters other than representations, warranties or agreements regarding such holder, ownership of such holder’s Registrable Securities, such holder’s intended method of distribution, any other representations required by law and customary indemnity and contribution agreements.</w:t>
      </w:r>
    </w:p>
    <w:p>
      <w:pPr>
        <w:spacing w:after="0" w:line="119" w:lineRule="exact"/>
        <w:rPr>
          <w:rFonts w:ascii="Arial" w:cs="Arial" w:eastAsia="Arial" w:hAnsi="Arial"/>
          <w:sz w:val="16"/>
          <w:szCs w:val="16"/>
          <w:color w:val="auto"/>
        </w:rPr>
      </w:pPr>
    </w:p>
    <w:p>
      <w:pPr>
        <w:ind w:right="40" w:firstLine="464"/>
        <w:spacing w:after="0" w:line="335" w:lineRule="auto"/>
        <w:tabs>
          <w:tab w:leader="none" w:pos="705" w:val="left"/>
        </w:tabs>
        <w:numPr>
          <w:ilvl w:val="0"/>
          <w:numId w:val="192"/>
        </w:numPr>
        <w:rPr>
          <w:rFonts w:ascii="Arial" w:cs="Arial" w:eastAsia="Arial" w:hAnsi="Arial"/>
          <w:sz w:val="15"/>
          <w:szCs w:val="15"/>
          <w:color w:val="auto"/>
        </w:rPr>
      </w:pPr>
      <w:r>
        <w:rPr>
          <w:rFonts w:ascii="Arial" w:cs="Arial" w:eastAsia="Arial" w:hAnsi="Arial"/>
          <w:sz w:val="15"/>
          <w:szCs w:val="15"/>
          <w:u w:val="single" w:color="auto"/>
          <w:color w:val="auto"/>
        </w:rPr>
        <w:t>Participation in Underwritten Registrations</w:t>
      </w:r>
      <w:r>
        <w:rPr>
          <w:rFonts w:ascii="Arial" w:cs="Arial" w:eastAsia="Arial" w:hAnsi="Arial"/>
          <w:sz w:val="15"/>
          <w:szCs w:val="15"/>
          <w:color w:val="auto"/>
        </w:rPr>
        <w:t>. No Person may participate in an Underwritten Offering unless such Person (i) agrees to sell such Person’s securities on the basis provided in any underwriting arrangements approved by the Persons entitled to approve such arrangements and (ii) completes and executes all questionnaires, powers of attorney, indemnities, underwriting agreements and other documents required under the terms of such underwriting arrangements.</w:t>
      </w:r>
    </w:p>
    <w:p>
      <w:pPr>
        <w:spacing w:after="0" w:line="8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No Inconsistent Agreements; Additional Rights</w:t>
      </w:r>
      <w:r>
        <w:rPr>
          <w:rFonts w:ascii="Arial" w:cs="Arial" w:eastAsia="Arial" w:hAnsi="Arial"/>
          <w:sz w:val="18"/>
          <w:szCs w:val="18"/>
          <w:color w:val="auto"/>
        </w:rPr>
        <w:t>. The Company shall not enter into, and is not currently a party to, any agreement which is inconsistent with the rights granted to the holders of Registrable Securities by this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00"/>
          </w:cols>
          <w:pgMar w:left="240" w:top="280" w:right="259" w:bottom="1440" w:gutter="0" w:footer="0" w:header="0"/>
        </w:sectPr>
      </w:pPr>
    </w:p>
    <w:bookmarkStart w:id="232" w:name="page233"/>
    <w:bookmarkEnd w:id="232"/>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2.8.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Company shall pay all of the expenses set forth in the following sentence in connection with the registration pursuant to this Agreement of Registrable Securities. Such expenses are: (i) all registration and filing fees, and any other fees and expenses associated with filings required to be made with the SEC or the NASD, (ii) all fees and expenses of compliance with state securities or “Blue Sky” laws, (iii) all printing, duplicating, word processing, messenger, telephone, facsimile and delivery expenses (including expenses of printing certificates for the Registrable Securities in a form eligible for deposit with The Depository Trust Company and of printing prospectuses), (iv) all fees and disbursements of counsel for the Company and of all independent certified public accountants of the Company, (v) all fees and expenses incurred in connection with the listing of the Registrable Securities on any securities exchange or the quotation of the Registrable Securities on any interdealer quotation system and (vi) in connection with such registration, that portion of the marketing or “roadshow” expenses incurred by the holders or the Company in any offering of Registrable Securities as are not paid by the underwriters of such offering. In addition, in all cases the Company shall pay its internal expenses (including, without limitation, all salaries and expenses of its officers and employees performing legal or accounting duties), the expense of any audit and the fees and expenses of any Person, including special experts, retained by the Company. The Company shall also pay all reasonable fees and disbursements of one law firm or other counsel selected by the holders of a majority of the Registrable Securities being registered, such counsel to be reasonably acceptable to the Company. The Company shall not be required to pay any other costs or expenses in the course of the transactions contemplated hereby, including underwriting discounts and commissions and transfer taxes attributable to the sale of Registrable Securities, all of which costs and expenses shall be borne proportionately by the holders of Registrable Securities, covered by the applicable Registration Statement in accordance with the number of Registrable Securities each such holder is registering, and the fees and expenses of counsel to the underwriters, which shall be borne by the underwriters.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71" w:lineRule="exact"/>
        <w:rPr>
          <w:sz w:val="20"/>
          <w:szCs w:val="20"/>
          <w:color w:val="auto"/>
        </w:rPr>
      </w:pPr>
    </w:p>
    <w:p>
      <w:pPr>
        <w:ind w:right="60" w:firstLine="464"/>
        <w:spacing w:after="0" w:line="288" w:lineRule="auto"/>
        <w:tabs>
          <w:tab w:leader="none" w:pos="695"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to the full extent permitted by law, each holder of Registrable Securities and their respective officers, directors, advisors, agents and employees and each Person who controls (within the meaning of the Securities Act or the Exchange Act) such Persons from and against any and all losses, claims, damages, liabilities (or actions or proceedings in respect thereof, whether or not such indemnified party is a party thereto) and expenses (including reasonable costs of investigation and legal expenses), joint or several (each, a “</w:t>
      </w:r>
      <w:r>
        <w:rPr>
          <w:rFonts w:ascii="Arial" w:cs="Arial" w:eastAsia="Arial" w:hAnsi="Arial"/>
          <w:sz w:val="16"/>
          <w:szCs w:val="16"/>
          <w:u w:val="single" w:color="auto"/>
          <w:color w:val="auto"/>
        </w:rPr>
        <w:t>Loss</w:t>
      </w:r>
      <w:r>
        <w:rPr>
          <w:rFonts w:ascii="Arial" w:cs="Arial" w:eastAsia="Arial" w:hAnsi="Arial"/>
          <w:sz w:val="16"/>
          <w:szCs w:val="16"/>
          <w:color w:val="auto"/>
        </w:rPr>
        <w:t>” and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arising out of or based upon (i) any untrue or alleged untrue statement of a material fact contained in any Registration Statement under which such Registrable Securities were registered under the Securities Act (including any final, preliminary or summary Prospectus contained therein or any amendment thereof or supplement thereto or any documents incorporated by reference therein) or (ii) any omission or alleged omission to state therein a material fact required to be stated therein or necessary to make the statements therein (in the case of a Prospectus or preliminary Prospectus, in light of the circumstances under which they were made)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liable to an indemnified</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400"/>
          </w:cols>
          <w:pgMar w:left="240" w:top="280" w:right="259" w:bottom="1440" w:gutter="0" w:footer="0" w:header="0"/>
        </w:sectPr>
      </w:pPr>
    </w:p>
    <w:bookmarkStart w:id="233" w:name="page234"/>
    <w:bookmarkEnd w:id="23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party in any such case to the extent that any such Loss arises out of or is based upon an untrue statement or alleged untrue statement or omission or alleged omission made in any such Registration Statement in reliance upon and in conformity with written information furnished to the Company by such indemnified party expressly for use in the preparation thereof;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Company will not be liable to any indemnified party in any case to the extent that any such Loss arises out of or is based upon any untrue statement or alleged untrue statement or omission or alleged omission made in any final, preliminary or summary Prospectus if such untrue statement or alleged untrue statement or omission or alleged omission is corrected in an amendment or supplement to such Prospectus which has been made available to the holders and the relevant holder of Registrable Securities fails to deliver such Prospectus as so amended or supplemented, if such delivery is required under applicable law or the applicable rules of any securities exchange, prior to or concurrently with the sales of the Registrable Securities to the Person asserting such loss, claim, damage, liability or expense. This indemnity shall be in addition to any liability the Company may otherwise have.</w:t>
      </w:r>
    </w:p>
    <w:p>
      <w:pPr>
        <w:spacing w:after="0" w:line="120" w:lineRule="exact"/>
        <w:rPr>
          <w:sz w:val="20"/>
          <w:szCs w:val="20"/>
          <w:color w:val="auto"/>
        </w:rPr>
      </w:pPr>
    </w:p>
    <w:p>
      <w:pPr>
        <w:ind w:firstLine="464"/>
        <w:spacing w:after="0" w:line="285" w:lineRule="auto"/>
        <w:tabs>
          <w:tab w:leader="none" w:pos="705"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Indemnification by the Holders</w:t>
      </w:r>
      <w:r>
        <w:rPr>
          <w:rFonts w:ascii="Arial" w:cs="Arial" w:eastAsia="Arial" w:hAnsi="Arial"/>
          <w:sz w:val="16"/>
          <w:szCs w:val="16"/>
          <w:color w:val="auto"/>
        </w:rPr>
        <w:t>. Each selling holder of Registrable Securities agrees (severally and not jointly) to indemnify and hold harmless, to the full extent permitted by law, the Company, its directors and officers and each Person who controls the Company (within the meaning of the Securities Act and the Exchange Act) from and against any Losses resulting from any untrue statement of a material fact or any omission of a material fact that is provided by such selling holder and that is (i) required to be stated in the Registration Statement under which such Registrable Securities were registered under the Securities Act (including any final, preliminary or summary Prospectus contained therein or any amendment thereof or supplement thereto or any documents incorporated by reference therein), or (ii) necessary to make the statements therein (in the case of a Prospectus or preliminary Prospectus, in light of the circumstances under which they were made) not misleading, in each case to the extent, but only to the extent, that such untrue statement or omission had been contained in any information furnished in writing by such selling holder to the Company specifically for inclusion in such Registration Statement. This indemnity shall be in addition to any liability such holder may otherwise have. In no event shall the liability of any selling holder of Registrable Securities hereunder be greater in amount than the dollar amount of the proceeds received by such holder under the sale of the Registrable Securities giving rise to such indemnification obligation. The Company shall be entitled to receive indemnities from, if applicable and if requested, underwriters, selling brokers, dealer managers and similar securities industry professionals participating in the distribution, to the same extent as provided above (with appropriate modification) with respect to information so furnished in writing by such Persons specifically for inclusion in any Prospectus or Registration Statement. Each holder also shall indemnify any underwriters of the Registrable Securities, their officers and directors and each Person who controls such underwriters (within the meaning of the Securities Act) to the same extent as provided above with respect to the indemnification of the Company.</w:t>
      </w:r>
    </w:p>
    <w:p>
      <w:pPr>
        <w:spacing w:after="0" w:line="126" w:lineRule="exact"/>
        <w:rPr>
          <w:rFonts w:ascii="Arial" w:cs="Arial" w:eastAsia="Arial" w:hAnsi="Arial"/>
          <w:sz w:val="16"/>
          <w:szCs w:val="16"/>
          <w:color w:val="auto"/>
        </w:rPr>
      </w:pPr>
    </w:p>
    <w:p>
      <w:pPr>
        <w:ind w:right="340" w:firstLine="464"/>
        <w:spacing w:after="0" w:line="268" w:lineRule="auto"/>
        <w:tabs>
          <w:tab w:leader="none" w:pos="695"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Conduct of Indemnification Proceedings</w:t>
      </w:r>
      <w:r>
        <w:rPr>
          <w:rFonts w:ascii="Arial" w:cs="Arial" w:eastAsia="Arial" w:hAnsi="Arial"/>
          <w:sz w:val="18"/>
          <w:szCs w:val="18"/>
          <w:color w:val="auto"/>
        </w:rPr>
        <w:t>. Any Person entitled to indemnification hereunder shall (i) give prompt written notice to the indemnifying party of any claim with respect to which it seeks indemnification and (ii) permit such indemnifying party to</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380"/>
          </w:cols>
          <w:pgMar w:left="240" w:top="280" w:right="279" w:bottom="1440" w:gutter="0" w:footer="0" w:header="0"/>
        </w:sectPr>
      </w:pPr>
    </w:p>
    <w:bookmarkStart w:id="234" w:name="page235"/>
    <w:bookmarkEnd w:id="23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assume the defense of such claim with counsel reasonably satisfactory to the indemnified party;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Person entitled to indemnification hereunder shall have the right to select and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within a reasonable time after having received notice of such claim from the Person entitled to indemnification hereunder and to employ counsel reasonably satisfactory to such Person or (C) in the reasonable judgment of any such Person, based upon advice of its counsel, a conflict of interest may exist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If such defense is not assumed by the indemnifying party, the indemnifying party will not be subject to any liability for any settlement made without its consent, but such consent may not be unreasonably withheld;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 indemnifying party shall not be required to consent to any settlement involving the imposition of equitable remedies or involving the imposition of any material obligations on such indemnifying party other than financial obligations for which such indemnified party shall be indemnified hereunder. If the indemnifying party assumes the defense, the indemnifying party shall have the right to settle such action without the consent of the indemnified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indemnifying party shall be required to obtain such consent (which consent shall not be unreasonably withheld) if the settlement includes any admission of wrongdoing on the part of the indemnified party or any restriction on the indemnified party or its officers or directors. No indemnifying party shall consent to entry of any judgment or enter into any settlement which does not include as an unconditional term thereof the giving by the claimant or plaintiff to each indemnified party of an unconditional release from all liability in respect to such claim or litigation.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from all such indemnified party or parties unless (x) the employment of more than one counsel has been authorized in writing by the indemnifying party or parties or (y) a conflict or potential conflict exists or may exist (based on advice of counsel to an indemnified party) between such indemnified party and the other indemnified parties, in each of which cases the indemnifying party shall be obligated to pay the reasonable fees and expenses of such additional counsel or counsels.</w:t>
      </w:r>
    </w:p>
    <w:p>
      <w:pPr>
        <w:spacing w:after="0" w:line="128" w:lineRule="exact"/>
        <w:rPr>
          <w:sz w:val="20"/>
          <w:szCs w:val="20"/>
          <w:color w:val="auto"/>
        </w:rPr>
      </w:pPr>
    </w:p>
    <w:p>
      <w:pPr>
        <w:ind w:firstLine="464"/>
        <w:spacing w:after="0" w:line="254" w:lineRule="auto"/>
        <w:tabs>
          <w:tab w:leader="none" w:pos="705"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If for any reason the indemnification provided for in the paragraphs (a) and (b) of this Section 2.9 is unavailable to an indemnified party or insufficient to hold it harmless as contemplated by paragraphs (a) and (b) of this Section 2.9, then the indemnifying party shall contribute to the amount paid or payable by the indemnified party as a result of such Loss in such proportion as is appropriate to reflect the relative fault of the indemnifying party on the one hand and the indemnified party on the other. The relative fault shall be determined by reference to, among other things, whether the untrue or alleged untrue statement of a material fact or the omission or alleged omission to state a material fact relates to information supplied by the indemnifying party or the indemnified party and the parties’ relative</w:t>
      </w:r>
    </w:p>
    <w:p>
      <w:pPr>
        <w:spacing w:after="0" w:line="130" w:lineRule="exact"/>
        <w:rPr>
          <w:rFonts w:ascii="Arial" w:cs="Arial" w:eastAsia="Arial" w:hAnsi="Arial"/>
          <w:sz w:val="18"/>
          <w:szCs w:val="18"/>
          <w:color w:val="auto"/>
        </w:rPr>
      </w:pPr>
    </w:p>
    <w:p>
      <w:pPr>
        <w:ind w:left="5620" w:hanging="96"/>
        <w:spacing w:after="0"/>
        <w:tabs>
          <w:tab w:leader="none" w:pos="562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400"/>
          </w:cols>
          <w:pgMar w:left="240" w:top="280" w:right="259" w:bottom="1440" w:gutter="0" w:footer="0" w:header="0"/>
        </w:sectPr>
      </w:pPr>
    </w:p>
    <w:bookmarkStart w:id="235" w:name="page236"/>
    <w:bookmarkEnd w:id="235"/>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intent, knowledge, access to information and opportunity to correct or prevent such untrue statement or omission. Notwithstanding anything in this Section 2.9(d) to the contrary, no indemnifying party (other than the Company) shall be required pursuant to this Section 2.9(d) to contribute any amount in excess of the amount by which the net proceeds received by such indemnifying party from the sale of Registrable Securities in the offering to which the Losses of the indemnified parties relate exceeds the amount of any damages which such indemnifying party has otherwise been required to pay by reason of such untrue statement or omission. The parties hereto agree that it would not be just and equitable if contribution pursuant to this Section 2.9(d)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or by any other method of allocation that does not take account of the equitable considerations referred to above. No person guilty of fraudulent misrepresentation (within the meaning of Section 11(f) of the Securities Act) shall be entitled to contribution from any Person who was not guilty of such fraudulent misrepresentation. If indemnification is available under this Section 2.9, the indemnifying parties shall indemnify each indemnified party to the full extent provided in Sections 2.9(a) and 2.9(b) hereof without regard to the relative fault of said indemnifying parties or indemnified party.</w:t>
      </w:r>
    </w:p>
    <w:p>
      <w:pPr>
        <w:spacing w:after="0" w:line="120" w:lineRule="exact"/>
        <w:rPr>
          <w:sz w:val="20"/>
          <w:szCs w:val="20"/>
          <w:color w:val="auto"/>
        </w:rPr>
      </w:pPr>
    </w:p>
    <w:p>
      <w:pPr>
        <w:ind w:right="140" w:firstLine="464"/>
        <w:spacing w:after="0" w:line="268" w:lineRule="auto"/>
        <w:tabs>
          <w:tab w:leader="none" w:pos="69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Notwithstanding any other provision of this Section 2.9, no party shall be entitled to indemnification or contribution under this Agreement in violation of Section 17(i) of the Investment Company Act.</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Rules 144 and 144A</w:t>
      </w:r>
      <w:r>
        <w:rPr>
          <w:rFonts w:ascii="Arial" w:cs="Arial" w:eastAsia="Arial" w:hAnsi="Arial"/>
          <w:sz w:val="16"/>
          <w:szCs w:val="16"/>
          <w:color w:val="auto"/>
        </w:rPr>
        <w:t xml:space="preserve">. The Company covenants that it will file the reports required to be filed by it under the Securities Act and the Exchange Act and the rules and regulations adopted by the SEC thereunder (or, if the Company is not required to file such reports, it will, upon the request of any holder of Registrable Securities after the transfer date, make publicly available other information so long as necessary to permit sales pursuant to Rule 144 or 144A under the Securities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required to make any Adverse Disclosure), and it will take such further action as any holder of Registrable Securities may reasonably request, all to the extent required from time to time to enable such holder to sell Registrable Securities without registration under the Securities Act within the limitation of the exemptions provided by (i) Rule 144 or 144A under the Securities Act, as such Rules may be amended from time to time, or (ii) any similar rule or regulation hereafter adopted by the SEC.</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 MISCELLANEOUS</w:t>
      </w:r>
    </w:p>
    <w:p>
      <w:pPr>
        <w:spacing w:after="0" w:line="204" w:lineRule="exact"/>
        <w:rPr>
          <w:sz w:val="20"/>
          <w:szCs w:val="20"/>
          <w:color w:val="auto"/>
        </w:rPr>
      </w:pPr>
    </w:p>
    <w:p>
      <w:pPr>
        <w:ind w:right="40" w:firstLine="456"/>
        <w:spacing w:after="0" w:line="260"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terminate upon the earlier of (i) the 10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anniversary of the date of this Agreement or (ii) with respect to each holder of Registrable Securities, the date as of which (A) all of the Registrable Securities of such holder have been sold pursuant to a Registration Statement (but in no event prior to the applicable period referred to in Section 4(3) of the Securities Act and Rule 174 thereunder) or (B) such holder is permitted to sell its Registrable Securities under Rule 144(k) under the Securities Act (or any similar provision then in force permitting the sale of restricted securities without limitation on the amount of securities sold or the manner of sale). The provisions of Section 2.9 and Section 2.10 shall survive any termination of this Agreement.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280" w:right="239" w:bottom="1440" w:gutter="0" w:footer="0" w:header="0"/>
        </w:sectPr>
      </w:pPr>
    </w:p>
    <w:bookmarkStart w:id="236" w:name="page237"/>
    <w:bookmarkEnd w:id="236"/>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3.2. </w:t>
      </w: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provided herein, whenever this Agreement provides that any notice, demand, request, consent, approval, declaration or other communication shall or may be given to or served upon any of the parties by another, or whenever any of the parties desires to give or serve upon another any communication with respect to this Agreement, each such notice, demand, request, consent, approval, declaration or other communication shall be in writing and shall be deemed to have been given upon personal delivery thereof, transmittal of such notice by telecopy (with confirmation of receipt by telecopy or telex) or five days after transmittal by registered or certified mail, postage prepaid, addressed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If to Company:</w:t>
            </w:r>
          </w:p>
        </w:tc>
        <w:tc>
          <w:tcPr>
            <w:tcW w:w="19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PennantPark Investment Corporation</w:t>
            </w:r>
          </w:p>
        </w:tc>
      </w:tr>
      <w:tr>
        <w:trPr>
          <w:trHeight w:val="216"/>
        </w:trPr>
        <w:tc>
          <w:tcPr>
            <w:tcW w:w="2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20" w:type="dxa"/>
            <w:vAlign w:val="bottom"/>
          </w:tcPr>
          <w:p>
            <w:pPr>
              <w:ind w:left="140"/>
              <w:spacing w:after="0" w:line="217" w:lineRule="exact"/>
              <w:rPr>
                <w:sz w:val="20"/>
                <w:szCs w:val="20"/>
                <w:color w:val="auto"/>
              </w:rPr>
            </w:pPr>
            <w:r>
              <w:rPr>
                <w:rFonts w:ascii="Arial" w:cs="Arial" w:eastAsia="Arial" w:hAnsi="Arial"/>
                <w:sz w:val="18"/>
                <w:szCs w:val="18"/>
                <w:color w:val="auto"/>
              </w:rPr>
              <w:t>445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r>
      <w:tr>
        <w:trPr>
          <w:trHeight w:val="216"/>
        </w:trPr>
        <w:tc>
          <w:tcPr>
            <w:tcW w:w="2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New York, NY 10022</w:t>
            </w:r>
          </w:p>
        </w:tc>
      </w:tr>
      <w:tr>
        <w:trPr>
          <w:trHeight w:val="216"/>
        </w:trPr>
        <w:tc>
          <w:tcPr>
            <w:tcW w:w="2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Attention: Chief Financial Officer</w:t>
            </w:r>
          </w:p>
        </w:tc>
      </w:tr>
      <w:tr>
        <w:trPr>
          <w:trHeight w:val="222"/>
        </w:trPr>
        <w:tc>
          <w:tcPr>
            <w:tcW w:w="27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Telecopier: (212) 307-3290</w:t>
            </w:r>
          </w:p>
        </w:tc>
      </w:tr>
      <w:tr>
        <w:trPr>
          <w:trHeight w:val="426"/>
        </w:trPr>
        <w:tc>
          <w:tcPr>
            <w:tcW w:w="2720" w:type="dxa"/>
            <w:vAlign w:val="bottom"/>
          </w:tcPr>
          <w:p>
            <w:pPr>
              <w:spacing w:after="0"/>
              <w:rPr>
                <w:sz w:val="20"/>
                <w:szCs w:val="20"/>
                <w:color w:val="auto"/>
              </w:rPr>
            </w:pPr>
            <w:r>
              <w:rPr>
                <w:rFonts w:ascii="Arial" w:cs="Arial" w:eastAsia="Arial" w:hAnsi="Arial"/>
                <w:sz w:val="18"/>
                <w:szCs w:val="18"/>
                <w:color w:val="auto"/>
              </w:rPr>
              <w:t>with a copy to:</w:t>
            </w:r>
          </w:p>
        </w:tc>
        <w:tc>
          <w:tcPr>
            <w:tcW w:w="1920" w:type="dxa"/>
            <w:vAlign w:val="bottom"/>
          </w:tcPr>
          <w:p>
            <w:pPr>
              <w:spacing w:after="0"/>
              <w:rPr>
                <w:sz w:val="24"/>
                <w:szCs w:val="24"/>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Dechert LLP</w:t>
            </w:r>
          </w:p>
        </w:tc>
      </w:tr>
      <w:tr>
        <w:trPr>
          <w:trHeight w:val="216"/>
        </w:trPr>
        <w:tc>
          <w:tcPr>
            <w:tcW w:w="2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1775 I Street, N.W.</w:t>
            </w:r>
          </w:p>
        </w:tc>
      </w:tr>
      <w:tr>
        <w:trPr>
          <w:trHeight w:val="216"/>
        </w:trPr>
        <w:tc>
          <w:tcPr>
            <w:tcW w:w="2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Washington, D.C. 20006</w:t>
            </w:r>
          </w:p>
        </w:tc>
      </w:tr>
      <w:tr>
        <w:trPr>
          <w:trHeight w:val="216"/>
        </w:trPr>
        <w:tc>
          <w:tcPr>
            <w:tcW w:w="2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Attention: Thomas J. Friedmann</w:t>
            </w:r>
          </w:p>
        </w:tc>
      </w:tr>
      <w:tr>
        <w:trPr>
          <w:trHeight w:val="222"/>
        </w:trPr>
        <w:tc>
          <w:tcPr>
            <w:tcW w:w="27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Telecopier: (202) 261-3333</w:t>
            </w:r>
          </w:p>
        </w:tc>
      </w:tr>
      <w:tr>
        <w:trPr>
          <w:trHeight w:val="426"/>
        </w:trPr>
        <w:tc>
          <w:tcPr>
            <w:tcW w:w="2720" w:type="dxa"/>
            <w:vAlign w:val="bottom"/>
          </w:tcPr>
          <w:p>
            <w:pPr>
              <w:spacing w:after="0"/>
              <w:rPr>
                <w:sz w:val="20"/>
                <w:szCs w:val="20"/>
                <w:color w:val="auto"/>
              </w:rPr>
            </w:pPr>
            <w:r>
              <w:rPr>
                <w:rFonts w:ascii="Arial" w:cs="Arial" w:eastAsia="Arial" w:hAnsi="Arial"/>
                <w:sz w:val="18"/>
                <w:szCs w:val="18"/>
                <w:color w:val="auto"/>
              </w:rPr>
              <w:t>If to Investors:</w:t>
            </w:r>
          </w:p>
        </w:tc>
        <w:tc>
          <w:tcPr>
            <w:tcW w:w="1920" w:type="dxa"/>
            <w:vAlign w:val="bottom"/>
          </w:tcPr>
          <w:p>
            <w:pPr>
              <w:jc w:val="right"/>
              <w:spacing w:after="0"/>
              <w:rPr>
                <w:sz w:val="20"/>
                <w:szCs w:val="20"/>
                <w:color w:val="auto"/>
              </w:rPr>
            </w:pPr>
            <w:r>
              <w:rPr>
                <w:rFonts w:ascii="Arial" w:cs="Arial" w:eastAsia="Arial" w:hAnsi="Arial"/>
                <w:sz w:val="18"/>
                <w:szCs w:val="18"/>
                <w:color w:val="auto"/>
              </w:rPr>
              <w:t>(1)</w:t>
            </w:r>
          </w:p>
        </w:tc>
        <w:tc>
          <w:tcPr>
            <w:tcW w:w="3420" w:type="dxa"/>
            <w:vAlign w:val="bottom"/>
          </w:tcPr>
          <w:p>
            <w:pPr>
              <w:ind w:left="100"/>
              <w:spacing w:after="0"/>
              <w:rPr>
                <w:sz w:val="20"/>
                <w:szCs w:val="20"/>
                <w:color w:val="auto"/>
              </w:rPr>
            </w:pPr>
            <w:r>
              <w:rPr>
                <w:rFonts w:ascii="Arial" w:cs="Arial" w:eastAsia="Arial" w:hAnsi="Arial"/>
                <w:sz w:val="18"/>
                <w:szCs w:val="18"/>
                <w:color w:val="auto"/>
              </w:rPr>
              <w:t>PennantPark Investment Advisers, LLC</w:t>
            </w:r>
          </w:p>
        </w:tc>
      </w:tr>
      <w:tr>
        <w:trPr>
          <w:trHeight w:val="216"/>
        </w:trPr>
        <w:tc>
          <w:tcPr>
            <w:tcW w:w="2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20" w:type="dxa"/>
            <w:vAlign w:val="bottom"/>
          </w:tcPr>
          <w:p>
            <w:pPr>
              <w:ind w:left="140"/>
              <w:spacing w:after="0" w:line="217" w:lineRule="exact"/>
              <w:rPr>
                <w:sz w:val="20"/>
                <w:szCs w:val="20"/>
                <w:color w:val="auto"/>
              </w:rPr>
            </w:pPr>
            <w:r>
              <w:rPr>
                <w:rFonts w:ascii="Arial" w:cs="Arial" w:eastAsia="Arial" w:hAnsi="Arial"/>
                <w:sz w:val="18"/>
                <w:szCs w:val="18"/>
                <w:color w:val="auto"/>
              </w:rPr>
              <w:t>445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r>
      <w:tr>
        <w:trPr>
          <w:trHeight w:val="216"/>
        </w:trPr>
        <w:tc>
          <w:tcPr>
            <w:tcW w:w="2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New York, NY 10022</w:t>
            </w:r>
          </w:p>
        </w:tc>
      </w:tr>
      <w:tr>
        <w:trPr>
          <w:trHeight w:val="216"/>
        </w:trPr>
        <w:tc>
          <w:tcPr>
            <w:tcW w:w="2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w w:val="90"/>
              </w:rPr>
              <w:t>Attention: Arthur H. Penn, Managing Member</w:t>
            </w:r>
          </w:p>
        </w:tc>
      </w:tr>
      <w:tr>
        <w:trPr>
          <w:trHeight w:val="222"/>
        </w:trPr>
        <w:tc>
          <w:tcPr>
            <w:tcW w:w="27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Telecopier: (212) 307-3290</w:t>
            </w:r>
          </w:p>
        </w:tc>
      </w:tr>
      <w:tr>
        <w:trPr>
          <w:trHeight w:val="439"/>
        </w:trPr>
        <w:tc>
          <w:tcPr>
            <w:tcW w:w="2720" w:type="dxa"/>
            <w:vAlign w:val="bottom"/>
          </w:tcPr>
          <w:p>
            <w:pPr>
              <w:spacing w:after="0"/>
              <w:rPr>
                <w:sz w:val="20"/>
                <w:szCs w:val="20"/>
                <w:color w:val="auto"/>
              </w:rPr>
            </w:pPr>
            <w:r>
              <w:rPr>
                <w:rFonts w:ascii="Arial" w:cs="Arial" w:eastAsia="Arial" w:hAnsi="Arial"/>
                <w:sz w:val="18"/>
                <w:szCs w:val="18"/>
                <w:color w:val="auto"/>
              </w:rPr>
              <w:t>with a copy to:</w:t>
            </w:r>
          </w:p>
        </w:tc>
        <w:tc>
          <w:tcPr>
            <w:tcW w:w="1920" w:type="dxa"/>
            <w:vAlign w:val="bottom"/>
          </w:tcPr>
          <w:p>
            <w:pPr>
              <w:spacing w:after="0"/>
              <w:rPr>
                <w:sz w:val="24"/>
                <w:szCs w:val="24"/>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Dechert LLP</w:t>
            </w:r>
          </w:p>
        </w:tc>
      </w:tr>
      <w:tr>
        <w:trPr>
          <w:trHeight w:val="216"/>
        </w:trPr>
        <w:tc>
          <w:tcPr>
            <w:tcW w:w="2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1775 I Street, N.W.</w:t>
            </w:r>
          </w:p>
        </w:tc>
      </w:tr>
      <w:tr>
        <w:trPr>
          <w:trHeight w:val="216"/>
        </w:trPr>
        <w:tc>
          <w:tcPr>
            <w:tcW w:w="2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Washington, D.C. 20006</w:t>
            </w:r>
          </w:p>
        </w:tc>
      </w:tr>
      <w:tr>
        <w:trPr>
          <w:trHeight w:val="216"/>
        </w:trPr>
        <w:tc>
          <w:tcPr>
            <w:tcW w:w="2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Attention: Thomas J. Friedmann</w:t>
            </w:r>
          </w:p>
        </w:tc>
      </w:tr>
      <w:tr>
        <w:trPr>
          <w:trHeight w:val="222"/>
        </w:trPr>
        <w:tc>
          <w:tcPr>
            <w:tcW w:w="27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Telecopier: (202) 261-3333</w:t>
            </w:r>
          </w:p>
        </w:tc>
      </w:tr>
      <w:tr>
        <w:trPr>
          <w:trHeight w:val="432"/>
        </w:trPr>
        <w:tc>
          <w:tcPr>
            <w:tcW w:w="272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w:t>
            </w:r>
          </w:p>
        </w:tc>
        <w:tc>
          <w:tcPr>
            <w:tcW w:w="3420" w:type="dxa"/>
            <w:vAlign w:val="bottom"/>
          </w:tcPr>
          <w:p>
            <w:pPr>
              <w:ind w:left="80"/>
              <w:spacing w:after="0"/>
              <w:rPr>
                <w:sz w:val="20"/>
                <w:szCs w:val="20"/>
                <w:color w:val="auto"/>
              </w:rPr>
            </w:pPr>
            <w:r>
              <w:rPr>
                <w:rFonts w:ascii="Arial" w:cs="Arial" w:eastAsia="Arial" w:hAnsi="Arial"/>
                <w:sz w:val="18"/>
                <w:szCs w:val="18"/>
                <w:color w:val="auto"/>
              </w:rPr>
              <w:t>Adam K. Bernstein</w:t>
            </w:r>
          </w:p>
        </w:tc>
      </w:tr>
      <w:tr>
        <w:trPr>
          <w:trHeight w:val="432"/>
        </w:trPr>
        <w:tc>
          <w:tcPr>
            <w:tcW w:w="272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c>
          <w:tcPr>
            <w:tcW w:w="3420" w:type="dxa"/>
            <w:vAlign w:val="bottom"/>
          </w:tcPr>
          <w:p>
            <w:pPr>
              <w:ind w:left="100"/>
              <w:spacing w:after="0"/>
              <w:rPr>
                <w:sz w:val="20"/>
                <w:szCs w:val="20"/>
                <w:color w:val="auto"/>
              </w:rPr>
            </w:pPr>
            <w:r>
              <w:rPr>
                <w:rFonts w:ascii="Arial" w:cs="Arial" w:eastAsia="Arial" w:hAnsi="Arial"/>
                <w:sz w:val="18"/>
                <w:szCs w:val="18"/>
                <w:color w:val="auto"/>
              </w:rPr>
              <w:t>Marshall Brozost</w:t>
            </w:r>
          </w:p>
        </w:tc>
      </w:tr>
      <w:tr>
        <w:trPr>
          <w:trHeight w:val="365"/>
        </w:trPr>
        <w:tc>
          <w:tcPr>
            <w:tcW w:w="2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20" w:type="dxa"/>
            <w:vAlign w:val="bottom"/>
          </w:tcPr>
          <w:p>
            <w:pPr>
              <w:ind w:left="880"/>
              <w:spacing w:after="0"/>
              <w:rPr>
                <w:sz w:val="20"/>
                <w:szCs w:val="20"/>
                <w:color w:val="auto"/>
              </w:rPr>
            </w:pPr>
            <w:r>
              <w:rPr>
                <w:rFonts w:ascii="Arial" w:cs="Arial" w:eastAsia="Arial" w:hAnsi="Arial"/>
                <w:sz w:val="18"/>
                <w:szCs w:val="18"/>
                <w:color w:val="auto"/>
              </w:rPr>
              <w:t>- 20 -</w:t>
            </w:r>
          </w:p>
        </w:tc>
      </w:tr>
    </w:tbl>
    <w:p>
      <w:pPr>
        <w:sectPr>
          <w:pgSz w:w="11900" w:h="16838" w:orient="portrait"/>
          <w:cols w:equalWidth="0" w:num="1">
            <w:col w:w="11320"/>
          </w:cols>
          <w:pgMar w:left="240" w:top="280" w:right="339" w:bottom="1440" w:gutter="0" w:footer="0" w:header="0"/>
        </w:sectPr>
      </w:pPr>
    </w:p>
    <w:bookmarkStart w:id="237" w:name="page238"/>
    <w:bookmarkEnd w:id="237"/>
    <w:p>
      <w:pPr>
        <w:ind w:left="4740" w:hanging="383"/>
        <w:spacing w:after="0"/>
        <w:tabs>
          <w:tab w:leader="none" w:pos="47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Jeffrey Flug</w:t>
      </w:r>
    </w:p>
    <w:p>
      <w:pPr>
        <w:spacing w:after="0" w:line="225" w:lineRule="exact"/>
        <w:rPr>
          <w:rFonts w:ascii="Arial" w:cs="Arial" w:eastAsia="Arial" w:hAnsi="Arial"/>
          <w:sz w:val="18"/>
          <w:szCs w:val="18"/>
          <w:color w:val="auto"/>
        </w:rPr>
      </w:pPr>
    </w:p>
    <w:p>
      <w:pPr>
        <w:ind w:left="4740" w:hanging="383"/>
        <w:spacing w:after="0"/>
        <w:tabs>
          <w:tab w:leader="none" w:pos="47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Samuel L. Katz</w:t>
      </w:r>
    </w:p>
    <w:p>
      <w:pPr>
        <w:spacing w:after="0" w:line="225" w:lineRule="exact"/>
        <w:rPr>
          <w:rFonts w:ascii="Arial" w:cs="Arial" w:eastAsia="Arial" w:hAnsi="Arial"/>
          <w:sz w:val="18"/>
          <w:szCs w:val="18"/>
          <w:color w:val="auto"/>
        </w:rPr>
      </w:pPr>
    </w:p>
    <w:p>
      <w:pPr>
        <w:ind w:left="4720" w:hanging="363"/>
        <w:spacing w:after="0"/>
        <w:tabs>
          <w:tab w:leader="none" w:pos="47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Aviv Efrat</w:t>
      </w:r>
    </w:p>
    <w:p>
      <w:pPr>
        <w:spacing w:after="0" w:line="225" w:lineRule="exact"/>
        <w:rPr>
          <w:rFonts w:ascii="Arial" w:cs="Arial" w:eastAsia="Arial" w:hAnsi="Arial"/>
          <w:sz w:val="18"/>
          <w:szCs w:val="18"/>
          <w:color w:val="auto"/>
        </w:rPr>
      </w:pPr>
    </w:p>
    <w:p>
      <w:pPr>
        <w:ind w:left="4740" w:hanging="383"/>
        <w:spacing w:after="0"/>
        <w:tabs>
          <w:tab w:leader="none" w:pos="47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Geoffrey S. Chang</w:t>
      </w:r>
    </w:p>
    <w:p>
      <w:pPr>
        <w:spacing w:after="0" w:line="225" w:lineRule="exact"/>
        <w:rPr>
          <w:rFonts w:ascii="Arial" w:cs="Arial" w:eastAsia="Arial" w:hAnsi="Arial"/>
          <w:sz w:val="18"/>
          <w:szCs w:val="18"/>
          <w:color w:val="auto"/>
        </w:rPr>
      </w:pPr>
    </w:p>
    <w:p>
      <w:pPr>
        <w:ind w:left="4740" w:hanging="383"/>
        <w:spacing w:after="0"/>
        <w:tabs>
          <w:tab w:leader="none" w:pos="47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Salvatore Gianetti III</w:t>
      </w:r>
    </w:p>
    <w:p>
      <w:pPr>
        <w:spacing w:after="0" w:line="225" w:lineRule="exact"/>
        <w:rPr>
          <w:rFonts w:ascii="Arial" w:cs="Arial" w:eastAsia="Arial" w:hAnsi="Arial"/>
          <w:sz w:val="18"/>
          <w:szCs w:val="18"/>
          <w:color w:val="auto"/>
        </w:rPr>
      </w:pPr>
    </w:p>
    <w:p>
      <w:pPr>
        <w:ind w:left="4740" w:hanging="383"/>
        <w:spacing w:after="0"/>
        <w:tabs>
          <w:tab w:leader="none" w:pos="47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 Whitridge Williams, Jr.</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addresses set forth above may be changed by any party upon furnishing to the other party a notice of change of address in accordance with the terms of this paragraph.</w:t>
      </w:r>
    </w:p>
    <w:p>
      <w:pPr>
        <w:spacing w:after="0" w:line="132"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Successors, Assigns and Transferees</w:t>
      </w:r>
      <w:r>
        <w:rPr>
          <w:rFonts w:ascii="Arial" w:cs="Arial" w:eastAsia="Arial" w:hAnsi="Arial"/>
          <w:sz w:val="15"/>
          <w:szCs w:val="15"/>
          <w:color w:val="auto"/>
        </w:rPr>
        <w:t xml:space="preserve">. (a) The registration rights of any holder under this Agreement with respect to any Registrable Securities may be transferred and assigned,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such assignment shall be binding upon or obligate the Company to any such assignee unless and until (i) the Company shall have received notice of such assignment as herein provided and a written agreement of the assignee to be bound by the provisions of this Agreement and</w:t>
      </w:r>
    </w:p>
    <w:p>
      <w:pPr>
        <w:spacing w:after="0" w:line="1" w:lineRule="exact"/>
        <w:rPr>
          <w:sz w:val="20"/>
          <w:szCs w:val="20"/>
          <w:color w:val="auto"/>
        </w:rPr>
      </w:pPr>
    </w:p>
    <w:p>
      <w:pPr>
        <w:ind w:right="80" w:firstLine="8"/>
        <w:spacing w:after="0" w:line="261" w:lineRule="auto"/>
        <w:tabs>
          <w:tab w:leader="none" w:pos="25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such assignee acquires Registrable Securities with an estimated aggregate market value of $100,000 or more. Any transfer or assignment made other than as provided in the first sentence of this Section 3.3 shall be null and void.</w:t>
      </w:r>
    </w:p>
    <w:p>
      <w:pPr>
        <w:spacing w:after="0" w:line="137" w:lineRule="exact"/>
        <w:rPr>
          <w:rFonts w:ascii="Arial" w:cs="Arial" w:eastAsia="Arial" w:hAnsi="Arial"/>
          <w:sz w:val="18"/>
          <w:szCs w:val="18"/>
          <w:color w:val="auto"/>
        </w:rPr>
      </w:pPr>
    </w:p>
    <w:p>
      <w:pPr>
        <w:ind w:left="720" w:hanging="256"/>
        <w:spacing w:after="0"/>
        <w:tabs>
          <w:tab w:leader="none" w:pos="72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This Agreement shall be binding upon and shall inure to the benefit of the parties hereto, and their respective successors and permitted assigns.</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Governing Law; Service of Process; Consent to Jurisdiction</w:t>
      </w:r>
      <w:r>
        <w:rPr>
          <w:rFonts w:ascii="Arial" w:cs="Arial" w:eastAsia="Arial" w:hAnsi="Arial"/>
          <w:sz w:val="18"/>
          <w:szCs w:val="18"/>
          <w:color w:val="auto"/>
        </w:rPr>
        <w:t>. (a) This agreement shall be governed by, and construed in accordance with, the laws of the State of New York.</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320"/>
          </w:cols>
          <w:pgMar w:left="240" w:top="280" w:right="339" w:bottom="1440" w:gutter="0" w:footer="0" w:header="0"/>
        </w:sectPr>
      </w:pPr>
    </w:p>
    <w:bookmarkStart w:id="238" w:name="page239"/>
    <w:bookmarkEnd w:id="238"/>
    <w:p>
      <w:pPr>
        <w:ind w:right="40" w:firstLine="464"/>
        <w:spacing w:after="0" w:line="290" w:lineRule="auto"/>
        <w:tabs>
          <w:tab w:leader="none" w:pos="705" w:val="left"/>
        </w:tabs>
        <w:numPr>
          <w:ilvl w:val="0"/>
          <w:numId w:val="1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fullest extent permitted by applicable law, each party hereto (i) agrees that any claim, action or proceeding by such party seeking any relief whatsoever arising out of, or in connection with, this Agreement or the transactions contemplated hereby shall be brought only in the United States District Court for the Southern District of New York and in any New York State court located in the Borough of Manhattan and not in any other State or Federal court in the United States of America or any court in any other country, (ii) agrees to submit to the exclusive jurisdiction of such courts located in the State of New York for purposes of all legal proceedings arising out of, or in connection with, this Agreement or the transactions contemplated hereby and (iii) irrevocably waives any objection which it may now or hereafter have to the laying of the venue of any such proceeding brought in such a court and any claim that any such proceeding brought in such a court has been brought in an inconvenient forum.</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Headings</w:t>
      </w:r>
      <w:r>
        <w:rPr>
          <w:rFonts w:ascii="Arial" w:cs="Arial" w:eastAsia="Arial" w:hAnsi="Arial"/>
          <w:sz w:val="18"/>
          <w:szCs w:val="18"/>
          <w:color w:val="auto"/>
        </w:rPr>
        <w:t>. The section and paragraph headings contained in this Agreement are for reference purposes only and shall not in any way affect the meaning or interpretation of this Agreement.</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or portion of any provision of this Agreement will be interpreted in such manner as to be effective and valid under applicable law but if any provision or portion of any provision of this Agreement is held to be invalid, illegal or unenforceable in any respect under any applicable law in any jurisdiction, such invalidity, illegality or unenforceability will not affect any other provision or portion of any provision in such jurisdiction, and this agreement will be reformed, construed and enforced in such jurisdiction as if such invalid, illegal or unenforceable provision or portion of any provision had never been contained therein.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Amendment; Waiver</w:t>
      </w:r>
      <w:r>
        <w:rPr>
          <w:rFonts w:ascii="Arial" w:cs="Arial" w:eastAsia="Arial" w:hAnsi="Arial"/>
          <w:sz w:val="18"/>
          <w:szCs w:val="18"/>
          <w:color w:val="auto"/>
        </w:rPr>
        <w:t>.</w:t>
      </w:r>
    </w:p>
    <w:p>
      <w:pPr>
        <w:spacing w:after="0" w:line="171" w:lineRule="exact"/>
        <w:rPr>
          <w:sz w:val="20"/>
          <w:szCs w:val="20"/>
          <w:color w:val="auto"/>
        </w:rPr>
      </w:pPr>
    </w:p>
    <w:p>
      <w:pPr>
        <w:jc w:val="both"/>
        <w:ind w:right="100" w:firstLine="464"/>
        <w:spacing w:after="0" w:line="256" w:lineRule="auto"/>
        <w:tabs>
          <w:tab w:leader="none" w:pos="69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This Agreement may not be modified, amended, altered or supplemented except upon the execution and delivery of a written agreement signed by the Company and the holders of a majority of Registrable Securities then outstanding. Each holder of any Registrable Securities at the time or thereafter outstanding shall be bound by any amendment, modification, waiver or consent authorized by this Section 3.7(a), whether or not such Registrable Securities shall have been marked accordingly.</w:t>
      </w:r>
    </w:p>
    <w:p>
      <w:pPr>
        <w:spacing w:after="0" w:line="143" w:lineRule="exact"/>
        <w:rPr>
          <w:rFonts w:ascii="Arial" w:cs="Arial" w:eastAsia="Arial" w:hAnsi="Arial"/>
          <w:sz w:val="18"/>
          <w:szCs w:val="18"/>
          <w:color w:val="auto"/>
        </w:rPr>
      </w:pPr>
    </w:p>
    <w:p>
      <w:pPr>
        <w:ind w:right="180" w:firstLine="464"/>
        <w:spacing w:after="0" w:line="255" w:lineRule="auto"/>
        <w:tabs>
          <w:tab w:leader="none" w:pos="70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waiver by any party hereto of a breach of any provision of this Agreement shall not operate or be construed as a further or continuing waiver of such breach or as a waiver of any other or subsequent breach. Except as otherwise expressly provided herein, no failure on the part of any party to exercise, and no delay in exercising, any right, power or remedy hereunder, or otherwise available in respect hereof at law or in equity, shall operate as a waiver thereof, nor shall any single or partial exercise of such right, power or remedy by such party preclude any other or further exercise thereof or the exercise of any other right, power or remedy.</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400"/>
          </w:cols>
          <w:pgMar w:left="240" w:top="280" w:right="259" w:bottom="1440" w:gutter="0" w:footer="0" w:header="0"/>
        </w:sectPr>
      </w:pPr>
    </w:p>
    <w:bookmarkStart w:id="239" w:name="page240"/>
    <w:bookmarkEnd w:id="239"/>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3.8.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Company acknowledges that the rights granted to the Investors hereunder are unique and that the Investors will not have an adequate remedy at law if the Company breaches any covenant contained herein or fails to perform any of its obligations under this Agreement. Accordingly, the Company agrees that the Investors shall have the right, in addition to any other rights which they may have, to specific performance and equitable injunctive relief if the Company shall fail or threaten to fail to perform any of its obligations under this Agreement.</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an original, but all of which together shall constitute one and the same Agreement.</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agreement between the Company and the Investors with respect to the matters covered herein and supersedes any prior negotiations, understandings or agreements with respect to the matters contemplated hereby.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360"/>
          </w:cols>
          <w:pgMar w:left="240" w:top="280" w:right="29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(n)(1)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We consent to the use of our report dated December 12, 2007 for the PennantPark Investment Corporation and to the references to our firm under the headings “Selected Financial Data”, “Senior Securities”, and “Independent Registered Public Accounting Firm” in the registration statement on Form N-2.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 2008</w:t>
      </w:r>
    </w:p>
    <w:p>
      <w:pPr>
        <w:sectPr>
          <w:pgSz w:w="11900" w:h="16838" w:orient="portrait"/>
          <w:cols w:equalWidth="0" w:num="1">
            <w:col w:w="11420"/>
          </w:cols>
          <w:pgMar w:left="240" w:top="125" w:right="2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(n)(2)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Awareness Letter of Independent Registered Public Accounting Firm</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 Investment Company Act of 1940 File No. 814-00736.</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With respect to the subject registration statement, we acknowledge our awareness of the use therein of our report dated February 8, 2008 related to our review of interim financial information.</w:t>
      </w:r>
    </w:p>
    <w:p>
      <w:pPr>
        <w:spacing w:after="0" w:line="132"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5E18F8"/>
    <w:multiLevelType w:val="hybridMultilevel"/>
    <w:lvl w:ilvl="0">
      <w:lvlJc w:val="left"/>
      <w:lvlText w:val="☒"/>
      <w:numFmt w:val="bullet"/>
      <w:start w:val="1"/>
    </w:lvl>
  </w:abstractNum>
  <w:abstractNum w:abstractNumId="1">
    <w:nsid w:val="5F3534A4"/>
    <w:multiLevelType w:val="hybridMultilevel"/>
    <w:lvl w:ilvl="0">
      <w:lvlJc w:val="left"/>
      <w:lvlText w:val="☐"/>
      <w:numFmt w:val="bullet"/>
      <w:start w:val="1"/>
    </w:lvl>
  </w:abstractNum>
  <w:abstractNum w:abstractNumId="2">
    <w:nsid w:val="73A1821B"/>
    <w:multiLevelType w:val="hybridMultilevel"/>
    <w:lvl w:ilvl="0">
      <w:lvlJc w:val="left"/>
      <w:lvlText w:val="(%1)"/>
      <w:numFmt w:val="decimal"/>
      <w:start w:val="1"/>
    </w:lvl>
  </w:abstractNum>
  <w:abstractNum w:abstractNumId="3">
    <w:nsid w:val="7DE67713"/>
    <w:multiLevelType w:val="hybridMultilevel"/>
    <w:lvl w:ilvl="0">
      <w:lvlJc w:val="left"/>
      <w:lvlText w:val="(%1)"/>
      <w:numFmt w:val="decimal"/>
      <w:start w:val="1"/>
    </w:lvl>
  </w:abstractNum>
  <w:abstractNum w:abstractNumId="4">
    <w:nsid w:val="555C55B5"/>
    <w:multiLevelType w:val="hybridMultilevel"/>
    <w:lvl w:ilvl="0">
      <w:lvlJc w:val="left"/>
      <w:lvlText w:val="(%1)"/>
      <w:numFmt w:val="decimal"/>
      <w:start w:val="1"/>
    </w:lvl>
  </w:abstractNum>
  <w:abstractNum w:abstractNumId="5">
    <w:nsid w:val="3FA62ACA"/>
    <w:multiLevelType w:val="hybridMultilevel"/>
    <w:lvl w:ilvl="0">
      <w:lvlJc w:val="left"/>
      <w:lvlText w:val="(%1)"/>
      <w:numFmt w:val="decimal"/>
      <w:start w:val="9"/>
    </w:lvl>
  </w:abstractNum>
  <w:abstractNum w:abstractNumId="6">
    <w:nsid w:val="14FCE74E"/>
    <w:multiLevelType w:val="hybridMultilevel"/>
    <w:lvl w:ilvl="0">
      <w:lvlJc w:val="left"/>
      <w:lvlText w:val="*"/>
      <w:numFmt w:val="bullet"/>
      <w:start w:val="1"/>
    </w:lvl>
  </w:abstractNum>
  <w:abstractNum w:abstractNumId="7">
    <w:nsid w:val="6A3DD3E8"/>
    <w:multiLevelType w:val="hybridMultilevel"/>
    <w:lvl w:ilvl="0">
      <w:lvlJc w:val="left"/>
      <w:lvlText w:val="(%1)"/>
      <w:numFmt w:val="decimal"/>
      <w:start w:val="1"/>
    </w:lvl>
  </w:abstractNum>
  <w:abstractNum w:abstractNumId="8">
    <w:nsid w:val="71C91298"/>
    <w:multiLevelType w:val="hybridMultilevel"/>
    <w:lvl w:ilvl="0">
      <w:lvlJc w:val="left"/>
      <w:lvlText w:val="*"/>
      <w:numFmt w:val="bullet"/>
      <w:start w:val="1"/>
    </w:lvl>
  </w:abstractNum>
  <w:abstractNum w:abstractNumId="9">
    <w:nsid w:val="9DAF632"/>
    <w:multiLevelType w:val="hybridMultilevel"/>
    <w:lvl w:ilvl="0">
      <w:lvlJc w:val="left"/>
      <w:lvlText w:val="(%1)"/>
      <w:numFmt w:val="decimal"/>
      <w:start w:val="1"/>
    </w:lvl>
  </w:abstractNum>
  <w:abstractNum w:abstractNumId="10">
    <w:nsid w:val="53299938"/>
    <w:multiLevelType w:val="hybridMultilevel"/>
    <w:lvl w:ilvl="0">
      <w:lvlJc w:val="left"/>
      <w:lvlText w:val="•"/>
      <w:numFmt w:val="bullet"/>
      <w:start w:val="1"/>
    </w:lvl>
  </w:abstractNum>
  <w:abstractNum w:abstractNumId="11">
    <w:nsid w:val="1FBFE8E0"/>
    <w:multiLevelType w:val="hybridMultilevel"/>
    <w:lvl w:ilvl="0">
      <w:lvlJc w:val="left"/>
      <w:lvlText w:val="(%1)"/>
      <w:numFmt w:val="decimal"/>
      <w:start w:val="1"/>
    </w:lvl>
  </w:abstractNum>
  <w:abstractNum w:abstractNumId="12">
    <w:nsid w:val="5092CA79"/>
    <w:multiLevelType w:val="hybridMultilevel"/>
    <w:lvl w:ilvl="0">
      <w:lvlJc w:val="left"/>
      <w:lvlText w:val="•"/>
      <w:numFmt w:val="bullet"/>
      <w:start w:val="1"/>
    </w:lvl>
  </w:abstractNum>
  <w:abstractNum w:abstractNumId="13">
    <w:nsid w:val="1D545C4D"/>
    <w:multiLevelType w:val="hybridMultilevel"/>
    <w:lvl w:ilvl="0">
      <w:lvlJc w:val="left"/>
      <w:lvlText w:val="•"/>
      <w:numFmt w:val="bullet"/>
      <w:start w:val="1"/>
    </w:lvl>
  </w:abstractNum>
  <w:abstractNum w:abstractNumId="14">
    <w:nsid w:val="59ADEA3D"/>
    <w:multiLevelType w:val="hybridMultilevel"/>
    <w:lvl w:ilvl="0">
      <w:lvlJc w:val="left"/>
      <w:lvlText w:val="•"/>
      <w:numFmt w:val="bullet"/>
      <w:start w:val="1"/>
    </w:lvl>
  </w:abstractNum>
  <w:abstractNum w:abstractNumId="15">
    <w:nsid w:val="288F1A34"/>
    <w:multiLevelType w:val="hybridMultilevel"/>
    <w:lvl w:ilvl="0">
      <w:lvlJc w:val="left"/>
      <w:lvlText w:val="•"/>
      <w:numFmt w:val="bullet"/>
      <w:start w:val="1"/>
    </w:lvl>
  </w:abstractNum>
  <w:abstractNum w:abstractNumId="16">
    <w:nsid w:val="2A155DBC"/>
    <w:multiLevelType w:val="hybridMultilevel"/>
    <w:lvl w:ilvl="0">
      <w:lvlJc w:val="left"/>
      <w:lvlText w:val="•"/>
      <w:numFmt w:val="bullet"/>
      <w:start w:val="1"/>
    </w:lvl>
  </w:abstractNum>
  <w:abstractNum w:abstractNumId="17">
    <w:nsid w:val="1D9F6E5F"/>
    <w:multiLevelType w:val="hybridMultilevel"/>
    <w:lvl w:ilvl="0">
      <w:lvlJc w:val="left"/>
      <w:lvlText w:val="(%1)"/>
      <w:numFmt w:val="decimal"/>
      <w:start w:val="1"/>
    </w:lvl>
  </w:abstractNum>
  <w:abstractNum w:abstractNumId="18">
    <w:nsid w:val="97E1B4E"/>
    <w:multiLevelType w:val="hybridMultilevel"/>
    <w:lvl w:ilvl="0">
      <w:lvlJc w:val="left"/>
      <w:lvlText w:val="•"/>
      <w:numFmt w:val="bullet"/>
      <w:start w:val="1"/>
    </w:lvl>
  </w:abstractNum>
  <w:abstractNum w:abstractNumId="19">
    <w:nsid w:val="51088277"/>
    <w:multiLevelType w:val="hybridMultilevel"/>
    <w:lvl w:ilvl="0">
      <w:lvlJc w:val="left"/>
      <w:lvlText w:val="•"/>
      <w:numFmt w:val="bullet"/>
      <w:start w:val="1"/>
    </w:lvl>
  </w:abstractNum>
  <w:abstractNum w:abstractNumId="20">
    <w:nsid w:val="1CA0C5FA"/>
    <w:multiLevelType w:val="hybridMultilevel"/>
    <w:lvl w:ilvl="0">
      <w:lvlJc w:val="left"/>
      <w:lvlText w:val="(%1)"/>
      <w:numFmt w:val="decimal"/>
      <w:start w:val="1"/>
    </w:lvl>
  </w:abstractNum>
  <w:abstractNum w:abstractNumId="21">
    <w:nsid w:val="53584BCB"/>
    <w:multiLevelType w:val="hybridMultilevel"/>
    <w:lvl w:ilvl="0">
      <w:lvlJc w:val="left"/>
      <w:lvlText w:val="(%1)"/>
      <w:numFmt w:val="decimal"/>
      <w:start w:val="1"/>
    </w:lvl>
  </w:abstractNum>
  <w:abstractNum w:abstractNumId="22">
    <w:nsid w:val="415E286C"/>
    <w:multiLevelType w:val="hybridMultilevel"/>
    <w:lvl w:ilvl="0">
      <w:lvlJc w:val="left"/>
      <w:lvlText w:val="*"/>
      <w:numFmt w:val="bullet"/>
      <w:start w:val="1"/>
    </w:lvl>
  </w:abstractNum>
  <w:abstractNum w:abstractNumId="23">
    <w:nsid w:val="7C58FD05"/>
    <w:multiLevelType w:val="hybridMultilevel"/>
    <w:lvl w:ilvl="0">
      <w:lvlJc w:val="left"/>
      <w:lvlText w:val="•"/>
      <w:numFmt w:val="bullet"/>
      <w:start w:val="1"/>
    </w:lvl>
  </w:abstractNum>
  <w:abstractNum w:abstractNumId="24">
    <w:nsid w:val="23D86AAC"/>
    <w:multiLevelType w:val="hybridMultilevel"/>
    <w:lvl w:ilvl="0">
      <w:lvlJc w:val="left"/>
      <w:lvlText w:val="(%1)"/>
      <w:numFmt w:val="decimal"/>
      <w:start w:val="1"/>
    </w:lvl>
  </w:abstractNum>
  <w:abstractNum w:abstractNumId="25">
    <w:nsid w:val="45E6D486"/>
    <w:multiLevelType w:val="hybridMultilevel"/>
    <w:lvl w:ilvl="0">
      <w:lvlJc w:val="left"/>
      <w:lvlText w:val="•"/>
      <w:numFmt w:val="bullet"/>
      <w:start w:val="1"/>
    </w:lvl>
  </w:abstractNum>
  <w:abstractNum w:abstractNumId="26">
    <w:nsid w:val="5C10FE21"/>
    <w:multiLevelType w:val="hybridMultilevel"/>
    <w:lvl w:ilvl="0">
      <w:lvlJc w:val="left"/>
      <w:lvlText w:val="•"/>
      <w:numFmt w:val="bullet"/>
      <w:start w:val="1"/>
    </w:lvl>
  </w:abstractNum>
  <w:abstractNum w:abstractNumId="27">
    <w:nsid w:val="E7FFA2B"/>
    <w:multiLevelType w:val="hybridMultilevel"/>
    <w:lvl w:ilvl="0">
      <w:lvlJc w:val="left"/>
      <w:lvlText w:val="•"/>
      <w:numFmt w:val="bullet"/>
      <w:start w:val="1"/>
    </w:lvl>
  </w:abstractNum>
  <w:abstractNum w:abstractNumId="28">
    <w:nsid w:val="3C5991AA"/>
    <w:multiLevelType w:val="hybridMultilevel"/>
    <w:lvl w:ilvl="0">
      <w:lvlJc w:val="left"/>
      <w:lvlText w:val="•"/>
      <w:numFmt w:val="bullet"/>
      <w:start w:val="1"/>
    </w:lvl>
  </w:abstractNum>
  <w:abstractNum w:abstractNumId="29">
    <w:nsid w:val="4BD8591A"/>
    <w:multiLevelType w:val="hybridMultilevel"/>
    <w:lvl w:ilvl="0">
      <w:lvlJc w:val="left"/>
      <w:lvlText w:val="•"/>
      <w:numFmt w:val="bullet"/>
      <w:start w:val="1"/>
    </w:lvl>
  </w:abstractNum>
  <w:abstractNum w:abstractNumId="30">
    <w:nsid w:val="78DF6A55"/>
    <w:multiLevelType w:val="hybridMultilevel"/>
    <w:lvl w:ilvl="0">
      <w:lvlJc w:val="left"/>
      <w:lvlText w:val="(%1)"/>
      <w:numFmt w:val="decimal"/>
      <w:start w:val="1"/>
    </w:lvl>
  </w:abstractNum>
  <w:abstractNum w:abstractNumId="31">
    <w:nsid w:val="39B7AAA2"/>
    <w:multiLevelType w:val="hybridMultilevel"/>
    <w:lvl w:ilvl="0">
      <w:lvlJc w:val="left"/>
      <w:lvlText w:val="(%1)"/>
      <w:numFmt w:val="decimal"/>
      <w:start w:val="1"/>
    </w:lvl>
  </w:abstractNum>
  <w:abstractNum w:abstractNumId="32">
    <w:nsid w:val="2B0D8DBE"/>
    <w:multiLevelType w:val="hybridMultilevel"/>
    <w:lvl w:ilvl="0">
      <w:lvlJc w:val="left"/>
      <w:lvlText w:val="(%1)"/>
      <w:numFmt w:val="decimal"/>
      <w:start w:val="1"/>
    </w:lvl>
  </w:abstractNum>
  <w:abstractNum w:abstractNumId="33">
    <w:nsid w:val="6C80EC70"/>
    <w:multiLevelType w:val="hybridMultilevel"/>
    <w:lvl w:ilvl="0">
      <w:lvlJc w:val="left"/>
      <w:lvlText w:val="*"/>
      <w:numFmt w:val="bullet"/>
      <w:start w:val="1"/>
    </w:lvl>
  </w:abstractNum>
  <w:abstractNum w:abstractNumId="34">
    <w:nsid w:val="379E21B5"/>
    <w:multiLevelType w:val="hybridMultilevel"/>
    <w:lvl w:ilvl="0">
      <w:lvlJc w:val="left"/>
      <w:lvlText w:val="(%1)"/>
      <w:numFmt w:val="decimal"/>
      <w:start w:val="1"/>
    </w:lvl>
  </w:abstractNum>
  <w:abstractNum w:abstractNumId="35">
    <w:nsid w:val="69E373"/>
    <w:multiLevelType w:val="hybridMultilevel"/>
    <w:lvl w:ilvl="0">
      <w:lvlJc w:val="left"/>
      <w:lvlText w:val="•"/>
      <w:numFmt w:val="bullet"/>
      <w:start w:val="1"/>
    </w:lvl>
  </w:abstractNum>
  <w:abstractNum w:abstractNumId="36">
    <w:nsid w:val="2C27173B"/>
    <w:multiLevelType w:val="hybridMultilevel"/>
    <w:lvl w:ilvl="0">
      <w:lvlJc w:val="left"/>
      <w:lvlText w:val="•"/>
      <w:numFmt w:val="bullet"/>
      <w:start w:val="1"/>
    </w:lvl>
  </w:abstractNum>
  <w:abstractNum w:abstractNumId="37">
    <w:nsid w:val="4C9B0904"/>
    <w:multiLevelType w:val="hybridMultilevel"/>
    <w:lvl w:ilvl="0">
      <w:lvlJc w:val="left"/>
      <w:lvlText w:val="="/>
      <w:numFmt w:val="bullet"/>
      <w:start w:val="1"/>
    </w:lvl>
  </w:abstractNum>
  <w:abstractNum w:abstractNumId="38">
    <w:nsid w:val="6AA7B75C"/>
    <w:multiLevelType w:val="hybridMultilevel"/>
    <w:lvl w:ilvl="0">
      <w:lvlJc w:val="left"/>
      <w:lvlText w:val="="/>
      <w:numFmt w:val="bullet"/>
      <w:start w:val="1"/>
    </w:lvl>
  </w:abstractNum>
  <w:abstractNum w:abstractNumId="39">
    <w:nsid w:val="1DF029D3"/>
    <w:multiLevelType w:val="hybridMultilevel"/>
    <w:lvl w:ilvl="0">
      <w:lvlJc w:val="left"/>
      <w:lvlText w:val="(*)"/>
      <w:numFmt w:val="bullet"/>
      <w:start w:val="1"/>
    </w:lvl>
    <w:lvl w:ilvl="1">
      <w:lvlJc w:val="left"/>
      <w:lvlText w:val="="/>
      <w:numFmt w:val="bullet"/>
      <w:start w:val="1"/>
    </w:lvl>
  </w:abstractNum>
  <w:abstractNum w:abstractNumId="40">
    <w:nsid w:val="5675FF36"/>
    <w:multiLevelType w:val="hybridMultilevel"/>
    <w:lvl w:ilvl="0">
      <w:lvlJc w:val="left"/>
      <w:lvlText w:val="(%1)"/>
      <w:numFmt w:val="decimal"/>
      <w:start w:val="1"/>
    </w:lvl>
  </w:abstractNum>
  <w:abstractNum w:abstractNumId="41">
    <w:nsid w:val="3DD15094"/>
    <w:multiLevelType w:val="hybridMultilevel"/>
    <w:lvl w:ilvl="0">
      <w:lvlJc w:val="left"/>
      <w:lvlText w:val="•"/>
      <w:numFmt w:val="bullet"/>
      <w:start w:val="1"/>
    </w:lvl>
  </w:abstractNum>
  <w:abstractNum w:abstractNumId="42">
    <w:nsid w:val="3DB012B3"/>
    <w:multiLevelType w:val="hybridMultilevel"/>
    <w:lvl w:ilvl="0">
      <w:lvlJc w:val="left"/>
      <w:lvlText w:val="•"/>
      <w:numFmt w:val="bullet"/>
      <w:start w:val="1"/>
    </w:lvl>
  </w:abstractNum>
  <w:abstractNum w:abstractNumId="43">
    <w:nsid w:val="2708C9AF"/>
    <w:multiLevelType w:val="hybridMultilevel"/>
    <w:lvl w:ilvl="0">
      <w:lvlJc w:val="left"/>
      <w:lvlText w:val="•"/>
      <w:numFmt w:val="bullet"/>
      <w:start w:val="1"/>
    </w:lvl>
  </w:abstractNum>
  <w:abstractNum w:abstractNumId="44">
    <w:nsid w:val="5B25ACE2"/>
    <w:multiLevelType w:val="hybridMultilevel"/>
    <w:lvl w:ilvl="0">
      <w:lvlJc w:val="left"/>
      <w:lvlText w:val="•"/>
      <w:numFmt w:val="bullet"/>
      <w:start w:val="1"/>
    </w:lvl>
  </w:abstractNum>
  <w:abstractNum w:abstractNumId="45">
    <w:nsid w:val="175DFCF0"/>
    <w:multiLevelType w:val="hybridMultilevel"/>
    <w:lvl w:ilvl="0">
      <w:lvlJc w:val="left"/>
      <w:lvlText w:val="•"/>
      <w:numFmt w:val="bullet"/>
      <w:start w:val="1"/>
    </w:lvl>
  </w:abstractNum>
  <w:abstractNum w:abstractNumId="46">
    <w:nsid w:val="4F97E3E4"/>
    <w:multiLevelType w:val="hybridMultilevel"/>
    <w:lvl w:ilvl="0">
      <w:lvlJc w:val="left"/>
      <w:lvlText w:val="•"/>
      <w:numFmt w:val="bullet"/>
      <w:start w:val="1"/>
    </w:lvl>
  </w:abstractNum>
  <w:abstractNum w:abstractNumId="47">
    <w:nsid w:val="53B0A9E"/>
    <w:multiLevelType w:val="hybridMultilevel"/>
    <w:lvl w:ilvl="0">
      <w:lvlJc w:val="left"/>
      <w:lvlText w:val="•"/>
      <w:numFmt w:val="bullet"/>
      <w:start w:val="1"/>
    </w:lvl>
  </w:abstractNum>
  <w:abstractNum w:abstractNumId="48">
    <w:nsid w:val="34FD6B4F"/>
    <w:multiLevelType w:val="hybridMultilevel"/>
    <w:lvl w:ilvl="0">
      <w:lvlJc w:val="left"/>
      <w:lvlText w:val="•"/>
      <w:numFmt w:val="bullet"/>
      <w:start w:val="1"/>
    </w:lvl>
  </w:abstractNum>
  <w:abstractNum w:abstractNumId="49">
    <w:nsid w:val="5915FF32"/>
    <w:multiLevelType w:val="hybridMultilevel"/>
    <w:lvl w:ilvl="0">
      <w:lvlJc w:val="left"/>
      <w:lvlText w:val="•"/>
      <w:numFmt w:val="bullet"/>
      <w:start w:val="1"/>
    </w:lvl>
  </w:abstractNum>
  <w:abstractNum w:abstractNumId="50">
    <w:nsid w:val="56438D15"/>
    <w:multiLevelType w:val="hybridMultilevel"/>
    <w:lvl w:ilvl="0">
      <w:lvlJc w:val="left"/>
      <w:lvlText w:val="•"/>
      <w:numFmt w:val="bullet"/>
      <w:start w:val="1"/>
    </w:lvl>
  </w:abstractNum>
  <w:abstractNum w:abstractNumId="51">
    <w:nsid w:val="519E3149"/>
    <w:multiLevelType w:val="hybridMultilevel"/>
    <w:lvl w:ilvl="0">
      <w:lvlJc w:val="left"/>
      <w:lvlText w:val="•"/>
      <w:numFmt w:val="bullet"/>
      <w:start w:val="1"/>
    </w:lvl>
  </w:abstractNum>
  <w:abstractNum w:abstractNumId="52">
    <w:nsid w:val="2C6E4AFD"/>
    <w:multiLevelType w:val="hybridMultilevel"/>
    <w:lvl w:ilvl="0">
      <w:lvlJc w:val="left"/>
      <w:lvlText w:val="•"/>
      <w:numFmt w:val="bullet"/>
      <w:start w:val="1"/>
    </w:lvl>
  </w:abstractNum>
  <w:abstractNum w:abstractNumId="53">
    <w:nsid w:val="17A1B582"/>
    <w:multiLevelType w:val="hybridMultilevel"/>
    <w:lvl w:ilvl="0">
      <w:lvlJc w:val="left"/>
      <w:lvlText w:val="•"/>
      <w:numFmt w:val="bullet"/>
      <w:start w:val="1"/>
    </w:lvl>
  </w:abstractNum>
  <w:abstractNum w:abstractNumId="54">
    <w:nsid w:val="4DF72E4E"/>
    <w:multiLevelType w:val="hybridMultilevel"/>
    <w:lvl w:ilvl="0">
      <w:lvlJc w:val="left"/>
      <w:lvlText w:val="•"/>
      <w:numFmt w:val="bullet"/>
      <w:start w:val="1"/>
    </w:lvl>
  </w:abstractNum>
  <w:abstractNum w:abstractNumId="55">
    <w:nsid w:val="5046B5A9"/>
    <w:multiLevelType w:val="hybridMultilevel"/>
    <w:lvl w:ilvl="0">
      <w:lvlJc w:val="left"/>
      <w:lvlText w:val="•"/>
      <w:numFmt w:val="bullet"/>
      <w:start w:val="1"/>
    </w:lvl>
  </w:abstractNum>
  <w:abstractNum w:abstractNumId="56">
    <w:nsid w:val="5D888A08"/>
    <w:multiLevelType w:val="hybridMultilevel"/>
    <w:lvl w:ilvl="0">
      <w:lvlJc w:val="left"/>
      <w:lvlText w:val="•"/>
      <w:numFmt w:val="bullet"/>
      <w:start w:val="1"/>
    </w:lvl>
  </w:abstractNum>
  <w:abstractNum w:abstractNumId="57">
    <w:nsid w:val="2A082C70"/>
    <w:multiLevelType w:val="hybridMultilevel"/>
    <w:lvl w:ilvl="0">
      <w:lvlJc w:val="left"/>
      <w:lvlText w:val="•"/>
      <w:numFmt w:val="bullet"/>
      <w:start w:val="1"/>
    </w:lvl>
  </w:abstractNum>
  <w:abstractNum w:abstractNumId="58">
    <w:nsid w:val="5EC6AFD4"/>
    <w:multiLevelType w:val="hybridMultilevel"/>
    <w:lvl w:ilvl="0">
      <w:lvlJc w:val="left"/>
      <w:lvlText w:val="•"/>
      <w:numFmt w:val="bullet"/>
      <w:start w:val="1"/>
    </w:lvl>
  </w:abstractNum>
  <w:abstractNum w:abstractNumId="59">
    <w:nsid w:val="19E21BB2"/>
    <w:multiLevelType w:val="hybridMultilevel"/>
    <w:lvl w:ilvl="0">
      <w:lvlJc w:val="left"/>
      <w:lvlText w:val="•"/>
      <w:numFmt w:val="bullet"/>
      <w:start w:val="1"/>
    </w:lvl>
  </w:abstractNum>
  <w:abstractNum w:abstractNumId="60">
    <w:nsid w:val="75E0858A"/>
    <w:multiLevelType w:val="hybridMultilevel"/>
    <w:lvl w:ilvl="0">
      <w:lvlJc w:val="left"/>
      <w:lvlText w:val="•"/>
      <w:numFmt w:val="bullet"/>
      <w:start w:val="1"/>
    </w:lvl>
  </w:abstractNum>
  <w:abstractNum w:abstractNumId="61">
    <w:nsid w:val="57A61A29"/>
    <w:multiLevelType w:val="hybridMultilevel"/>
    <w:lvl w:ilvl="0">
      <w:lvlJc w:val="left"/>
      <w:lvlText w:val="•"/>
      <w:numFmt w:val="bullet"/>
      <w:start w:val="1"/>
    </w:lvl>
  </w:abstractNum>
  <w:abstractNum w:abstractNumId="62">
    <w:nsid w:val="5399C654"/>
    <w:multiLevelType w:val="hybridMultilevel"/>
    <w:lvl w:ilvl="0">
      <w:lvlJc w:val="left"/>
      <w:lvlText w:val="•"/>
      <w:numFmt w:val="bullet"/>
      <w:start w:val="1"/>
    </w:lvl>
  </w:abstractNum>
  <w:abstractNum w:abstractNumId="63">
    <w:nsid w:val="20EE1348"/>
    <w:multiLevelType w:val="hybridMultilevel"/>
    <w:lvl w:ilvl="0">
      <w:lvlJc w:val="left"/>
      <w:lvlText w:val="•"/>
      <w:numFmt w:val="bullet"/>
      <w:start w:val="1"/>
    </w:lvl>
  </w:abstractNum>
  <w:abstractNum w:abstractNumId="64">
    <w:nsid w:val="4427069A"/>
    <w:multiLevelType w:val="hybridMultilevel"/>
    <w:lvl w:ilvl="0">
      <w:lvlJc w:val="left"/>
      <w:lvlText w:val="•"/>
      <w:numFmt w:val="bullet"/>
      <w:start w:val="1"/>
    </w:lvl>
  </w:abstractNum>
  <w:abstractNum w:abstractNumId="65">
    <w:nsid w:val="B37E80A"/>
    <w:multiLevelType w:val="hybridMultilevel"/>
    <w:lvl w:ilvl="0">
      <w:lvlJc w:val="left"/>
      <w:lvlText w:val="•"/>
      <w:numFmt w:val="bullet"/>
      <w:start w:val="1"/>
    </w:lvl>
  </w:abstractNum>
  <w:abstractNum w:abstractNumId="66">
    <w:nsid w:val="2157F6BC"/>
    <w:multiLevelType w:val="hybridMultilevel"/>
    <w:lvl w:ilvl="0">
      <w:lvlJc w:val="left"/>
      <w:lvlText w:val="(%1)"/>
      <w:numFmt w:val="decimal"/>
      <w:start w:val="1"/>
    </w:lvl>
    <w:lvl w:ilvl="1">
      <w:lvlJc w:val="left"/>
      <w:lvlText w:val="(%2)"/>
      <w:numFmt w:val="lowerLetter"/>
      <w:start w:val="1"/>
    </w:lvl>
  </w:abstractNum>
  <w:abstractNum w:abstractNumId="67">
    <w:nsid w:val="704E1DD5"/>
    <w:multiLevelType w:val="hybridMultilevel"/>
    <w:lvl w:ilvl="0">
      <w:lvlJc w:val="left"/>
      <w:lvlText w:val="(%1)"/>
      <w:numFmt w:val="decimal"/>
      <w:start w:val="4"/>
    </w:lvl>
  </w:abstractNum>
  <w:abstractNum w:abstractNumId="68">
    <w:nsid w:val="57D2F10E"/>
    <w:multiLevelType w:val="hybridMultilevel"/>
    <w:lvl w:ilvl="0">
      <w:lvlJc w:val="left"/>
      <w:lvlText w:val="•"/>
      <w:numFmt w:val="bullet"/>
      <w:start w:val="1"/>
    </w:lvl>
  </w:abstractNum>
  <w:abstractNum w:abstractNumId="69">
    <w:nsid w:val="BFFAE18"/>
    <w:multiLevelType w:val="hybridMultilevel"/>
    <w:lvl w:ilvl="0">
      <w:lvlJc w:val="left"/>
      <w:lvlText w:val="•"/>
      <w:numFmt w:val="bullet"/>
      <w:start w:val="1"/>
    </w:lvl>
  </w:abstractNum>
  <w:abstractNum w:abstractNumId="70">
    <w:nsid w:val="E3E47A8"/>
    <w:multiLevelType w:val="hybridMultilevel"/>
    <w:lvl w:ilvl="0">
      <w:lvlJc w:val="left"/>
      <w:lvlText w:val="•"/>
      <w:numFmt w:val="bullet"/>
      <w:start w:val="1"/>
    </w:lvl>
  </w:abstractNum>
  <w:abstractNum w:abstractNumId="71">
    <w:nsid w:val="2E48F044"/>
    <w:multiLevelType w:val="hybridMultilevel"/>
    <w:lvl w:ilvl="0">
      <w:lvlJc w:val="left"/>
      <w:lvlText w:val="•"/>
      <w:numFmt w:val="bullet"/>
      <w:start w:val="1"/>
    </w:lvl>
  </w:abstractNum>
  <w:abstractNum w:abstractNumId="72">
    <w:nsid w:val="49D0FEAC"/>
    <w:multiLevelType w:val="hybridMultilevel"/>
    <w:lvl w:ilvl="0">
      <w:lvlJc w:val="left"/>
      <w:lvlText w:val="•"/>
      <w:numFmt w:val="bullet"/>
      <w:start w:val="1"/>
    </w:lvl>
    <w:lvl w:ilvl="1">
      <w:lvlJc w:val="left"/>
      <w:lvlText w:val="•"/>
      <w:numFmt w:val="bullet"/>
      <w:start w:val="1"/>
    </w:lvl>
  </w:abstractNum>
  <w:abstractNum w:abstractNumId="73">
    <w:nsid w:val="4BEE5A5B"/>
    <w:multiLevelType w:val="hybridMultilevel"/>
    <w:lvl w:ilvl="0">
      <w:lvlJc w:val="left"/>
      <w:lvlText w:val="•"/>
      <w:numFmt w:val="bullet"/>
      <w:start w:val="1"/>
    </w:lvl>
  </w:abstractNum>
  <w:abstractNum w:abstractNumId="74">
    <w:nsid w:val="5551B9F3"/>
    <w:multiLevelType w:val="hybridMultilevel"/>
    <w:lvl w:ilvl="0">
      <w:lvlJc w:val="left"/>
      <w:lvlText w:val="1"/>
      <w:numFmt w:val="bullet"/>
      <w:start w:val="1"/>
    </w:lvl>
  </w:abstractNum>
  <w:abstractNum w:abstractNumId="75">
    <w:nsid w:val="24F6AB8E"/>
    <w:multiLevelType w:val="hybridMultilevel"/>
    <w:lvl w:ilvl="0">
      <w:lvlJc w:val="left"/>
      <w:lvlText w:val="$"/>
      <w:numFmt w:val="bullet"/>
      <w:start w:val="1"/>
    </w:lvl>
  </w:abstractNum>
  <w:abstractNum w:abstractNumId="76">
    <w:nsid w:val="634C574C"/>
    <w:multiLevelType w:val="hybridMultilevel"/>
    <w:lvl w:ilvl="0">
      <w:lvlJc w:val="left"/>
      <w:lvlText w:val="(%1)"/>
      <w:numFmt w:val="decimal"/>
      <w:start w:val="1"/>
    </w:lvl>
  </w:abstractNum>
  <w:abstractNum w:abstractNumId="77">
    <w:nsid w:val="24E99DD7"/>
    <w:multiLevelType w:val="hybridMultilevel"/>
    <w:lvl w:ilvl="0">
      <w:lvlJc w:val="left"/>
      <w:lvlText w:val="*"/>
      <w:numFmt w:val="bullet"/>
      <w:start w:val="1"/>
    </w:lvl>
  </w:abstractNum>
  <w:abstractNum w:abstractNumId="78">
    <w:nsid w:val="2A31B62D"/>
    <w:multiLevelType w:val="hybridMultilevel"/>
    <w:lvl w:ilvl="0">
      <w:lvlJc w:val="left"/>
      <w:lvlText w:val="(%1)"/>
      <w:numFmt w:val="lowerLetter"/>
      <w:start w:val="1"/>
    </w:lvl>
  </w:abstractNum>
  <w:abstractNum w:abstractNumId="79">
    <w:nsid w:val="1849C29B"/>
    <w:multiLevelType w:val="hybridMultilevel"/>
    <w:lvl w:ilvl="0">
      <w:lvlJc w:val="left"/>
      <w:lvlText w:val="(%1)"/>
      <w:numFmt w:val="decimal"/>
      <w:start w:val="1"/>
    </w:lvl>
  </w:abstractNum>
  <w:abstractNum w:abstractNumId="80">
    <w:nsid w:val="7DFF9D09"/>
    <w:multiLevelType w:val="hybridMultilevel"/>
    <w:lvl w:ilvl="0">
      <w:lvlJc w:val="left"/>
      <w:lvlText w:val="(%1)"/>
      <w:numFmt w:val="lowerLetter"/>
      <w:start w:val="2"/>
    </w:lvl>
  </w:abstractNum>
  <w:abstractNum w:abstractNumId="81">
    <w:nsid w:val="754342"/>
    <w:multiLevelType w:val="hybridMultilevel"/>
    <w:lvl w:ilvl="0">
      <w:lvlJc w:val="left"/>
      <w:lvlText w:val="(%1)"/>
      <w:numFmt w:val="lowerLetter"/>
      <w:start w:val="5"/>
    </w:lvl>
  </w:abstractNum>
  <w:abstractNum w:abstractNumId="82">
    <w:nsid w:val="69E7F3E5"/>
    <w:multiLevelType w:val="hybridMultilevel"/>
    <w:lvl w:ilvl="0">
      <w:lvlJc w:val="left"/>
      <w:lvlText w:val="(%1)"/>
      <w:numFmt w:val="decimal"/>
      <w:start w:val="1"/>
    </w:lvl>
  </w:abstractNum>
  <w:abstractNum w:abstractNumId="83">
    <w:nsid w:val="2A6DE806"/>
    <w:multiLevelType w:val="hybridMultilevel"/>
    <w:lvl w:ilvl="0">
      <w:lvlJc w:val="left"/>
      <w:lvlText w:val="*"/>
      <w:numFmt w:val="bullet"/>
      <w:start w:val="1"/>
    </w:lvl>
  </w:abstractNum>
  <w:abstractNum w:abstractNumId="84">
    <w:nsid w:val="1816F8C4"/>
    <w:multiLevelType w:val="hybridMultilevel"/>
    <w:lvl w:ilvl="0">
      <w:lvlJc w:val="left"/>
      <w:lvlText w:val="(%1)"/>
      <w:numFmt w:val="decimal"/>
      <w:start w:val="1"/>
    </w:lvl>
  </w:abstractNum>
  <w:abstractNum w:abstractNumId="85">
    <w:nsid w:val="37DF2233"/>
    <w:multiLevelType w:val="hybridMultilevel"/>
    <w:lvl w:ilvl="0">
      <w:lvlJc w:val="left"/>
      <w:lvlText w:val="(%1)"/>
      <w:numFmt w:val="lowerLetter"/>
      <w:start w:val="6"/>
    </w:lvl>
  </w:abstractNum>
  <w:abstractNum w:abstractNumId="86">
    <w:nsid w:val="7AB49DAF"/>
    <w:multiLevelType w:val="hybridMultilevel"/>
    <w:lvl w:ilvl="0">
      <w:lvlJc w:val="left"/>
      <w:lvlText w:val="1"/>
      <w:numFmt w:val="bullet"/>
      <w:start w:val="1"/>
    </w:lvl>
  </w:abstractNum>
  <w:abstractNum w:abstractNumId="87">
    <w:nsid w:val="759F82CD"/>
    <w:multiLevelType w:val="hybridMultilevel"/>
    <w:lvl w:ilvl="0">
      <w:lvlJc w:val="left"/>
      <w:lvlText w:val="(%1)"/>
      <w:numFmt w:val="decimal"/>
      <w:start w:val="1"/>
    </w:lvl>
  </w:abstractNum>
  <w:abstractNum w:abstractNumId="88">
    <w:nsid w:val="61E74EA3"/>
    <w:multiLevelType w:val="hybridMultilevel"/>
    <w:lvl w:ilvl="0">
      <w:lvlJc w:val="left"/>
      <w:lvlText w:val="*"/>
      <w:numFmt w:val="bullet"/>
      <w:start w:val="1"/>
    </w:lvl>
  </w:abstractNum>
  <w:abstractNum w:abstractNumId="89">
    <w:nsid w:val="597B4D84"/>
    <w:multiLevelType w:val="hybridMultilevel"/>
    <w:lvl w:ilvl="0">
      <w:lvlJc w:val="left"/>
      <w:lvlText w:val="(%1)"/>
      <w:numFmt w:val="decimal"/>
      <w:start w:val="1"/>
    </w:lvl>
  </w:abstractNum>
  <w:abstractNum w:abstractNumId="90">
    <w:nsid w:val="F819E7F"/>
    <w:multiLevelType w:val="hybridMultilevel"/>
    <w:lvl w:ilvl="0">
      <w:lvlJc w:val="left"/>
      <w:lvlText w:val="*"/>
      <w:numFmt w:val="bullet"/>
      <w:start w:val="1"/>
    </w:lvl>
  </w:abstractNum>
  <w:abstractNum w:abstractNumId="91">
    <w:nsid w:val="57C7D42D"/>
    <w:multiLevelType w:val="hybridMultilevel"/>
    <w:lvl w:ilvl="0">
      <w:lvlJc w:val="left"/>
      <w:lvlText w:val="(%1)"/>
      <w:numFmt w:val="lowerLetter"/>
      <w:start w:val="1"/>
    </w:lvl>
  </w:abstractNum>
  <w:abstractNum w:abstractNumId="92">
    <w:nsid w:val="312167AD"/>
    <w:multiLevelType w:val="hybridMultilevel"/>
    <w:lvl w:ilvl="0">
      <w:lvlJc w:val="left"/>
      <w:lvlText w:val="(%1)"/>
      <w:numFmt w:val="decimal"/>
      <w:start w:val="1"/>
    </w:lvl>
  </w:abstractNum>
  <w:abstractNum w:abstractNumId="93">
    <w:nsid w:val="631B64D4"/>
    <w:multiLevelType w:val="hybridMultilevel"/>
    <w:lvl w:ilvl="0">
      <w:lvlJc w:val="left"/>
      <w:lvlText w:val="(%1)"/>
      <w:numFmt w:val="lowerLetter"/>
      <w:start w:val="3"/>
    </w:lvl>
  </w:abstractNum>
  <w:abstractNum w:abstractNumId="94">
    <w:nsid w:val="78B5E776"/>
    <w:multiLevelType w:val="hybridMultilevel"/>
    <w:lvl w:ilvl="0">
      <w:lvlJc w:val="left"/>
      <w:lvlText w:val="(%1)"/>
      <w:numFmt w:val="lowerLetter"/>
      <w:start w:val="5"/>
    </w:lvl>
  </w:abstractNum>
  <w:abstractNum w:abstractNumId="95">
    <w:nsid w:val="75486E47"/>
    <w:multiLevelType w:val="hybridMultilevel"/>
    <w:lvl w:ilvl="0">
      <w:lvlJc w:val="left"/>
      <w:lvlText w:val="(%1)"/>
      <w:numFmt w:val="decimal"/>
      <w:start w:val="1"/>
    </w:lvl>
  </w:abstractNum>
  <w:abstractNum w:abstractNumId="96">
    <w:nsid w:val="6E534CDE"/>
    <w:multiLevelType w:val="hybridMultilevel"/>
    <w:lvl w:ilvl="0">
      <w:lvlJc w:val="left"/>
      <w:lvlText w:val="*"/>
      <w:numFmt w:val="bullet"/>
      <w:start w:val="1"/>
    </w:lvl>
  </w:abstractNum>
  <w:abstractNum w:abstractNumId="97">
    <w:nsid w:val="1A0DDE32"/>
    <w:multiLevelType w:val="hybridMultilevel"/>
    <w:lvl w:ilvl="0">
      <w:lvlJc w:val="left"/>
      <w:lvlText w:val="(%1)"/>
      <w:numFmt w:val="decimal"/>
      <w:start w:val="1"/>
    </w:lvl>
  </w:abstractNum>
  <w:abstractNum w:abstractNumId="98">
    <w:nsid w:val="65968C1C"/>
    <w:multiLevelType w:val="hybridMultilevel"/>
    <w:lvl w:ilvl="0">
      <w:lvlJc w:val="left"/>
      <w:lvlText w:val="(%1)"/>
      <w:numFmt w:val="lowerLetter"/>
      <w:start w:val="6"/>
    </w:lvl>
  </w:abstractNum>
  <w:abstractNum w:abstractNumId="99">
    <w:nsid w:val="46263DEC"/>
    <w:multiLevelType w:val="hybridMultilevel"/>
    <w:lvl w:ilvl="0">
      <w:lvlJc w:val="left"/>
      <w:lvlText w:val="(%1)"/>
      <w:numFmt w:val="lowerLetter"/>
      <w:start w:val="1"/>
    </w:lvl>
  </w:abstractNum>
  <w:abstractNum w:abstractNumId="100">
    <w:nsid w:val="260D8C4A"/>
    <w:multiLevelType w:val="hybridMultilevel"/>
    <w:lvl w:ilvl="0">
      <w:lvlJc w:val="left"/>
      <w:lvlText w:val="*"/>
      <w:numFmt w:val="bullet"/>
      <w:start w:val="1"/>
    </w:lvl>
  </w:abstractNum>
  <w:abstractNum w:abstractNumId="101">
    <w:nsid w:val="73D4D3C4"/>
    <w:multiLevelType w:val="hybridMultilevel"/>
    <w:lvl w:ilvl="0">
      <w:lvlJc w:val="left"/>
      <w:lvlText w:val="**"/>
      <w:numFmt w:val="bullet"/>
      <w:start w:val="1"/>
    </w:lvl>
  </w:abstractNum>
  <w:abstractNum w:abstractNumId="102">
    <w:nsid w:val="746F2E30"/>
    <w:multiLevelType w:val="hybridMultilevel"/>
    <w:lvl w:ilvl="0">
      <w:lvlJc w:val="left"/>
      <w:lvlText w:val="(%1)"/>
      <w:numFmt w:val="decimal"/>
      <w:start w:val="1"/>
    </w:lvl>
  </w:abstractNum>
  <w:abstractNum w:abstractNumId="103">
    <w:nsid w:val="6FDE8AF6"/>
    <w:multiLevelType w:val="hybridMultilevel"/>
    <w:lvl w:ilvl="0">
      <w:lvlJc w:val="left"/>
      <w:lvlText w:val="(%1)"/>
      <w:numFmt w:val="decimal"/>
      <w:start w:val="2"/>
    </w:lvl>
  </w:abstractNum>
  <w:abstractNum w:abstractNumId="104">
    <w:nsid w:val="3FC32E20"/>
    <w:multiLevelType w:val="hybridMultilevel"/>
    <w:lvl w:ilvl="0">
      <w:lvlJc w:val="left"/>
      <w:lvlText w:val="(%1)"/>
      <w:numFmt w:val="decimal"/>
      <w:start w:val="1"/>
    </w:lvl>
    <w:lvl w:ilvl="1">
      <w:lvlJc w:val="left"/>
      <w:lvlText w:val="(%2)"/>
      <w:numFmt w:val="lowerRoman"/>
      <w:start w:val="1"/>
    </w:lvl>
  </w:abstractNum>
  <w:abstractNum w:abstractNumId="105">
    <w:nsid w:val="49C0E823"/>
    <w:multiLevelType w:val="hybridMultilevel"/>
    <w:lvl w:ilvl="0">
      <w:lvlJc w:val="left"/>
      <w:lvlText w:val="(%1)"/>
      <w:numFmt w:val="lowerRoman"/>
      <w:start w:val="1"/>
    </w:lvl>
  </w:abstractNum>
  <w:abstractNum w:abstractNumId="106">
    <w:nsid w:val="14D53685"/>
    <w:multiLevelType w:val="hybridMultilevel"/>
    <w:lvl w:ilvl="0">
      <w:lvlJc w:val="left"/>
      <w:lvlText w:val="%1."/>
      <w:numFmt w:val="decimal"/>
      <w:start w:val="1"/>
    </w:lvl>
  </w:abstractNum>
  <w:abstractNum w:abstractNumId="107">
    <w:nsid w:val="230F856C"/>
    <w:multiLevelType w:val="hybridMultilevel"/>
    <w:lvl w:ilvl="0">
      <w:lvlJc w:val="left"/>
      <w:lvlText w:val="%1."/>
      <w:numFmt w:val="decimal"/>
      <w:start w:val="5"/>
    </w:lvl>
  </w:abstractNum>
  <w:abstractNum w:abstractNumId="108">
    <w:nsid w:val="6EAA85FB"/>
    <w:multiLevelType w:val="hybridMultilevel"/>
    <w:lvl w:ilvl="0">
      <w:lvlJc w:val="left"/>
      <w:lvlText w:val="%1."/>
      <w:numFmt w:val="decimal"/>
      <w:start w:val="10"/>
    </w:lvl>
  </w:abstractNum>
  <w:abstractNum w:abstractNumId="109">
    <w:nsid w:val="3F06ECB2"/>
    <w:multiLevelType w:val="hybridMultilevel"/>
    <w:lvl w:ilvl="0">
      <w:lvlJc w:val="left"/>
      <w:lvlText w:val="(%1)"/>
      <w:numFmt w:val="lowerLetter"/>
      <w:start w:val="1"/>
    </w:lvl>
  </w:abstractNum>
  <w:abstractNum w:abstractNumId="110">
    <w:nsid w:val="3B594807"/>
    <w:multiLevelType w:val="hybridMultilevel"/>
    <w:lvl w:ilvl="0">
      <w:lvlJc w:val="left"/>
      <w:lvlText w:val="(%1)"/>
      <w:numFmt w:val="lowerLetter"/>
      <w:start w:val="61"/>
    </w:lvl>
    <w:lvl w:ilvl="1">
      <w:lvlJc w:val="left"/>
      <w:lvlText w:val="(%2)"/>
      <w:numFmt w:val="lowerLetter"/>
      <w:start w:val="2"/>
    </w:lvl>
  </w:abstractNum>
  <w:abstractNum w:abstractNumId="111">
    <w:nsid w:val="6CAA2304"/>
    <w:multiLevelType w:val="hybridMultilevel"/>
    <w:lvl w:ilvl="0">
      <w:lvlJc w:val="left"/>
      <w:lvlText w:val="(%1)"/>
      <w:numFmt w:val="lowerLetter"/>
      <w:start w:val="5"/>
    </w:lvl>
  </w:abstractNum>
  <w:abstractNum w:abstractNumId="112">
    <w:nsid w:val="3F7C2FF4"/>
    <w:multiLevelType w:val="hybridMultilevel"/>
    <w:lvl w:ilvl="0">
      <w:lvlJc w:val="left"/>
      <w:lvlText w:val="%1."/>
      <w:numFmt w:val="decimal"/>
      <w:start w:val="2"/>
    </w:lvl>
  </w:abstractNum>
  <w:abstractNum w:abstractNumId="113">
    <w:nsid w:val="25413BEC"/>
    <w:multiLevelType w:val="hybridMultilevel"/>
    <w:lvl w:ilvl="0">
      <w:lvlJc w:val="left"/>
      <w:lvlText w:val="%1."/>
      <w:numFmt w:val="decimal"/>
      <w:start w:val="3"/>
    </w:lvl>
  </w:abstractNum>
  <w:abstractNum w:abstractNumId="114">
    <w:nsid w:val="17180B0B"/>
    <w:multiLevelType w:val="hybridMultilevel"/>
    <w:lvl w:ilvl="0">
      <w:lvlJc w:val="left"/>
      <w:lvlText w:val="%1"/>
      <w:numFmt w:val="lowerLetter"/>
      <w:start w:val="1"/>
    </w:lvl>
    <w:lvl w:ilvl="1">
      <w:lvlJc w:val="left"/>
      <w:lvlText w:val="(%2)"/>
      <w:numFmt w:val="lowerLetter"/>
      <w:start w:val="1"/>
    </w:lvl>
  </w:abstractNum>
  <w:abstractNum w:abstractNumId="115">
    <w:nsid w:val="579328B9"/>
    <w:multiLevelType w:val="hybridMultilevel"/>
    <w:lvl w:ilvl="0">
      <w:lvlJc w:val="left"/>
      <w:lvlText w:val="(%1)"/>
      <w:numFmt w:val="lowerLetter"/>
      <w:start w:val="9"/>
    </w:lvl>
    <w:lvl w:ilvl="1">
      <w:lvlJc w:val="left"/>
      <w:lvlText w:val="%2"/>
      <w:numFmt w:val="lowerLetter"/>
      <w:start w:val="1"/>
    </w:lvl>
  </w:abstractNum>
  <w:abstractNum w:abstractNumId="116">
    <w:nsid w:val="5D205E20"/>
    <w:multiLevelType w:val="hybridMultilevel"/>
    <w:lvl w:ilvl="0">
      <w:lvlJc w:val="left"/>
      <w:lvlText w:val="(%1)"/>
      <w:numFmt w:val="lowerRoman"/>
      <w:start w:val="2"/>
    </w:lvl>
  </w:abstractNum>
  <w:abstractNum w:abstractNumId="117">
    <w:nsid w:val="11CCA8BA"/>
    <w:multiLevelType w:val="hybridMultilevel"/>
    <w:lvl w:ilvl="0">
      <w:lvlJc w:val="left"/>
      <w:lvlText w:val="%1."/>
      <w:numFmt w:val="decimal"/>
      <w:start w:val="4"/>
    </w:lvl>
  </w:abstractNum>
  <w:abstractNum w:abstractNumId="118">
    <w:nsid w:val="4D32AB86"/>
    <w:multiLevelType w:val="hybridMultilevel"/>
    <w:lvl w:ilvl="0">
      <w:lvlJc w:val="left"/>
      <w:lvlText w:val="%1."/>
      <w:numFmt w:val="decimal"/>
      <w:start w:val="7"/>
    </w:lvl>
  </w:abstractNum>
  <w:abstractNum w:abstractNumId="119">
    <w:nsid w:val="3F07ACC3"/>
    <w:multiLevelType w:val="hybridMultilevel"/>
    <w:lvl w:ilvl="0">
      <w:lvlJc w:val="left"/>
      <w:lvlText w:val="%1"/>
      <w:numFmt w:val="lowerLetter"/>
      <w:start w:val="1"/>
    </w:lvl>
    <w:lvl w:ilvl="1">
      <w:lvlJc w:val="left"/>
      <w:lvlText w:val="%2."/>
      <w:numFmt w:val="decimal"/>
      <w:start w:val="9"/>
    </w:lvl>
  </w:abstractNum>
  <w:abstractNum w:abstractNumId="120">
    <w:nsid w:val="6B47F63E"/>
    <w:multiLevelType w:val="hybridMultilevel"/>
    <w:lvl w:ilvl="0">
      <w:lvlJc w:val="left"/>
      <w:lvlText w:val="(%1)"/>
      <w:numFmt w:val="lowerLetter"/>
      <w:start w:val="2"/>
    </w:lvl>
    <w:lvl w:ilvl="1">
      <w:lvlJc w:val="left"/>
      <w:lvlText w:val="%2."/>
      <w:numFmt w:val="decimal"/>
      <w:start w:val="10"/>
    </w:lvl>
  </w:abstractNum>
  <w:abstractNum w:abstractNumId="121">
    <w:nsid w:val="5CB44A05"/>
    <w:multiLevelType w:val="hybridMultilevel"/>
    <w:lvl w:ilvl="0">
      <w:lvlJc w:val="left"/>
      <w:lvlText w:val="%1."/>
      <w:numFmt w:val="decimal"/>
      <w:start w:val="1"/>
    </w:lvl>
    <w:lvl w:ilvl="1">
      <w:lvlJc w:val="left"/>
      <w:lvlText w:val="(%2)"/>
      <w:numFmt w:val="lowerLetter"/>
      <w:start w:val="1"/>
    </w:lvl>
  </w:abstractNum>
  <w:abstractNum w:abstractNumId="122">
    <w:nsid w:val="16CF80F1"/>
    <w:multiLevelType w:val="hybridMultilevel"/>
    <w:lvl w:ilvl="0">
      <w:lvlJc w:val="left"/>
      <w:lvlText w:val="(%1)"/>
      <w:numFmt w:val="lowerLetter"/>
      <w:start w:val="4"/>
    </w:lvl>
    <w:lvl w:ilvl="1">
      <w:lvlJc w:val="left"/>
      <w:lvlText w:val="(%2)"/>
      <w:numFmt w:val="lowerRoman"/>
      <w:start w:val="1"/>
    </w:lvl>
  </w:abstractNum>
  <w:abstractNum w:abstractNumId="123">
    <w:nsid w:val="1C695D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24">
    <w:nsid w:val="3FCFAED9"/>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125">
    <w:nsid w:val="F85686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6">
    <w:nsid w:val="11B1CC33"/>
    <w:multiLevelType w:val="hybridMultilevel"/>
    <w:lvl w:ilvl="0">
      <w:lvlJc w:val="left"/>
      <w:lvlText w:val="%1"/>
      <w:numFmt w:val="decimal"/>
      <w:start w:val="1"/>
    </w:lvl>
    <w:lvl w:ilvl="1">
      <w:lvlJc w:val="left"/>
      <w:lvlText w:val="(%2)"/>
      <w:numFmt w:val="lowerLetter"/>
      <w:start w:val="3"/>
    </w:lvl>
  </w:abstractNum>
  <w:abstractNum w:abstractNumId="127">
    <w:nsid w:val="2E22FBB7"/>
    <w:multiLevelType w:val="hybridMultilevel"/>
    <w:lvl w:ilvl="0">
      <w:lvlJc w:val="left"/>
      <w:lvlText w:val="%1."/>
      <w:numFmt w:val="decimal"/>
      <w:start w:val="4"/>
    </w:lvl>
    <w:lvl w:ilvl="1">
      <w:lvlJc w:val="left"/>
      <w:lvlText w:val="(%2)"/>
      <w:numFmt w:val="lowerLetter"/>
      <w:start w:val="1"/>
    </w:lvl>
  </w:abstractNum>
  <w:abstractNum w:abstractNumId="128">
    <w:nsid w:val="29934699"/>
    <w:multiLevelType w:val="hybridMultilevel"/>
    <w:lvl w:ilvl="0">
      <w:lvlJc w:val="left"/>
      <w:lvlText w:val="%1."/>
      <w:numFmt w:val="decimal"/>
      <w:start w:val="5"/>
    </w:lvl>
  </w:abstractNum>
  <w:abstractNum w:abstractNumId="129">
    <w:nsid w:val="77485850"/>
    <w:multiLevelType w:val="hybridMultilevel"/>
    <w:lvl w:ilvl="0">
      <w:lvlJc w:val="left"/>
      <w:lvlText w:val="%1"/>
      <w:numFmt w:val="decimal"/>
      <w:start w:val="1"/>
    </w:lvl>
    <w:lvl w:ilvl="1">
      <w:lvlJc w:val="left"/>
      <w:lvlText w:val="(%2)"/>
      <w:numFmt w:val="lowerRoman"/>
      <w:start w:val="1"/>
    </w:lvl>
  </w:abstractNum>
  <w:abstractNum w:abstractNumId="130">
    <w:nsid w:val="744939A3"/>
    <w:multiLevelType w:val="hybridMultilevel"/>
    <w:lvl w:ilvl="0">
      <w:lvlJc w:val="left"/>
      <w:lvlText w:val="%1."/>
      <w:numFmt w:val="decimal"/>
      <w:start w:val="7"/>
    </w:lvl>
    <w:lvl w:ilvl="1">
      <w:lvlJc w:val="left"/>
      <w:lvlText w:val="%2"/>
      <w:numFmt w:val="lowerRoman"/>
      <w:start w:val="1"/>
    </w:lvl>
  </w:abstractNum>
  <w:abstractNum w:abstractNumId="131">
    <w:nsid w:val="4FA0D2E3"/>
    <w:multiLevelType w:val="hybridMultilevel"/>
    <w:lvl w:ilvl="0">
      <w:lvlJc w:val="left"/>
      <w:lvlText w:val="%1."/>
      <w:numFmt w:val="decimal"/>
      <w:start w:val="10"/>
    </w:lvl>
    <w:lvl w:ilvl="1">
      <w:lvlJc w:val="left"/>
      <w:lvlText w:val="(%2)"/>
      <w:numFmt w:val="lowerLetter"/>
      <w:start w:val="1"/>
    </w:lvl>
  </w:abstractNum>
  <w:abstractNum w:abstractNumId="132">
    <w:nsid w:val="6B1D2C14"/>
    <w:multiLevelType w:val="hybridMultilevel"/>
    <w:lvl w:ilvl="0">
      <w:lvlJc w:val="left"/>
      <w:lvlText w:val="%1."/>
      <w:numFmt w:val="decimal"/>
      <w:start w:val="11"/>
    </w:lvl>
    <w:lvl w:ilvl="1">
      <w:lvlJc w:val="left"/>
      <w:lvlText w:val="(%2)"/>
      <w:numFmt w:val="lowerLetter"/>
      <w:start w:val="1"/>
    </w:lvl>
  </w:abstractNum>
  <w:abstractNum w:abstractNumId="133">
    <w:nsid w:val="68B867D3"/>
    <w:multiLevelType w:val="hybridMultilevel"/>
    <w:lvl w:ilvl="0">
      <w:lvlJc w:val="left"/>
      <w:lvlText w:val="(%1)"/>
      <w:numFmt w:val="lowerLetter"/>
      <w:start w:val="5"/>
    </w:lvl>
  </w:abstractNum>
  <w:abstractNum w:abstractNumId="134">
    <w:nsid w:val="3F7F5DD9"/>
    <w:multiLevelType w:val="hybridMultilevel"/>
    <w:lvl w:ilvl="0">
      <w:lvlJc w:val="left"/>
      <w:lvlText w:val="%1."/>
      <w:numFmt w:val="decimal"/>
      <w:start w:val="12"/>
    </w:lvl>
    <w:lvl w:ilvl="1">
      <w:lvlJc w:val="left"/>
      <w:lvlText w:val="(%2)"/>
      <w:numFmt w:val="lowerLetter"/>
      <w:start w:val="1"/>
    </w:lvl>
  </w:abstractNum>
  <w:abstractNum w:abstractNumId="135">
    <w:nsid w:val="2AE05A34"/>
    <w:multiLevelType w:val="hybridMultilevel"/>
    <w:lvl w:ilvl="0">
      <w:lvlJc w:val="left"/>
      <w:lvlText w:val="(%1)"/>
      <w:numFmt w:val="lowerRoman"/>
      <w:start w:val="1"/>
    </w:lvl>
  </w:abstractNum>
  <w:abstractNum w:abstractNumId="136">
    <w:nsid w:val="32794FF7"/>
    <w:multiLevelType w:val="hybridMultilevel"/>
    <w:lvl w:ilvl="0">
      <w:lvlJc w:val="left"/>
      <w:lvlText w:val="(%1)"/>
      <w:numFmt w:val="lowerRoman"/>
      <w:start w:val="2"/>
    </w:lvl>
  </w:abstractNum>
  <w:abstractNum w:abstractNumId="137">
    <w:nsid w:val="5454945E"/>
    <w:multiLevelType w:val="hybridMultilevel"/>
    <w:lvl w:ilvl="0">
      <w:lvlJc w:val="left"/>
      <w:lvlText w:val="(%1)"/>
      <w:numFmt w:val="lowerLetter"/>
      <w:start w:val="3"/>
    </w:lvl>
    <w:lvl w:ilvl="1">
      <w:lvlJc w:val="left"/>
      <w:lvlText w:val="(%2)"/>
      <w:numFmt w:val="lowerRoman"/>
      <w:start w:val="1"/>
    </w:lvl>
  </w:abstractNum>
  <w:abstractNum w:abstractNumId="138">
    <w:nsid w:val="4DEFDFA0"/>
    <w:multiLevelType w:val="hybridMultilevel"/>
    <w:lvl w:ilvl="0">
      <w:lvlJc w:val="left"/>
      <w:lvlText w:val="(%1)"/>
      <w:numFmt w:val="lowerLetter"/>
      <w:start w:val="4"/>
    </w:lvl>
    <w:lvl w:ilvl="1">
      <w:lvlJc w:val="left"/>
      <w:lvlText w:val="(%2)"/>
      <w:numFmt w:val="lowerRoman"/>
      <w:start w:val="1"/>
    </w:lvl>
  </w:abstractNum>
  <w:abstractNum w:abstractNumId="139">
    <w:nsid w:val="2123D5F2"/>
    <w:multiLevelType w:val="hybridMultilevel"/>
    <w:lvl w:ilvl="0">
      <w:lvlJc w:val="left"/>
      <w:lvlText w:val="(%1)"/>
      <w:numFmt w:val="lowerRoman"/>
      <w:start w:val="3"/>
    </w:lvl>
  </w:abstractNum>
  <w:abstractNum w:abstractNumId="140">
    <w:nsid w:val="135B8110"/>
    <w:multiLevelType w:val="hybridMultilevel"/>
    <w:lvl w:ilvl="0">
      <w:lvlJc w:val="left"/>
      <w:lvlText w:val="%1"/>
      <w:numFmt w:val="lowerLetter"/>
      <w:start w:val="1"/>
    </w:lvl>
    <w:lvl w:ilvl="1">
      <w:lvlJc w:val="left"/>
      <w:lvlText w:val="(%2)"/>
      <w:numFmt w:val="lowerRoman"/>
      <w:start w:val="11"/>
    </w:lvl>
  </w:abstractNum>
  <w:abstractNum w:abstractNumId="141">
    <w:nsid w:val="94927A8"/>
    <w:multiLevelType w:val="hybridMultilevel"/>
    <w:lvl w:ilvl="0">
      <w:lvlJc w:val="left"/>
      <w:lvlText w:val="(%1)"/>
      <w:numFmt w:val="lowerLetter"/>
      <w:start w:val="5"/>
    </w:lvl>
    <w:lvl w:ilvl="1">
      <w:lvlJc w:val="left"/>
      <w:lvlText w:val="%2"/>
      <w:numFmt w:val="lowerRoman"/>
      <w:start w:val="1"/>
    </w:lvl>
  </w:abstractNum>
  <w:abstractNum w:abstractNumId="142">
    <w:nsid w:val="DCDF8F6"/>
    <w:multiLevelType w:val="hybridMultilevel"/>
    <w:lvl w:ilvl="0">
      <w:lvlJc w:val="left"/>
      <w:lvlText w:val="(%1)"/>
      <w:numFmt w:val="lowerRoman"/>
      <w:start w:val="1"/>
    </w:lvl>
  </w:abstractNum>
  <w:abstractNum w:abstractNumId="143">
    <w:nsid w:val="52D7B105"/>
    <w:multiLevelType w:val="hybridMultilevel"/>
    <w:lvl w:ilvl="0">
      <w:lvlJc w:val="left"/>
      <w:lvlText w:val="(%1)"/>
      <w:numFmt w:val="lowerLetter"/>
      <w:start w:val="6"/>
    </w:lvl>
  </w:abstractNum>
  <w:abstractNum w:abstractNumId="144">
    <w:nsid w:val="2E8A6394"/>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45">
    <w:nsid w:val="24E60401"/>
    <w:multiLevelType w:val="hybridMultilevel"/>
    <w:lvl w:ilvl="0">
      <w:lvlJc w:val="left"/>
      <w:lvlText w:val="%1"/>
      <w:numFmt w:val="lowerRoman"/>
      <w:start w:val="1"/>
    </w:lvl>
    <w:lvl w:ilvl="1">
      <w:lvlJc w:val="left"/>
      <w:lvlText w:val="(%2)"/>
      <w:numFmt w:val="upperLetter"/>
      <w:start w:val="4"/>
    </w:lvl>
    <w:lvl w:ilvl="2">
      <w:lvlJc w:val="left"/>
      <w:lvlText w:val="%3"/>
      <w:numFmt w:val="decimal"/>
      <w:start w:val="1"/>
    </w:lvl>
  </w:abstractNum>
  <w:abstractNum w:abstractNumId="146">
    <w:nsid w:val="2A6AD9BE"/>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47">
    <w:nsid w:val="BAAC1B4"/>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lvl w:ilvl="3">
      <w:lvlJc w:val="left"/>
      <w:lvlText w:val="(%4)"/>
      <w:numFmt w:val="decimal"/>
      <w:start w:val="4"/>
    </w:lvl>
  </w:abstractNum>
  <w:abstractNum w:abstractNumId="148">
    <w:nsid w:val="36B2ACBC"/>
    <w:multiLevelType w:val="hybridMultilevel"/>
    <w:lvl w:ilvl="0">
      <w:lvlJc w:val="left"/>
      <w:lvlText w:val="%1"/>
      <w:numFmt w:val="lowerRoman"/>
      <w:start w:val="1"/>
    </w:lvl>
    <w:lvl w:ilvl="1">
      <w:lvlJc w:val="left"/>
      <w:lvlText w:val="(%2)"/>
      <w:numFmt w:val="lowerRoman"/>
      <w:start w:val="3"/>
    </w:lvl>
    <w:lvl w:ilvl="2">
      <w:lvlJc w:val="left"/>
      <w:lvlText w:val="(%3)"/>
      <w:numFmt w:val="upperLetter"/>
      <w:start w:val="1"/>
    </w:lvl>
    <w:lvl w:ilvl="3">
      <w:lvlJc w:val="left"/>
      <w:lvlText w:val="%4"/>
      <w:numFmt w:val="decimal"/>
      <w:start w:val="1"/>
    </w:lvl>
  </w:abstractNum>
  <w:abstractNum w:abstractNumId="149">
    <w:nsid w:val="779D8544"/>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50">
    <w:nsid w:val="4AB26E78"/>
    <w:multiLevelType w:val="hybridMultilevel"/>
    <w:lvl w:ilvl="0">
      <w:lvlJc w:val="left"/>
      <w:lvlText w:val="(%1)"/>
      <w:numFmt w:val="lowerLetter"/>
      <w:start w:val="10"/>
    </w:lvl>
    <w:lvl w:ilvl="1">
      <w:lvlJc w:val="left"/>
      <w:lvlText w:val="(%2)"/>
      <w:numFmt w:val="lowerRoman"/>
      <w:start w:val="1"/>
    </w:lvl>
  </w:abstractNum>
  <w:abstractNum w:abstractNumId="151">
    <w:nsid w:val="21FAA2FA"/>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152">
    <w:nsid w:val="5451CF49"/>
    <w:multiLevelType w:val="hybridMultilevel"/>
    <w:lvl w:ilvl="0">
      <w:lvlJc w:val="left"/>
      <w:lvlText w:val="(%1)"/>
      <w:numFmt w:val="lowerLetter"/>
      <w:start w:val="13"/>
    </w:lvl>
  </w:abstractNum>
  <w:abstractNum w:abstractNumId="153">
    <w:nsid w:val="6181EF69"/>
    <w:multiLevelType w:val="hybridMultilevel"/>
    <w:lvl w:ilvl="0">
      <w:lvlJc w:val="left"/>
      <w:lvlText w:val="(%1)"/>
      <w:numFmt w:val="lowerLetter"/>
      <w:start w:val="14"/>
    </w:lvl>
  </w:abstractNum>
  <w:abstractNum w:abstractNumId="154">
    <w:nsid w:val="3E6400E6"/>
    <w:multiLevelType w:val="hybridMultilevel"/>
    <w:lvl w:ilvl="0">
      <w:lvlJc w:val="left"/>
      <w:lvlText w:val="(%1)"/>
      <w:numFmt w:val="lowerLetter"/>
      <w:start w:val="16"/>
    </w:lvl>
  </w:abstractNum>
  <w:abstractNum w:abstractNumId="155">
    <w:nsid w:val="14217E23"/>
    <w:multiLevelType w:val="hybridMultilevel"/>
    <w:lvl w:ilvl="0">
      <w:lvlJc w:val="left"/>
      <w:lvlText w:val="%1."/>
      <w:numFmt w:val="decimal"/>
      <w:start w:val="14"/>
    </w:lvl>
  </w:abstractNum>
  <w:abstractNum w:abstractNumId="156">
    <w:nsid w:val="710757D0"/>
    <w:multiLevelType w:val="hybridMultilevel"/>
    <w:lvl w:ilvl="0">
      <w:lvlJc w:val="left"/>
      <w:lvlText w:val="%1."/>
      <w:numFmt w:val="decimal"/>
      <w:start w:val="15"/>
    </w:lvl>
  </w:abstractNum>
  <w:abstractNum w:abstractNumId="157">
    <w:nsid w:val="5015CD1A"/>
    <w:multiLevelType w:val="hybridMultilevel"/>
    <w:lvl w:ilvl="0">
      <w:lvlJc w:val="left"/>
      <w:lvlText w:val="%1."/>
      <w:numFmt w:val="decimal"/>
      <w:start w:val="17"/>
    </w:lvl>
    <w:lvl w:ilvl="1">
      <w:lvlJc w:val="left"/>
      <w:lvlText w:val="(%2)"/>
      <w:numFmt w:val="lowerLetter"/>
      <w:start w:val="1"/>
    </w:lvl>
  </w:abstractNum>
  <w:abstractNum w:abstractNumId="158">
    <w:nsid w:val="424479DA"/>
    <w:multiLevelType w:val="hybridMultilevel"/>
    <w:lvl w:ilvl="0">
      <w:lvlJc w:val="left"/>
      <w:lvlText w:val="(%1)"/>
      <w:numFmt w:val="lowerLetter"/>
      <w:start w:val="3"/>
    </w:lvl>
  </w:abstractNum>
  <w:abstractNum w:abstractNumId="159">
    <w:nsid w:val="1A9A9E69"/>
    <w:multiLevelType w:val="hybridMultilevel"/>
    <w:lvl w:ilvl="0">
      <w:lvlJc w:val="left"/>
      <w:lvlText w:val="(%1)"/>
      <w:numFmt w:val="lowerLetter"/>
      <w:start w:val="6"/>
    </w:lvl>
  </w:abstractNum>
  <w:abstractNum w:abstractNumId="160">
    <w:nsid w:val="475E256A"/>
    <w:multiLevelType w:val="hybridMultilevel"/>
    <w:lvl w:ilvl="0">
      <w:lvlJc w:val="left"/>
      <w:lvlText w:val="%1."/>
      <w:numFmt w:val="decimal"/>
      <w:start w:val="1"/>
    </w:lvl>
    <w:lvl w:ilvl="1">
      <w:lvlJc w:val="left"/>
      <w:lvlText w:val="(%2)"/>
      <w:numFmt w:val="lowerLetter"/>
      <w:start w:val="1"/>
    </w:lvl>
  </w:abstractNum>
  <w:abstractNum w:abstractNumId="161">
    <w:nsid w:val="368DB37E"/>
    <w:multiLevelType w:val="hybridMultilevel"/>
    <w:lvl w:ilvl="0">
      <w:lvlJc w:val="left"/>
      <w:lvlText w:val="%1."/>
      <w:numFmt w:val="decimal"/>
      <w:start w:val="2"/>
    </w:lvl>
  </w:abstractNum>
  <w:abstractNum w:abstractNumId="162">
    <w:nsid w:val="6A3B714C"/>
    <w:multiLevelType w:val="hybridMultilevel"/>
    <w:lvl w:ilvl="0">
      <w:lvlJc w:val="left"/>
      <w:lvlText w:val="%1."/>
      <w:numFmt w:val="decimal"/>
      <w:start w:val="3"/>
    </w:lvl>
  </w:abstractNum>
  <w:abstractNum w:abstractNumId="163">
    <w:nsid w:val="327B517E"/>
    <w:multiLevelType w:val="hybridMultilevel"/>
    <w:lvl w:ilvl="0">
      <w:lvlJc w:val="left"/>
      <w:lvlText w:val="%1."/>
      <w:numFmt w:val="decimal"/>
      <w:start w:val="4"/>
    </w:lvl>
  </w:abstractNum>
  <w:abstractNum w:abstractNumId="164">
    <w:nsid w:val="1F461B51"/>
    <w:multiLevelType w:val="hybridMultilevel"/>
    <w:lvl w:ilvl="0">
      <w:lvlJc w:val="left"/>
      <w:lvlText w:val="%1."/>
      <w:numFmt w:val="decimal"/>
      <w:start w:val="5"/>
    </w:lvl>
  </w:abstractNum>
  <w:abstractNum w:abstractNumId="165">
    <w:nsid w:val="29BACF25"/>
    <w:multiLevelType w:val="hybridMultilevel"/>
    <w:lvl w:ilvl="0">
      <w:lvlJc w:val="left"/>
      <w:lvlText w:val="%1."/>
      <w:numFmt w:val="decimal"/>
      <w:start w:val="6"/>
    </w:lvl>
  </w:abstractNum>
  <w:abstractNum w:abstractNumId="166">
    <w:nsid w:val="5D5BABB3"/>
    <w:multiLevelType w:val="hybridMultilevel"/>
    <w:lvl w:ilvl="0">
      <w:lvlJc w:val="left"/>
      <w:lvlText w:val="%1."/>
      <w:numFmt w:val="decimal"/>
      <w:start w:val="7"/>
    </w:lvl>
  </w:abstractNum>
  <w:abstractNum w:abstractNumId="167">
    <w:nsid w:val="51BF6B48"/>
    <w:multiLevelType w:val="hybridMultilevel"/>
    <w:lvl w:ilvl="0">
      <w:lvlJc w:val="left"/>
      <w:lvlText w:val="%1."/>
      <w:numFmt w:val="decimal"/>
      <w:start w:val="8"/>
    </w:lvl>
  </w:abstractNum>
  <w:abstractNum w:abstractNumId="168">
    <w:nsid w:val="7E0F6384"/>
    <w:multiLevelType w:val="hybridMultilevel"/>
    <w:lvl w:ilvl="0">
      <w:lvlJc w:val="left"/>
      <w:lvlText w:val="%1."/>
      <w:numFmt w:val="decimal"/>
      <w:start w:val="10"/>
    </w:lvl>
  </w:abstractNum>
  <w:abstractNum w:abstractNumId="169">
    <w:nsid w:val="2B4B8B53"/>
    <w:multiLevelType w:val="hybridMultilevel"/>
    <w:lvl w:ilvl="0">
      <w:lvlJc w:val="left"/>
      <w:lvlText w:val="%1."/>
      <w:numFmt w:val="decimal"/>
      <w:start w:val="11"/>
    </w:lvl>
  </w:abstractNum>
  <w:abstractNum w:abstractNumId="170">
    <w:nsid w:val="72E3413A"/>
    <w:multiLevelType w:val="hybridMultilevel"/>
    <w:lvl w:ilvl="0">
      <w:lvlJc w:val="left"/>
      <w:lvlText w:val="a"/>
      <w:numFmt w:val="bullet"/>
      <w:start w:val="1"/>
    </w:lvl>
  </w:abstractNum>
  <w:abstractNum w:abstractNumId="171">
    <w:nsid w:val="116AE494"/>
    <w:multiLevelType w:val="hybridMultilevel"/>
    <w:lvl w:ilvl="0">
      <w:lvlJc w:val="left"/>
      <w:lvlText w:val="(%1)"/>
      <w:numFmt w:val="lowerLetter"/>
      <w:start w:val="1"/>
    </w:lvl>
  </w:abstractNum>
  <w:abstractNum w:abstractNumId="172">
    <w:nsid w:val="3494B2FB"/>
    <w:multiLevelType w:val="hybridMultilevel"/>
    <w:lvl w:ilvl="0">
      <w:lvlJc w:val="left"/>
      <w:lvlText w:val="(%1)"/>
      <w:numFmt w:val="lowerLetter"/>
      <w:start w:val="1"/>
    </w:lvl>
    <w:lvl w:ilvl="1">
      <w:lvlJc w:val="left"/>
      <w:lvlText w:val="-"/>
      <w:numFmt w:val="bullet"/>
      <w:start w:val="1"/>
    </w:lvl>
  </w:abstractNum>
  <w:abstractNum w:abstractNumId="173">
    <w:nsid w:val="B13A31"/>
    <w:multiLevelType w:val="hybridMultilevel"/>
    <w:lvl w:ilvl="0">
      <w:lvlJc w:val="left"/>
      <w:lvlText w:val="(%1)"/>
      <w:numFmt w:val="lowerLetter"/>
      <w:start w:val="4"/>
    </w:lvl>
  </w:abstractNum>
  <w:abstractNum w:abstractNumId="174">
    <w:nsid w:val="64429599"/>
    <w:multiLevelType w:val="hybridMultilevel"/>
    <w:lvl w:ilvl="0">
      <w:lvlJc w:val="left"/>
      <w:lvlText w:val="(%1)"/>
      <w:numFmt w:val="lowerLetter"/>
      <w:start w:val="1"/>
    </w:lvl>
    <w:lvl w:ilvl="1">
      <w:lvlJc w:val="left"/>
      <w:lvlText w:val="-"/>
      <w:numFmt w:val="bullet"/>
      <w:start w:val="1"/>
    </w:lvl>
  </w:abstractNum>
  <w:abstractNum w:abstractNumId="175">
    <w:nsid w:val="631F1690"/>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176">
    <w:nsid w:val="25973E32"/>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77">
    <w:nsid w:val="EAD6F57"/>
    <w:multiLevelType w:val="hybridMultilevel"/>
    <w:lvl w:ilvl="0">
      <w:lvlJc w:val="left"/>
      <w:lvlText w:val="(%1)"/>
      <w:numFmt w:val="lowerLetter"/>
      <w:start w:val="5"/>
    </w:lvl>
    <w:lvl w:ilvl="1">
      <w:lvlJc w:val="left"/>
      <w:lvlText w:val="-"/>
      <w:numFmt w:val="bullet"/>
      <w:start w:val="1"/>
    </w:lvl>
  </w:abstractNum>
  <w:abstractNum w:abstractNumId="178">
    <w:nsid w:val="6EC9D844"/>
    <w:multiLevelType w:val="hybridMultilevel"/>
    <w:lvl w:ilvl="0">
      <w:lvlJc w:val="left"/>
      <w:lvlText w:val="%1"/>
      <w:numFmt w:val="lowerLetter"/>
      <w:start w:val="1"/>
    </w:lvl>
    <w:lvl w:ilvl="1">
      <w:lvlJc w:val="left"/>
      <w:lvlText w:val="(%2)"/>
      <w:numFmt w:val="lowerLetter"/>
      <w:start w:val="8"/>
    </w:lvl>
  </w:abstractNum>
  <w:abstractNum w:abstractNumId="179">
    <w:nsid w:val="5C49EAEE"/>
    <w:multiLevelType w:val="hybridMultilevel"/>
    <w:lvl w:ilvl="0">
      <w:lvlJc w:val="left"/>
      <w:lvlText w:val="(%1)"/>
      <w:numFmt w:val="lowerLetter"/>
      <w:start w:val="35"/>
    </w:lvl>
    <w:lvl w:ilvl="1">
      <w:lvlJc w:val="left"/>
      <w:lvlText w:val="%2"/>
      <w:numFmt w:val="lowerLetter"/>
      <w:start w:val="1"/>
    </w:lvl>
  </w:abstractNum>
  <w:abstractNum w:abstractNumId="180">
    <w:nsid w:val="64AF49B"/>
    <w:multiLevelType w:val="hybridMultilevel"/>
    <w:lvl w:ilvl="0">
      <w:lvlJc w:val="left"/>
      <w:lvlText w:val="(%1)"/>
      <w:numFmt w:val="lowerLetter"/>
      <w:start w:val="1"/>
    </w:lvl>
    <w:lvl w:ilvl="1">
      <w:lvlJc w:val="left"/>
      <w:lvlText w:val="-"/>
      <w:numFmt w:val="bullet"/>
      <w:start w:val="1"/>
    </w:lvl>
  </w:abstractNum>
  <w:abstractNum w:abstractNumId="181">
    <w:nsid w:val="397C46BC"/>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lvl w:ilvl="3">
      <w:lvlJc w:val="left"/>
      <w:lvlText w:val="-"/>
      <w:numFmt w:val="bullet"/>
      <w:start w:val="1"/>
    </w:lvl>
  </w:abstractNum>
  <w:abstractNum w:abstractNumId="182">
    <w:nsid w:val="7E448DE9"/>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
      <w:numFmt w:val="bullet"/>
      <w:start w:val="1"/>
    </w:lvl>
  </w:abstractNum>
  <w:abstractNum w:abstractNumId="183">
    <w:nsid w:val="5A9CC3E5"/>
    <w:multiLevelType w:val="hybridMultilevel"/>
    <w:lvl w:ilvl="0">
      <w:lvlJc w:val="left"/>
      <w:lvlText w:val="(%1)"/>
      <w:numFmt w:val="lowerRoman"/>
      <w:start w:val="3"/>
    </w:lvl>
  </w:abstractNum>
  <w:abstractNum w:abstractNumId="184">
    <w:nsid w:val="1AFE3625"/>
    <w:multiLevelType w:val="hybridMultilevel"/>
    <w:lvl w:ilvl="0">
      <w:lvlJc w:val="left"/>
      <w:lvlText w:val="(%1)"/>
      <w:numFmt w:val="lowerLetter"/>
      <w:start w:val="1"/>
    </w:lvl>
    <w:lvl w:ilvl="1">
      <w:lvlJc w:val="left"/>
      <w:lvlText w:val="-"/>
      <w:numFmt w:val="bullet"/>
      <w:start w:val="1"/>
    </w:lvl>
  </w:abstractNum>
  <w:abstractNum w:abstractNumId="185">
    <w:nsid w:val="3CA88ECF"/>
    <w:multiLevelType w:val="hybridMultilevel"/>
    <w:lvl w:ilvl="0">
      <w:lvlJc w:val="left"/>
      <w:lvlText w:val="(%1)"/>
      <w:numFmt w:val="upperLetter"/>
      <w:start w:val="1"/>
    </w:lvl>
    <w:lvl w:ilvl="1">
      <w:lvlJc w:val="left"/>
      <w:lvlText w:val="(%2)"/>
      <w:numFmt w:val="lowerRoman"/>
      <w:start w:val="2"/>
    </w:lvl>
  </w:abstractNum>
  <w:abstractNum w:abstractNumId="186">
    <w:nsid w:val="6EBE420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87">
    <w:nsid w:val="C058DF5"/>
    <w:multiLevelType w:val="hybridMultilevel"/>
    <w:lvl w:ilvl="0">
      <w:lvlJc w:val="left"/>
      <w:lvlText w:val="(%1)"/>
      <w:numFmt w:val="lowerRoman"/>
      <w:start w:val="4"/>
    </w:lvl>
    <w:lvl w:ilvl="1">
      <w:lvlJc w:val="left"/>
      <w:lvlText w:val="-"/>
      <w:numFmt w:val="bullet"/>
      <w:start w:val="1"/>
    </w:lvl>
  </w:abstractNum>
  <w:abstractNum w:abstractNumId="188">
    <w:nsid w:val="CBE5BE9"/>
    <w:multiLevelType w:val="hybridMultilevel"/>
    <w:lvl w:ilvl="0">
      <w:lvlJc w:val="left"/>
      <w:lvlText w:val="(%1)"/>
      <w:numFmt w:val="lowerRoman"/>
      <w:start w:val="9"/>
    </w:lvl>
    <w:lvl w:ilvl="1">
      <w:lvlJc w:val="left"/>
      <w:lvlText w:val="-"/>
      <w:numFmt w:val="bullet"/>
      <w:start w:val="1"/>
    </w:lvl>
  </w:abstractNum>
  <w:abstractNum w:abstractNumId="189">
    <w:nsid w:val="3102BBE2"/>
    <w:multiLevelType w:val="hybridMultilevel"/>
    <w:lvl w:ilvl="0">
      <w:lvlJc w:val="left"/>
      <w:lvlText w:val="%1"/>
      <w:numFmt w:val="lowerLetter"/>
      <w:start w:val="1"/>
    </w:lvl>
    <w:lvl w:ilvl="1">
      <w:lvlJc w:val="left"/>
      <w:lvlText w:val="(%2)"/>
      <w:numFmt w:val="lowerRoman"/>
      <w:start w:val="16"/>
    </w:lvl>
    <w:lvl w:ilvl="2">
      <w:lvlJc w:val="left"/>
      <w:lvlText w:val="-"/>
      <w:numFmt w:val="bullet"/>
      <w:start w:val="1"/>
    </w:lvl>
  </w:abstractNum>
  <w:abstractNum w:abstractNumId="190">
    <w:nsid w:val="26A02C5E"/>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91">
    <w:nsid w:val="541C8153"/>
    <w:multiLevelType w:val="hybridMultilevel"/>
    <w:lvl w:ilvl="0">
      <w:lvlJc w:val="left"/>
      <w:lvlText w:val="(%1)"/>
      <w:numFmt w:val="lowerLetter"/>
      <w:start w:val="1"/>
    </w:lvl>
  </w:abstractNum>
  <w:abstractNum w:abstractNumId="192">
    <w:nsid w:val="67906F60"/>
    <w:multiLevelType w:val="hybridMultilevel"/>
    <w:lvl w:ilvl="0">
      <w:lvlJc w:val="left"/>
      <w:lvlText w:val="(%1)"/>
      <w:numFmt w:val="lowerLetter"/>
      <w:start w:val="1"/>
    </w:lvl>
    <w:lvl w:ilvl="1">
      <w:lvlJc w:val="left"/>
      <w:lvlText w:val="-"/>
      <w:numFmt w:val="bullet"/>
      <w:start w:val="1"/>
    </w:lvl>
  </w:abstractNum>
  <w:abstractNum w:abstractNumId="193">
    <w:nsid w:val="10DB9DAA"/>
    <w:multiLevelType w:val="hybridMultilevel"/>
    <w:lvl w:ilvl="0">
      <w:lvlJc w:val="left"/>
      <w:lvlText w:val="(%1)"/>
      <w:numFmt w:val="lowerLetter"/>
      <w:start w:val="2"/>
    </w:lvl>
    <w:lvl w:ilvl="1">
      <w:lvlJc w:val="left"/>
      <w:lvlText w:val="-"/>
      <w:numFmt w:val="bullet"/>
      <w:start w:val="1"/>
    </w:lvl>
  </w:abstractNum>
  <w:abstractNum w:abstractNumId="194">
    <w:nsid w:val="697D2D2"/>
    <w:multiLevelType w:val="hybridMultilevel"/>
    <w:lvl w:ilvl="0">
      <w:lvlJc w:val="left"/>
      <w:lvlText w:val="(%1)"/>
      <w:numFmt w:val="lowerLetter"/>
      <w:start w:val="4"/>
    </w:lvl>
    <w:lvl w:ilvl="1">
      <w:lvlJc w:val="left"/>
      <w:lvlText w:val="-"/>
      <w:numFmt w:val="bullet"/>
      <w:start w:val="1"/>
    </w:lvl>
  </w:abstractNum>
  <w:abstractNum w:abstractNumId="195">
    <w:nsid w:val="6D68AB2"/>
    <w:multiLevelType w:val="hybridMultilevel"/>
    <w:lvl w:ilvl="0">
      <w:lvlJc w:val="left"/>
      <w:lvlText w:val="(%1)"/>
      <w:numFmt w:val="lowerLetter"/>
      <w:start w:val="5"/>
    </w:lvl>
  </w:abstractNum>
  <w:abstractNum w:abstractNumId="196">
    <w:nsid w:val="3A966CD0"/>
    <w:multiLevelType w:val="hybridMultilevel"/>
    <w:lvl w:ilvl="0">
      <w:lvlJc w:val="left"/>
      <w:lvlText w:val="(%1)"/>
      <w:numFmt w:val="decimal"/>
      <w:start w:val="4"/>
    </w:lvl>
  </w:abstractNum>
  <w:abstractNum w:abstractNumId="197">
    <w:nsid w:val="63F37E85"/>
    <w:multiLevelType w:val="hybridMultilevel"/>
    <w:lvl w:ilvl="0">
      <w:lvlJc w:val="left"/>
      <w:lvlText w:val="(%1)"/>
      <w:numFmt w:val="lowerLetter"/>
      <w:start w:val="35"/>
    </w:lvl>
    <w:lvl w:ilvl="1">
      <w:lvlJc w:val="left"/>
      <w:lvlText w:val="(%2)"/>
      <w:numFmt w:val="lowerLetter"/>
      <w:start w:val="2"/>
    </w:lvl>
  </w:abstractNum>
  <w:abstractNum w:abstractNumId="198">
    <w:nsid w:val="5895F5FA"/>
    <w:multiLevelType w:val="hybridMultilevel"/>
    <w:lvl w:ilvl="0">
      <w:lvlJc w:val="left"/>
      <w:lvlText w:val="(%1)"/>
      <w:numFmt w:val="lowerLetter"/>
      <w:start w:val="2"/>
    </w:lvl>
  </w:abstractNum>
  <w:abstractNum w:abstractNumId="199">
    <w:nsid w:val="38A5D054"/>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2019-12-15T14:39:34Z</dcterms:created>
  <dcterms:modified xsi:type="dcterms:W3CDTF">2019-12-15T14:39:34Z</dcterms:modified>
</cp:coreProperties>
</file>