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213995</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257175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4"/>
          <w:szCs w:val="24"/>
          <w:color w:val="auto"/>
        </w:rPr>
      </w:pPr>
    </w:p>
    <w:p>
      <w:pPr>
        <w:spacing w:after="0" w:line="238"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2825115</wp:posOffset>
            </wp:positionH>
            <wp:positionV relativeFrom="paragraph">
              <wp:posOffset>141605</wp:posOffset>
            </wp:positionV>
            <wp:extent cx="149161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91615" cy="8890"/>
                    </a:xfrm>
                    <a:prstGeom prst="rect">
                      <a:avLst/>
                    </a:prstGeom>
                    <a:noFill/>
                  </pic:spPr>
                </pic:pic>
              </a:graphicData>
            </a:graphic>
          </wp:anchor>
        </w:drawing>
      </w:r>
    </w:p>
    <w:p>
      <w:pPr>
        <w:spacing w:after="0" w:line="283"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2825115</wp:posOffset>
            </wp:positionH>
            <wp:positionV relativeFrom="paragraph">
              <wp:posOffset>169545</wp:posOffset>
            </wp:positionV>
            <wp:extent cx="149161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91615" cy="8255"/>
                    </a:xfrm>
                    <a:prstGeom prst="rect">
                      <a:avLst/>
                    </a:prstGeom>
                    <a:noFill/>
                  </pic:spPr>
                </pic:pic>
              </a:graphicData>
            </a:graphic>
          </wp:anchor>
        </w:drawing>
      </w:r>
    </w:p>
    <w:p>
      <w:pPr>
        <w:spacing w:after="0" w:line="350" w:lineRule="exact"/>
        <w:rPr>
          <w:sz w:val="24"/>
          <w:szCs w:val="24"/>
          <w:color w:val="auto"/>
        </w:rPr>
      </w:pPr>
    </w:p>
    <w:p>
      <w:pPr>
        <w:spacing w:after="0"/>
        <w:rPr>
          <w:sz w:val="20"/>
          <w:szCs w:val="20"/>
          <w:color w:val="auto"/>
        </w:rPr>
      </w:pPr>
      <w:r>
        <w:rPr>
          <w:rFonts w:ascii="Arial" w:cs="Arial" w:eastAsia="Arial" w:hAnsi="Arial"/>
          <w:sz w:val="14"/>
          <w:szCs w:val="14"/>
          <w:color w:val="auto"/>
        </w:rPr>
        <w:t>(Mark One)</w:t>
      </w:r>
    </w:p>
    <w:p>
      <w:pPr>
        <w:spacing w:after="0" w:line="3" w:lineRule="exact"/>
        <w:rPr>
          <w:sz w:val="24"/>
          <w:szCs w:val="24"/>
          <w:color w:val="auto"/>
        </w:rPr>
      </w:pPr>
    </w:p>
    <w:p>
      <w:pPr>
        <w:ind w:left="460" w:right="300" w:hanging="452"/>
        <w:spacing w:after="0" w:line="236" w:lineRule="auto"/>
        <w:tabs>
          <w:tab w:leader="none" w:pos="46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122"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 THE QUARTER ENDED DECEMBER 31, 2013</w:t>
      </w:r>
    </w:p>
    <w:p>
      <w:pPr>
        <w:spacing w:after="0" w:line="144"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OR</w:t>
      </w:r>
    </w:p>
    <w:p>
      <w:pPr>
        <w:spacing w:after="0" w:line="148" w:lineRule="exact"/>
        <w:rPr>
          <w:sz w:val="24"/>
          <w:szCs w:val="24"/>
          <w:color w:val="auto"/>
        </w:rPr>
      </w:pPr>
    </w:p>
    <w:p>
      <w:pPr>
        <w:ind w:left="460" w:right="280" w:hanging="452"/>
        <w:spacing w:after="0" w:line="256" w:lineRule="auto"/>
        <w:tabs>
          <w:tab w:leader="none" w:pos="46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104" w:lineRule="exact"/>
        <w:rPr>
          <w:sz w:val="24"/>
          <w:szCs w:val="24"/>
          <w:color w:val="auto"/>
        </w:rPr>
      </w:pPr>
    </w:p>
    <w:p>
      <w:pPr>
        <w:ind w:left="3280"/>
        <w:spacing w:after="0"/>
        <w:tabs>
          <w:tab w:leader="none" w:pos="712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8"/>
          <w:szCs w:val="18"/>
          <w:b w:val="1"/>
          <w:bCs w:val="1"/>
          <w:color w:val="auto"/>
        </w:rPr>
        <w:t>TO</w:t>
      </w:r>
    </w:p>
    <w:p>
      <w:pPr>
        <w:spacing w:after="0" w:line="158"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COMMISSION FILE NUMBER: 814-00736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2825115</wp:posOffset>
            </wp:positionH>
            <wp:positionV relativeFrom="paragraph">
              <wp:posOffset>163195</wp:posOffset>
            </wp:positionV>
            <wp:extent cx="149161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91615" cy="8255"/>
                    </a:xfrm>
                    <a:prstGeom prst="rect">
                      <a:avLst/>
                    </a:prstGeom>
                    <a:noFill/>
                  </pic:spPr>
                </pic:pic>
              </a:graphicData>
            </a:graphic>
          </wp:anchor>
        </w:drawing>
      </w:r>
    </w:p>
    <w:p>
      <w:pPr>
        <w:spacing w:after="0" w:line="315" w:lineRule="exact"/>
        <w:rPr>
          <w:sz w:val="24"/>
          <w:szCs w:val="24"/>
          <w:color w:val="auto"/>
        </w:rPr>
      </w:pPr>
    </w:p>
    <w:p>
      <w:pPr>
        <w:jc w:val="center"/>
        <w:ind w:right="-19"/>
        <w:spacing w:after="0"/>
        <w:rPr>
          <w:sz w:val="20"/>
          <w:szCs w:val="20"/>
          <w:color w:val="auto"/>
        </w:rPr>
      </w:pPr>
      <w:r>
        <w:rPr>
          <w:rFonts w:ascii="Arial" w:cs="Arial" w:eastAsia="Arial" w:hAnsi="Arial"/>
          <w:sz w:val="43"/>
          <w:szCs w:val="43"/>
          <w:b w:val="1"/>
          <w:bCs w:val="1"/>
          <w:color w:val="auto"/>
        </w:rPr>
        <w:t>PENNANTPARK INVESTMENT</w:t>
      </w:r>
    </w:p>
    <w:p>
      <w:pPr>
        <w:spacing w:after="0" w:line="55" w:lineRule="exact"/>
        <w:rPr>
          <w:sz w:val="24"/>
          <w:szCs w:val="24"/>
          <w:color w:val="auto"/>
        </w:rPr>
      </w:pPr>
    </w:p>
    <w:p>
      <w:pPr>
        <w:jc w:val="center"/>
        <w:ind w:right="-19"/>
        <w:spacing w:after="0"/>
        <w:rPr>
          <w:sz w:val="20"/>
          <w:szCs w:val="20"/>
          <w:color w:val="auto"/>
        </w:rPr>
      </w:pPr>
      <w:r>
        <w:rPr>
          <w:rFonts w:ascii="Arial" w:cs="Arial" w:eastAsia="Arial" w:hAnsi="Arial"/>
          <w:sz w:val="43"/>
          <w:szCs w:val="43"/>
          <w:b w:val="1"/>
          <w:bCs w:val="1"/>
          <w:color w:val="auto"/>
        </w:rPr>
        <w:t>CORPORATION</w:t>
      </w:r>
    </w:p>
    <w:p>
      <w:pPr>
        <w:jc w:val="center"/>
        <w:ind w:right="-1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2825115</wp:posOffset>
            </wp:positionH>
            <wp:positionV relativeFrom="paragraph">
              <wp:posOffset>150495</wp:posOffset>
            </wp:positionV>
            <wp:extent cx="149161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91615" cy="8890"/>
                    </a:xfrm>
                    <a:prstGeom prst="rect">
                      <a:avLst/>
                    </a:prstGeom>
                    <a:noFill/>
                  </pic:spPr>
                </pic:pic>
              </a:graphicData>
            </a:graphic>
          </wp:anchor>
        </w:drawing>
      </w:r>
    </w:p>
    <w:p>
      <w:pPr>
        <w:spacing w:after="0" w:line="374" w:lineRule="exact"/>
        <w:rPr>
          <w:sz w:val="24"/>
          <w:szCs w:val="24"/>
          <w:color w:val="auto"/>
        </w:rPr>
      </w:pPr>
    </w:p>
    <w:tbl>
      <w:tblPr>
        <w:tblLayout w:type="fixed"/>
        <w:tblInd w:w="1600" w:type="dxa"/>
        <w:tblCellMar>
          <w:top w:w="0" w:type="dxa"/>
          <w:left w:w="0" w:type="dxa"/>
          <w:bottom w:w="0" w:type="dxa"/>
          <w:right w:w="0" w:type="dxa"/>
        </w:tblCellMar>
      </w:tblPr>
      <w:tr>
        <w:trPr>
          <w:trHeight w:val="212"/>
        </w:trPr>
        <w:tc>
          <w:tcPr>
            <w:tcW w:w="6040" w:type="dxa"/>
            <w:vAlign w:val="bottom"/>
          </w:tcPr>
          <w:p>
            <w:pPr>
              <w:jc w:val="center"/>
              <w:ind w:right="3459"/>
              <w:spacing w:after="0"/>
              <w:rPr>
                <w:sz w:val="20"/>
                <w:szCs w:val="20"/>
                <w:color w:val="auto"/>
              </w:rPr>
            </w:pPr>
            <w:r>
              <w:rPr>
                <w:rFonts w:ascii="Arial" w:cs="Arial" w:eastAsia="Arial" w:hAnsi="Arial"/>
                <w:sz w:val="18"/>
                <w:szCs w:val="18"/>
                <w:b w:val="1"/>
                <w:bCs w:val="1"/>
                <w:color w:val="auto"/>
              </w:rPr>
              <w:t>MARYLAND</w:t>
            </w:r>
          </w:p>
        </w:tc>
        <w:tc>
          <w:tcPr>
            <w:tcW w:w="1440" w:type="dxa"/>
            <w:vAlign w:val="bottom"/>
          </w:tcPr>
          <w:p>
            <w:pPr>
              <w:jc w:val="right"/>
              <w:ind w:right="61"/>
              <w:spacing w:after="0"/>
              <w:rPr>
                <w:sz w:val="20"/>
                <w:szCs w:val="20"/>
                <w:color w:val="auto"/>
              </w:rPr>
            </w:pPr>
            <w:r>
              <w:rPr>
                <w:rFonts w:ascii="Arial" w:cs="Arial" w:eastAsia="Arial" w:hAnsi="Arial"/>
                <w:sz w:val="18"/>
                <w:szCs w:val="18"/>
                <w:b w:val="1"/>
                <w:bCs w:val="1"/>
                <w:color w:val="auto"/>
              </w:rPr>
              <w:t>20-8250744</w:t>
            </w:r>
          </w:p>
        </w:tc>
      </w:tr>
      <w:tr>
        <w:trPr>
          <w:trHeight w:val="148"/>
        </w:trPr>
        <w:tc>
          <w:tcPr>
            <w:tcW w:w="6040" w:type="dxa"/>
            <w:vAlign w:val="bottom"/>
          </w:tcPr>
          <w:p>
            <w:pPr>
              <w:jc w:val="center"/>
              <w:ind w:right="3479"/>
              <w:spacing w:after="0" w:line="149" w:lineRule="exact"/>
              <w:rPr>
                <w:sz w:val="20"/>
                <w:szCs w:val="20"/>
                <w:color w:val="auto"/>
              </w:rPr>
            </w:pPr>
            <w:r>
              <w:rPr>
                <w:rFonts w:ascii="Arial" w:cs="Arial" w:eastAsia="Arial" w:hAnsi="Arial"/>
                <w:sz w:val="14"/>
                <w:szCs w:val="14"/>
                <w:b w:val="1"/>
                <w:bCs w:val="1"/>
                <w:color w:val="auto"/>
                <w:w w:val="93"/>
              </w:rPr>
              <w:t>(State or other jurisdiction of</w:t>
            </w:r>
          </w:p>
        </w:tc>
        <w:tc>
          <w:tcPr>
            <w:tcW w:w="1440" w:type="dxa"/>
            <w:vAlign w:val="bottom"/>
          </w:tcPr>
          <w:p>
            <w:pPr>
              <w:jc w:val="center"/>
              <w:ind w:left="241"/>
              <w:spacing w:after="0" w:line="149" w:lineRule="exact"/>
              <w:rPr>
                <w:sz w:val="20"/>
                <w:szCs w:val="20"/>
                <w:color w:val="auto"/>
              </w:rPr>
            </w:pPr>
            <w:r>
              <w:rPr>
                <w:rFonts w:ascii="Arial" w:cs="Arial" w:eastAsia="Arial" w:hAnsi="Arial"/>
                <w:sz w:val="14"/>
                <w:szCs w:val="14"/>
                <w:b w:val="1"/>
                <w:bCs w:val="1"/>
                <w:color w:val="auto"/>
                <w:w w:val="96"/>
              </w:rPr>
              <w:t>(I.R.S. Employer</w:t>
            </w:r>
          </w:p>
        </w:tc>
      </w:tr>
      <w:tr>
        <w:trPr>
          <w:trHeight w:val="186"/>
        </w:trPr>
        <w:tc>
          <w:tcPr>
            <w:tcW w:w="6040" w:type="dxa"/>
            <w:vAlign w:val="bottom"/>
          </w:tcPr>
          <w:p>
            <w:pPr>
              <w:jc w:val="center"/>
              <w:ind w:right="3479"/>
              <w:spacing w:after="0"/>
              <w:rPr>
                <w:sz w:val="20"/>
                <w:szCs w:val="20"/>
                <w:color w:val="auto"/>
              </w:rPr>
            </w:pPr>
            <w:r>
              <w:rPr>
                <w:rFonts w:ascii="Arial" w:cs="Arial" w:eastAsia="Arial" w:hAnsi="Arial"/>
                <w:sz w:val="14"/>
                <w:szCs w:val="14"/>
                <w:b w:val="1"/>
                <w:bCs w:val="1"/>
                <w:color w:val="auto"/>
                <w:w w:val="94"/>
              </w:rPr>
              <w:t>incorporation or organization)</w:t>
            </w:r>
          </w:p>
        </w:tc>
        <w:tc>
          <w:tcPr>
            <w:tcW w:w="1440" w:type="dxa"/>
            <w:vAlign w:val="bottom"/>
          </w:tcPr>
          <w:p>
            <w:pPr>
              <w:jc w:val="center"/>
              <w:ind w:left="221"/>
              <w:spacing w:after="0"/>
              <w:rPr>
                <w:sz w:val="20"/>
                <w:szCs w:val="20"/>
                <w:color w:val="auto"/>
              </w:rPr>
            </w:pPr>
            <w:r>
              <w:rPr>
                <w:rFonts w:ascii="Arial" w:cs="Arial" w:eastAsia="Arial" w:hAnsi="Arial"/>
                <w:sz w:val="14"/>
                <w:szCs w:val="14"/>
                <w:b w:val="1"/>
                <w:bCs w:val="1"/>
                <w:color w:val="auto"/>
                <w:w w:val="96"/>
              </w:rPr>
              <w:t>Identification No.)</w:t>
            </w:r>
          </w:p>
        </w:tc>
      </w:tr>
      <w:tr>
        <w:trPr>
          <w:trHeight w:val="412"/>
        </w:trPr>
        <w:tc>
          <w:tcPr>
            <w:tcW w:w="6040" w:type="dxa"/>
            <w:vAlign w:val="bottom"/>
          </w:tcPr>
          <w:p>
            <w:pPr>
              <w:jc w:val="center"/>
              <w:ind w:right="3479"/>
              <w:spacing w:after="0"/>
              <w:rPr>
                <w:sz w:val="20"/>
                <w:szCs w:val="20"/>
                <w:color w:val="auto"/>
              </w:rPr>
            </w:pPr>
            <w:r>
              <w:rPr>
                <w:rFonts w:ascii="Arial" w:cs="Arial" w:eastAsia="Arial" w:hAnsi="Arial"/>
                <w:sz w:val="18"/>
                <w:szCs w:val="18"/>
                <w:b w:val="1"/>
                <w:bCs w:val="1"/>
                <w:color w:val="auto"/>
                <w:w w:val="91"/>
              </w:rPr>
              <w:t>590 Madison Avenue, 15</w:t>
            </w:r>
            <w:r>
              <w:rPr>
                <w:rFonts w:ascii="Arial" w:cs="Arial" w:eastAsia="Arial" w:hAnsi="Arial"/>
                <w:sz w:val="15"/>
                <w:szCs w:val="15"/>
                <w:b w:val="1"/>
                <w:bCs w:val="1"/>
                <w:color w:val="auto"/>
                <w:w w:val="91"/>
              </w:rPr>
              <w:t>th</w:t>
            </w:r>
            <w:r>
              <w:rPr>
                <w:rFonts w:ascii="Arial" w:cs="Arial" w:eastAsia="Arial" w:hAnsi="Arial"/>
                <w:sz w:val="18"/>
                <w:szCs w:val="18"/>
                <w:b w:val="1"/>
                <w:bCs w:val="1"/>
                <w:color w:val="auto"/>
                <w:w w:val="91"/>
              </w:rPr>
              <w:t xml:space="preserve"> Floor</w:t>
            </w:r>
          </w:p>
        </w:tc>
        <w:tc>
          <w:tcPr>
            <w:tcW w:w="1440" w:type="dxa"/>
            <w:vAlign w:val="bottom"/>
          </w:tcPr>
          <w:p>
            <w:pPr>
              <w:spacing w:after="0"/>
              <w:rPr>
                <w:sz w:val="24"/>
                <w:szCs w:val="24"/>
                <w:color w:val="auto"/>
              </w:rPr>
            </w:pPr>
          </w:p>
        </w:tc>
      </w:tr>
      <w:tr>
        <w:trPr>
          <w:trHeight w:val="225"/>
        </w:trPr>
        <w:tc>
          <w:tcPr>
            <w:tcW w:w="6040" w:type="dxa"/>
            <w:vAlign w:val="bottom"/>
          </w:tcPr>
          <w:p>
            <w:pPr>
              <w:jc w:val="center"/>
              <w:ind w:right="3479"/>
              <w:spacing w:after="0"/>
              <w:rPr>
                <w:sz w:val="20"/>
                <w:szCs w:val="20"/>
                <w:color w:val="auto"/>
              </w:rPr>
            </w:pPr>
            <w:r>
              <w:rPr>
                <w:rFonts w:ascii="Arial" w:cs="Arial" w:eastAsia="Arial" w:hAnsi="Arial"/>
                <w:sz w:val="18"/>
                <w:szCs w:val="18"/>
                <w:b w:val="1"/>
                <w:bCs w:val="1"/>
                <w:color w:val="auto"/>
                <w:w w:val="94"/>
              </w:rPr>
              <w:t>New York, N.Y.</w:t>
            </w:r>
          </w:p>
        </w:tc>
        <w:tc>
          <w:tcPr>
            <w:tcW w:w="1440" w:type="dxa"/>
            <w:vAlign w:val="bottom"/>
          </w:tcPr>
          <w:p>
            <w:pPr>
              <w:jc w:val="right"/>
              <w:ind w:right="261"/>
              <w:spacing w:after="0"/>
              <w:rPr>
                <w:sz w:val="20"/>
                <w:szCs w:val="20"/>
                <w:color w:val="auto"/>
              </w:rPr>
            </w:pPr>
            <w:r>
              <w:rPr>
                <w:rFonts w:ascii="Arial" w:cs="Arial" w:eastAsia="Arial" w:hAnsi="Arial"/>
                <w:sz w:val="18"/>
                <w:szCs w:val="18"/>
                <w:b w:val="1"/>
                <w:bCs w:val="1"/>
                <w:color w:val="auto"/>
              </w:rPr>
              <w:t>10022</w:t>
            </w:r>
          </w:p>
        </w:tc>
      </w:tr>
      <w:tr>
        <w:trPr>
          <w:trHeight w:val="186"/>
        </w:trPr>
        <w:tc>
          <w:tcPr>
            <w:tcW w:w="6040" w:type="dxa"/>
            <w:vAlign w:val="bottom"/>
          </w:tcPr>
          <w:p>
            <w:pPr>
              <w:jc w:val="center"/>
              <w:ind w:right="3459"/>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1440" w:type="dxa"/>
            <w:vAlign w:val="bottom"/>
          </w:tcPr>
          <w:p>
            <w:pPr>
              <w:jc w:val="center"/>
              <w:ind w:left="221"/>
              <w:spacing w:after="0"/>
              <w:rPr>
                <w:sz w:val="20"/>
                <w:szCs w:val="20"/>
                <w:color w:val="auto"/>
              </w:rPr>
            </w:pPr>
            <w:r>
              <w:rPr>
                <w:rFonts w:ascii="Arial" w:cs="Arial" w:eastAsia="Arial" w:hAnsi="Arial"/>
                <w:sz w:val="14"/>
                <w:szCs w:val="14"/>
                <w:b w:val="1"/>
                <w:bCs w:val="1"/>
                <w:color w:val="auto"/>
                <w:w w:val="95"/>
              </w:rPr>
              <w:t>(Zip Code)</w:t>
            </w:r>
          </w:p>
        </w:tc>
      </w:tr>
      <w:tr>
        <w:trPr>
          <w:trHeight w:val="327"/>
        </w:trPr>
        <w:tc>
          <w:tcPr>
            <w:tcW w:w="6040" w:type="dxa"/>
            <w:vAlign w:val="bottom"/>
          </w:tcPr>
          <w:p>
            <w:pPr>
              <w:jc w:val="right"/>
              <w:ind w:right="1359"/>
              <w:spacing w:after="0"/>
              <w:rPr>
                <w:sz w:val="20"/>
                <w:szCs w:val="20"/>
                <w:color w:val="auto"/>
              </w:rPr>
            </w:pPr>
            <w:r>
              <w:rPr>
                <w:rFonts w:ascii="Arial" w:cs="Arial" w:eastAsia="Arial" w:hAnsi="Arial"/>
                <w:sz w:val="18"/>
                <w:szCs w:val="18"/>
                <w:b w:val="1"/>
                <w:bCs w:val="1"/>
                <w:color w:val="auto"/>
              </w:rPr>
              <w:t>(212)-905-1000</w:t>
            </w:r>
          </w:p>
        </w:tc>
        <w:tc>
          <w:tcPr>
            <w:tcW w:w="1440" w:type="dxa"/>
            <w:vAlign w:val="bottom"/>
          </w:tcPr>
          <w:p>
            <w:pPr>
              <w:spacing w:after="0"/>
              <w:rPr>
                <w:sz w:val="24"/>
                <w:szCs w:val="24"/>
                <w:color w:val="auto"/>
              </w:rPr>
            </w:pPr>
          </w:p>
        </w:tc>
      </w:tr>
      <w:tr>
        <w:trPr>
          <w:trHeight w:val="186"/>
        </w:trPr>
        <w:tc>
          <w:tcPr>
            <w:tcW w:w="6040" w:type="dxa"/>
            <w:vAlign w:val="bottom"/>
          </w:tcPr>
          <w:p>
            <w:pPr>
              <w:jc w:val="center"/>
              <w:ind w:left="1919"/>
              <w:spacing w:after="0"/>
              <w:rPr>
                <w:sz w:val="20"/>
                <w:szCs w:val="20"/>
                <w:color w:val="auto"/>
              </w:rPr>
            </w:pPr>
            <w:r>
              <w:rPr>
                <w:rFonts w:ascii="Arial" w:cs="Arial" w:eastAsia="Arial" w:hAnsi="Arial"/>
                <w:sz w:val="14"/>
                <w:szCs w:val="14"/>
                <w:b w:val="1"/>
                <w:bCs w:val="1"/>
                <w:color w:val="auto"/>
                <w:w w:val="93"/>
              </w:rPr>
              <w:t>(Registrant’s Telephone Number, Including Area Code)</w:t>
            </w:r>
          </w:p>
        </w:tc>
        <w:tc>
          <w:tcPr>
            <w:tcW w:w="1440" w:type="dxa"/>
            <w:vAlign w:val="bottom"/>
          </w:tcPr>
          <w:p>
            <w:pPr>
              <w:spacing w:after="0"/>
              <w:rPr>
                <w:sz w:val="16"/>
                <w:szCs w:val="16"/>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2825115</wp:posOffset>
            </wp:positionH>
            <wp:positionV relativeFrom="paragraph">
              <wp:posOffset>136525</wp:posOffset>
            </wp:positionV>
            <wp:extent cx="149161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91615" cy="8255"/>
                    </a:xfrm>
                    <a:prstGeom prst="rect">
                      <a:avLst/>
                    </a:prstGeom>
                    <a:noFill/>
                  </pic:spPr>
                </pic:pic>
              </a:graphicData>
            </a:graphic>
          </wp:anchor>
        </w:drawing>
      </w:r>
    </w:p>
    <w:p>
      <w:pPr>
        <w:spacing w:after="0" w:line="302" w:lineRule="exact"/>
        <w:rPr>
          <w:sz w:val="24"/>
          <w:szCs w:val="24"/>
          <w:color w:val="auto"/>
        </w:rPr>
      </w:pPr>
    </w:p>
    <w:p>
      <w:pPr>
        <w:ind w:right="260" w:firstLine="449"/>
        <w:spacing w:after="0" w:line="233" w:lineRule="exact"/>
        <w:rPr>
          <w:sz w:val="20"/>
          <w:szCs w:val="20"/>
          <w:color w:val="auto"/>
        </w:rPr>
      </w:pPr>
      <w:r>
        <w:rPr>
          <w:rFonts w:ascii="Arial" w:cs="Arial" w:eastAsia="Arial" w:hAnsi="Arial"/>
          <w:sz w:val="17"/>
          <w:szCs w:val="17"/>
          <w:color w:val="auto"/>
        </w:rPr>
        <w:t xml:space="preserve">Indicate by check mark whether the registrant (1) has filed all reports required to be filed by Section 13 or 15(d) of the Securities Exchange Act of 1934 during the preceding 12 months and (2) has been subject to such filing requirements for the past 90 days. Yes </w:t>
      </w:r>
      <w:r>
        <w:rPr>
          <w:rFonts w:ascii="MS PGothic" w:cs="MS PGothic" w:eastAsia="MS PGothic" w:hAnsi="MS PGothic"/>
          <w:sz w:val="17"/>
          <w:szCs w:val="17"/>
          <w:color w:val="auto"/>
        </w:rPr>
        <w:t>☒</w:t>
      </w:r>
      <w:r>
        <w:rPr>
          <w:rFonts w:ascii="Arial" w:cs="Arial" w:eastAsia="Arial" w:hAnsi="Arial"/>
          <w:sz w:val="17"/>
          <w:szCs w:val="17"/>
          <w:color w:val="auto"/>
        </w:rPr>
        <w:t xml:space="preserve"> No </w:t>
      </w:r>
      <w:r>
        <w:rPr>
          <w:rFonts w:ascii="MS PGothic" w:cs="MS PGothic" w:eastAsia="MS PGothic" w:hAnsi="MS PGothic"/>
          <w:sz w:val="17"/>
          <w:szCs w:val="17"/>
          <w:color w:val="auto"/>
        </w:rPr>
        <w:t>☐</w:t>
      </w:r>
    </w:p>
    <w:p>
      <w:pPr>
        <w:spacing w:after="0" w:line="115" w:lineRule="exact"/>
        <w:rPr>
          <w:sz w:val="24"/>
          <w:szCs w:val="24"/>
          <w:color w:val="auto"/>
        </w:rPr>
      </w:pPr>
    </w:p>
    <w:p>
      <w:pPr>
        <w:ind w:right="80" w:firstLine="449"/>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03" w:lineRule="exact"/>
        <w:rPr>
          <w:sz w:val="24"/>
          <w:szCs w:val="24"/>
          <w:color w:val="auto"/>
        </w:rPr>
      </w:pPr>
    </w:p>
    <w:p>
      <w:pPr>
        <w:ind w:right="40" w:firstLine="449"/>
        <w:spacing w:after="0" w:line="277" w:lineRule="auto"/>
        <w:rPr>
          <w:sz w:val="20"/>
          <w:szCs w:val="20"/>
          <w:color w:val="auto"/>
        </w:rPr>
      </w:pPr>
      <w:r>
        <w:rPr>
          <w:rFonts w:ascii="Arial" w:cs="Arial" w:eastAsia="Arial" w:hAnsi="Arial"/>
          <w:sz w:val="18"/>
          <w:szCs w:val="18"/>
          <w:color w:val="auto"/>
        </w:rPr>
        <w:t>Indicate by check mark whether the registrant is a large accelerated filer, an accelerated filer, or a non-accelerated filer. See definition of “accelerated filer” and “large accelerated filer” in Rule 12b-2 of the Exchange Act.</w:t>
      </w:r>
    </w:p>
    <w:p>
      <w:pPr>
        <w:sectPr>
          <w:pgSz w:w="11900" w:h="16838" w:orient="portrait"/>
          <w:cols w:equalWidth="0" w:num="1">
            <w:col w:w="11240"/>
          </w:cols>
          <w:pgMar w:left="320" w:top="230" w:right="339" w:bottom="1440" w:gutter="0" w:footer="0" w:header="0"/>
        </w:sectPr>
      </w:pPr>
    </w:p>
    <w:p>
      <w:pPr>
        <w:spacing w:after="0" w:line="103" w:lineRule="exact"/>
        <w:rPr>
          <w:sz w:val="24"/>
          <w:szCs w:val="24"/>
          <w:color w:val="auto"/>
        </w:rPr>
      </w:pPr>
    </w:p>
    <w:p>
      <w:pPr>
        <w:spacing w:after="0"/>
        <w:rPr>
          <w:sz w:val="20"/>
          <w:szCs w:val="20"/>
          <w:color w:val="auto"/>
        </w:rPr>
      </w:pPr>
      <w:r>
        <w:rPr>
          <w:rFonts w:ascii="Arial" w:cs="Arial" w:eastAsia="Arial" w:hAnsi="Arial"/>
          <w:sz w:val="16"/>
          <w:szCs w:val="16"/>
          <w:color w:val="auto"/>
        </w:rPr>
        <w:t>Large accelerated filer</w:t>
      </w:r>
    </w:p>
    <w:p>
      <w:pPr>
        <w:spacing w:after="0" w:line="20" w:lineRule="exact"/>
        <w:rPr>
          <w:sz w:val="24"/>
          <w:szCs w:val="24"/>
          <w:color w:val="auto"/>
        </w:rPr>
      </w:pPr>
      <w:r>
        <w:rPr>
          <w:sz w:val="24"/>
          <w:szCs w:val="24"/>
          <w:color w:val="auto"/>
        </w:rPr>
        <w:br w:type="column"/>
      </w:r>
    </w:p>
    <w:p>
      <w:pPr>
        <w:spacing w:after="0" w:line="50"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83" w:lineRule="exact"/>
        <w:rPr>
          <w:sz w:val="24"/>
          <w:szCs w:val="24"/>
          <w:color w:val="auto"/>
        </w:rPr>
      </w:pPr>
    </w:p>
    <w:p>
      <w:pPr>
        <w:spacing w:after="0"/>
        <w:rPr>
          <w:sz w:val="20"/>
          <w:szCs w:val="20"/>
          <w:color w:val="auto"/>
        </w:rPr>
      </w:pPr>
      <w:r>
        <w:rPr>
          <w:rFonts w:ascii="Arial" w:cs="Arial" w:eastAsia="Arial" w:hAnsi="Arial"/>
          <w:sz w:val="17"/>
          <w:szCs w:val="17"/>
          <w:color w:val="auto"/>
        </w:rPr>
        <w:t>Accelerated filer</w:t>
      </w:r>
    </w:p>
    <w:p>
      <w:pPr>
        <w:spacing w:after="0" w:line="20" w:lineRule="exact"/>
        <w:rPr>
          <w:sz w:val="24"/>
          <w:szCs w:val="24"/>
          <w:color w:val="auto"/>
        </w:rPr>
      </w:pPr>
      <w:r>
        <w:rPr>
          <w:sz w:val="24"/>
          <w:szCs w:val="24"/>
          <w:color w:val="auto"/>
        </w:rPr>
        <w:br w:type="column"/>
      </w:r>
    </w:p>
    <w:p>
      <w:pPr>
        <w:spacing w:after="0" w:line="50"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164" w:lineRule="exact"/>
        <w:rPr>
          <w:sz w:val="24"/>
          <w:szCs w:val="24"/>
          <w:color w:val="auto"/>
        </w:rPr>
      </w:pPr>
    </w:p>
    <w:p>
      <w:pPr>
        <w:sectPr>
          <w:pgSz w:w="11900" w:h="16838" w:orient="portrait"/>
          <w:cols w:equalWidth="0" w:num="4">
            <w:col w:w="1620" w:space="280"/>
            <w:col w:w="6100" w:space="720"/>
            <w:col w:w="1640" w:space="720"/>
            <w:col w:w="160"/>
          </w:cols>
          <w:pgMar w:left="320" w:top="230" w:right="339" w:bottom="1440" w:gutter="0" w:footer="0" w:header="0"/>
          <w:type w:val="continuous"/>
        </w:sectPr>
      </w:pPr>
    </w:p>
    <w:p>
      <w:pPr>
        <w:spacing w:after="0" w:line="33" w:lineRule="exact"/>
        <w:rPr>
          <w:sz w:val="24"/>
          <w:szCs w:val="24"/>
          <w:color w:val="auto"/>
        </w:rPr>
      </w:pPr>
    </w:p>
    <w:p>
      <w:pPr>
        <w:spacing w:after="0"/>
        <w:rPr>
          <w:sz w:val="20"/>
          <w:szCs w:val="20"/>
          <w:color w:val="auto"/>
        </w:rPr>
      </w:pPr>
      <w:r>
        <w:rPr>
          <w:rFonts w:ascii="Arial" w:cs="Arial" w:eastAsia="Arial" w:hAnsi="Arial"/>
          <w:sz w:val="16"/>
          <w:szCs w:val="16"/>
          <w:color w:val="auto"/>
        </w:rPr>
        <w:t>Non-accelerated filer</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3" w:lineRule="exact"/>
        <w:rPr>
          <w:sz w:val="24"/>
          <w:szCs w:val="24"/>
          <w:color w:val="auto"/>
        </w:rPr>
      </w:pPr>
    </w:p>
    <w:p>
      <w:pPr>
        <w:spacing w:after="0"/>
        <w:rPr>
          <w:sz w:val="20"/>
          <w:szCs w:val="20"/>
          <w:color w:val="auto"/>
        </w:rPr>
      </w:pPr>
      <w:r>
        <w:rPr>
          <w:rFonts w:ascii="Arial" w:cs="Arial" w:eastAsia="Arial" w:hAnsi="Arial"/>
          <w:sz w:val="16"/>
          <w:szCs w:val="16"/>
          <w:color w:val="auto"/>
        </w:rPr>
        <w:t>(Do not check if a smaller reporting company)</w:t>
      </w:r>
    </w:p>
    <w:p>
      <w:pPr>
        <w:spacing w:after="0" w:line="20" w:lineRule="exact"/>
        <w:rPr>
          <w:sz w:val="24"/>
          <w:szCs w:val="24"/>
          <w:color w:val="auto"/>
        </w:rPr>
      </w:pPr>
      <w:r>
        <w:rPr>
          <w:sz w:val="24"/>
          <w:szCs w:val="24"/>
          <w:color w:val="auto"/>
        </w:rPr>
        <w:br w:type="column"/>
      </w:r>
    </w:p>
    <w:p>
      <w:pPr>
        <w:spacing w:after="0" w:line="13" w:lineRule="exact"/>
        <w:rPr>
          <w:sz w:val="24"/>
          <w:szCs w:val="24"/>
          <w:color w:val="auto"/>
        </w:rPr>
      </w:pPr>
    </w:p>
    <w:p>
      <w:pPr>
        <w:spacing w:after="0"/>
        <w:rPr>
          <w:sz w:val="20"/>
          <w:szCs w:val="20"/>
          <w:color w:val="auto"/>
        </w:rPr>
      </w:pPr>
      <w:r>
        <w:rPr>
          <w:rFonts w:ascii="Arial" w:cs="Arial" w:eastAsia="Arial" w:hAnsi="Arial"/>
          <w:sz w:val="16"/>
          <w:szCs w:val="16"/>
          <w:color w:val="auto"/>
        </w:rPr>
        <w:t>Smaller reporting company</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04" w:lineRule="exact"/>
        <w:rPr>
          <w:sz w:val="24"/>
          <w:szCs w:val="24"/>
          <w:color w:val="auto"/>
        </w:rPr>
      </w:pPr>
    </w:p>
    <w:p>
      <w:pPr>
        <w:sectPr>
          <w:pgSz w:w="11900" w:h="16838" w:orient="portrait"/>
          <w:cols w:equalWidth="0" w:num="5">
            <w:col w:w="1540" w:space="360"/>
            <w:col w:w="160" w:space="100"/>
            <w:col w:w="5840" w:space="720"/>
            <w:col w:w="1980" w:space="380"/>
            <w:col w:w="160"/>
          </w:cols>
          <w:pgMar w:left="320" w:top="230" w:right="339" w:bottom="1440" w:gutter="0" w:footer="0" w:header="0"/>
          <w:type w:val="continuous"/>
        </w:sectPr>
      </w:pPr>
    </w:p>
    <w:p>
      <w:pPr>
        <w:spacing w:after="0" w:line="33" w:lineRule="exact"/>
        <w:rPr>
          <w:sz w:val="24"/>
          <w:szCs w:val="24"/>
          <w:color w:val="auto"/>
        </w:rPr>
      </w:pPr>
    </w:p>
    <w:p>
      <w:pPr>
        <w:ind w:left="460"/>
        <w:spacing w:after="0"/>
        <w:rPr>
          <w:sz w:val="20"/>
          <w:szCs w:val="20"/>
          <w:color w:val="auto"/>
        </w:rPr>
      </w:pPr>
      <w:r>
        <w:rPr>
          <w:rFonts w:ascii="Arial" w:cs="Arial" w:eastAsia="Arial" w:hAnsi="Arial"/>
          <w:sz w:val="16"/>
          <w:szCs w:val="16"/>
          <w:color w:val="auto"/>
        </w:rPr>
        <w:t>Indicate by check mark whether the registrant is a shell company (as defined in Rule 12b-2 of the Exchange Act).</w:t>
      </w:r>
    </w:p>
    <w:p>
      <w:pPr>
        <w:spacing w:after="0" w:line="20" w:lineRule="exact"/>
        <w:rPr>
          <w:sz w:val="24"/>
          <w:szCs w:val="24"/>
          <w:color w:val="auto"/>
        </w:rPr>
      </w:pPr>
      <w:r>
        <w:rPr>
          <w:sz w:val="24"/>
          <w:szCs w:val="24"/>
          <w:color w:val="auto"/>
        </w:rPr>
        <w:br w:type="column"/>
      </w:r>
    </w:p>
    <w:p>
      <w:pPr>
        <w:spacing w:after="0" w:line="13" w:lineRule="exact"/>
        <w:rPr>
          <w:sz w:val="24"/>
          <w:szCs w:val="24"/>
          <w:color w:val="auto"/>
        </w:rPr>
      </w:pPr>
    </w:p>
    <w:p>
      <w:pPr>
        <w:spacing w:after="0"/>
        <w:rPr>
          <w:sz w:val="20"/>
          <w:szCs w:val="20"/>
          <w:color w:val="auto"/>
        </w:rPr>
      </w:pPr>
      <w:r>
        <w:rPr>
          <w:rFonts w:ascii="Arial" w:cs="Arial" w:eastAsia="Arial" w:hAnsi="Arial"/>
          <w:sz w:val="15"/>
          <w:szCs w:val="15"/>
          <w:color w:val="auto"/>
        </w:rPr>
        <w:t>Yes</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87" w:lineRule="exact"/>
        <w:rPr>
          <w:sz w:val="20"/>
          <w:szCs w:val="20"/>
          <w:color w:val="auto"/>
        </w:rPr>
      </w:pPr>
      <w:r>
        <w:rPr>
          <w:rFonts w:ascii="Arial" w:cs="Arial" w:eastAsia="Arial" w:hAnsi="Arial"/>
          <w:sz w:val="18"/>
          <w:szCs w:val="18"/>
          <w:color w:val="auto"/>
        </w:rPr>
        <w:t xml:space="preserve">No </w:t>
      </w:r>
      <w:r>
        <w:rPr>
          <w:rFonts w:ascii="MS PGothic" w:cs="MS PGothic" w:eastAsia="MS PGothic" w:hAnsi="MS PGothic"/>
          <w:sz w:val="18"/>
          <w:szCs w:val="18"/>
          <w:color w:val="auto"/>
        </w:rPr>
        <w:t>☒</w:t>
      </w:r>
    </w:p>
    <w:p>
      <w:pPr>
        <w:spacing w:after="0" w:line="190" w:lineRule="exact"/>
        <w:rPr>
          <w:sz w:val="24"/>
          <w:szCs w:val="24"/>
          <w:color w:val="auto"/>
        </w:rPr>
      </w:pPr>
    </w:p>
    <w:p>
      <w:pPr>
        <w:sectPr>
          <w:pgSz w:w="11900" w:h="16838" w:orient="portrait"/>
          <w:cols w:equalWidth="0" w:num="4">
            <w:col w:w="8620" w:space="180"/>
            <w:col w:w="260" w:space="80"/>
            <w:col w:w="160" w:space="180"/>
            <w:col w:w="1760"/>
          </w:cols>
          <w:pgMar w:left="320" w:top="230" w:right="339" w:bottom="1440" w:gutter="0" w:footer="0" w:header="0"/>
          <w:type w:val="continuous"/>
        </w:sectPr>
      </w:pPr>
    </w:p>
    <w:p>
      <w:pPr>
        <w:ind w:left="460"/>
        <w:spacing w:after="0"/>
        <w:rPr>
          <w:sz w:val="20"/>
          <w:szCs w:val="20"/>
          <w:color w:val="auto"/>
        </w:rPr>
      </w:pPr>
      <w:r>
        <w:rPr>
          <w:rFonts w:ascii="Arial" w:cs="Arial" w:eastAsia="Arial" w:hAnsi="Arial"/>
          <w:sz w:val="16"/>
          <w:szCs w:val="16"/>
          <w:color w:val="auto"/>
        </w:rPr>
        <w:t>The number of shares of the issuer’s common stock, $0.001 par value, outstanding as of February 5, 2014 was 66,569,036.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175260</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217805</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30" w:right="3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34"/>
        </w:trPr>
        <w:tc>
          <w:tcPr>
            <w:tcW w:w="10040" w:type="dxa"/>
            <w:vAlign w:val="bottom"/>
          </w:tcPr>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tc>
        <w:tc>
          <w:tcPr>
            <w:tcW w:w="1140" w:type="dxa"/>
            <w:vAlign w:val="bottom"/>
          </w:tcPr>
          <w:p>
            <w:pPr>
              <w:spacing w:after="0"/>
              <w:rPr>
                <w:sz w:val="20"/>
                <w:szCs w:val="20"/>
                <w:color w:val="auto"/>
              </w:rPr>
            </w:pPr>
          </w:p>
        </w:tc>
      </w:tr>
      <w:tr>
        <w:trPr>
          <w:trHeight w:val="495"/>
        </w:trPr>
        <w:tc>
          <w:tcPr>
            <w:tcW w:w="10040" w:type="dxa"/>
            <w:vAlign w:val="bottom"/>
          </w:tcPr>
          <w:p>
            <w:pPr>
              <w:jc w:val="center"/>
              <w:ind w:left="1130"/>
              <w:spacing w:after="0"/>
              <w:rPr>
                <w:sz w:val="20"/>
                <w:szCs w:val="20"/>
                <w:color w:val="auto"/>
              </w:rPr>
            </w:pPr>
            <w:r>
              <w:rPr>
                <w:rFonts w:ascii="Arial" w:cs="Arial" w:eastAsia="Arial" w:hAnsi="Arial"/>
                <w:sz w:val="18"/>
                <w:szCs w:val="18"/>
                <w:b w:val="1"/>
                <w:bCs w:val="1"/>
                <w:color w:val="auto"/>
              </w:rPr>
              <w:t>PENNANTPARK INVESTMENT CORPORATION</w:t>
            </w:r>
          </w:p>
        </w:tc>
        <w:tc>
          <w:tcPr>
            <w:tcW w:w="1140" w:type="dxa"/>
            <w:vAlign w:val="bottom"/>
          </w:tcPr>
          <w:p>
            <w:pPr>
              <w:spacing w:after="0"/>
              <w:rPr>
                <w:sz w:val="24"/>
                <w:szCs w:val="24"/>
                <w:color w:val="auto"/>
              </w:rPr>
            </w:pPr>
          </w:p>
        </w:tc>
      </w:tr>
      <w:tr>
        <w:trPr>
          <w:trHeight w:val="216"/>
        </w:trPr>
        <w:tc>
          <w:tcPr>
            <w:tcW w:w="10040" w:type="dxa"/>
            <w:vAlign w:val="bottom"/>
          </w:tcPr>
          <w:p>
            <w:pPr>
              <w:jc w:val="center"/>
              <w:ind w:left="1130"/>
              <w:spacing w:after="0"/>
              <w:rPr>
                <w:sz w:val="20"/>
                <w:szCs w:val="20"/>
                <w:color w:val="auto"/>
              </w:rPr>
            </w:pPr>
            <w:r>
              <w:rPr>
                <w:rFonts w:ascii="Arial" w:cs="Arial" w:eastAsia="Arial" w:hAnsi="Arial"/>
                <w:sz w:val="18"/>
                <w:szCs w:val="18"/>
                <w:b w:val="1"/>
                <w:bCs w:val="1"/>
                <w:color w:val="auto"/>
                <w:w w:val="99"/>
              </w:rPr>
              <w:t>FORM 10-Q</w:t>
            </w:r>
          </w:p>
        </w:tc>
        <w:tc>
          <w:tcPr>
            <w:tcW w:w="1140" w:type="dxa"/>
            <w:vAlign w:val="bottom"/>
          </w:tcPr>
          <w:p>
            <w:pPr>
              <w:spacing w:after="0"/>
              <w:rPr>
                <w:sz w:val="18"/>
                <w:szCs w:val="18"/>
                <w:color w:val="auto"/>
              </w:rPr>
            </w:pPr>
          </w:p>
        </w:tc>
      </w:tr>
      <w:tr>
        <w:trPr>
          <w:trHeight w:val="216"/>
        </w:trPr>
        <w:tc>
          <w:tcPr>
            <w:tcW w:w="10040" w:type="dxa"/>
            <w:vAlign w:val="bottom"/>
          </w:tcPr>
          <w:p>
            <w:pPr>
              <w:jc w:val="center"/>
              <w:ind w:left="1130"/>
              <w:spacing w:after="0"/>
              <w:rPr>
                <w:sz w:val="20"/>
                <w:szCs w:val="20"/>
                <w:color w:val="auto"/>
              </w:rPr>
            </w:pPr>
            <w:r>
              <w:rPr>
                <w:rFonts w:ascii="Arial" w:cs="Arial" w:eastAsia="Arial" w:hAnsi="Arial"/>
                <w:sz w:val="18"/>
                <w:szCs w:val="18"/>
                <w:b w:val="1"/>
                <w:bCs w:val="1"/>
                <w:color w:val="auto"/>
                <w:w w:val="98"/>
              </w:rPr>
              <w:t>FOR THE QUARTER ENDED DECEMBER 31, 2013</w:t>
            </w:r>
          </w:p>
        </w:tc>
        <w:tc>
          <w:tcPr>
            <w:tcW w:w="1140" w:type="dxa"/>
            <w:vAlign w:val="bottom"/>
          </w:tcPr>
          <w:p>
            <w:pPr>
              <w:spacing w:after="0"/>
              <w:rPr>
                <w:sz w:val="18"/>
                <w:szCs w:val="18"/>
                <w:color w:val="auto"/>
              </w:rPr>
            </w:pPr>
          </w:p>
        </w:tc>
      </w:tr>
      <w:tr>
        <w:trPr>
          <w:trHeight w:val="234"/>
        </w:trPr>
        <w:tc>
          <w:tcPr>
            <w:tcW w:w="10040" w:type="dxa"/>
            <w:vAlign w:val="bottom"/>
          </w:tcPr>
          <w:p>
            <w:pPr>
              <w:jc w:val="center"/>
              <w:ind w:left="1110"/>
              <w:spacing w:after="0"/>
              <w:rPr>
                <w:sz w:val="20"/>
                <w:szCs w:val="20"/>
                <w:color w:val="auto"/>
              </w:rPr>
            </w:pPr>
            <w:r>
              <w:rPr>
                <w:rFonts w:ascii="Arial" w:cs="Arial" w:eastAsia="Arial" w:hAnsi="Arial"/>
                <w:sz w:val="18"/>
                <w:szCs w:val="18"/>
                <w:b w:val="1"/>
                <w:bCs w:val="1"/>
                <w:color w:val="auto"/>
                <w:w w:val="98"/>
              </w:rPr>
              <w:t>TABLE OF CONTENTS</w:t>
            </w:r>
          </w:p>
        </w:tc>
        <w:tc>
          <w:tcPr>
            <w:tcW w:w="1140" w:type="dxa"/>
            <w:vAlign w:val="bottom"/>
          </w:tcPr>
          <w:p>
            <w:pPr>
              <w:spacing w:after="0"/>
              <w:rPr>
                <w:sz w:val="20"/>
                <w:szCs w:val="20"/>
                <w:color w:val="auto"/>
              </w:rPr>
            </w:pPr>
          </w:p>
        </w:tc>
      </w:tr>
      <w:tr>
        <w:trPr>
          <w:trHeight w:val="459"/>
        </w:trPr>
        <w:tc>
          <w:tcPr>
            <w:tcW w:w="10040" w:type="dxa"/>
            <w:vAlign w:val="bottom"/>
          </w:tcPr>
          <w:p>
            <w:pPr>
              <w:ind w:left="3040"/>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PART I. CONSOLIDATED FINANCIAL INFORMATION</w:t>
              </w:r>
            </w:hyperlink>
          </w:p>
        </w:tc>
        <w:tc>
          <w:tcPr>
            <w:tcW w:w="1140" w:type="dxa"/>
            <w:vAlign w:val="bottom"/>
          </w:tcPr>
          <w:p>
            <w:pPr>
              <w:spacing w:after="0"/>
              <w:rPr>
                <w:sz w:val="24"/>
                <w:szCs w:val="24"/>
                <w:color w:val="auto"/>
              </w:rPr>
            </w:pPr>
          </w:p>
        </w:tc>
      </w:tr>
      <w:tr>
        <w:trPr>
          <w:trHeight w:val="324"/>
        </w:trPr>
        <w:tc>
          <w:tcPr>
            <w:tcW w:w="10040" w:type="dxa"/>
            <w:vAlign w:val="bottom"/>
          </w:tcPr>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Item 1. Consolidated Financial Statements</w:t>
              </w:r>
            </w:hyperlink>
          </w:p>
        </w:tc>
        <w:tc>
          <w:tcPr>
            <w:tcW w:w="1140" w:type="dxa"/>
            <w:vAlign w:val="bottom"/>
          </w:tcPr>
          <w:p>
            <w:pPr>
              <w:spacing w:after="0"/>
              <w:rPr>
                <w:sz w:val="24"/>
                <w:szCs w:val="24"/>
                <w:color w:val="auto"/>
              </w:rPr>
            </w:pPr>
          </w:p>
        </w:tc>
      </w:tr>
      <w:tr>
        <w:trPr>
          <w:trHeight w:val="324"/>
        </w:trPr>
        <w:tc>
          <w:tcPr>
            <w:tcW w:w="10040" w:type="dxa"/>
            <w:vAlign w:val="bottom"/>
          </w:tcPr>
          <w:p>
            <w:pPr>
              <w:ind w:left="36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Consolidated Statements of Assets and Liabilities as of December 31, 2013 (unaudited) and September 30, 2013</w:t>
              </w:r>
            </w:hyperlink>
          </w:p>
        </w:tc>
        <w:tc>
          <w:tcPr>
            <w:tcW w:w="114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324"/>
        </w:trPr>
        <w:tc>
          <w:tcPr>
            <w:tcW w:w="10040" w:type="dxa"/>
            <w:vAlign w:val="bottom"/>
          </w:tcPr>
          <w:p>
            <w:pPr>
              <w:ind w:left="3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Consolidated Statements of Operations for the three months ended December 31, 2013 and 2012 (unaudited)</w:t>
              </w:r>
            </w:hyperlink>
          </w:p>
        </w:tc>
        <w:tc>
          <w:tcPr>
            <w:tcW w:w="114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324"/>
        </w:trPr>
        <w:tc>
          <w:tcPr>
            <w:tcW w:w="10040" w:type="dxa"/>
            <w:vAlign w:val="bottom"/>
          </w:tcPr>
          <w:p>
            <w:pPr>
              <w:ind w:left="360"/>
              <w:spacing w:after="0"/>
              <w:rPr>
                <w:rFonts w:ascii="Arial" w:cs="Arial" w:eastAsia="Arial" w:hAnsi="Arial"/>
                <w:sz w:val="18"/>
                <w:szCs w:val="18"/>
                <w:u w:val="single" w:color="auto"/>
                <w:color w:val="0000EE"/>
                <w:w w:val="99"/>
              </w:rPr>
            </w:pPr>
            <w:hyperlink w:anchor="page6">
              <w:r>
                <w:rPr>
                  <w:rFonts w:ascii="Arial" w:cs="Arial" w:eastAsia="Arial" w:hAnsi="Arial"/>
                  <w:sz w:val="18"/>
                  <w:szCs w:val="18"/>
                  <w:u w:val="single" w:color="auto"/>
                  <w:color w:val="0000EE"/>
                  <w:w w:val="99"/>
                </w:rPr>
                <w:t>Consolidated Statements of Changes in Net Assets for the three months ended December 31, 2013 and 2012 (unaudited)</w:t>
              </w:r>
            </w:hyperlink>
          </w:p>
        </w:tc>
        <w:tc>
          <w:tcPr>
            <w:tcW w:w="114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324"/>
        </w:trPr>
        <w:tc>
          <w:tcPr>
            <w:tcW w:w="10040" w:type="dxa"/>
            <w:vAlign w:val="bottom"/>
          </w:tcPr>
          <w:p>
            <w:pPr>
              <w:ind w:left="360"/>
              <w:spacing w:after="0"/>
              <w:rPr>
                <w:rFonts w:ascii="Arial" w:cs="Arial" w:eastAsia="Arial" w:hAnsi="Arial"/>
                <w:sz w:val="18"/>
                <w:szCs w:val="18"/>
                <w:u w:val="single" w:color="auto"/>
                <w:color w:val="0000EE"/>
              </w:rPr>
            </w:pPr>
            <w:hyperlink w:anchor="page7">
              <w:r>
                <w:rPr>
                  <w:rFonts w:ascii="Arial" w:cs="Arial" w:eastAsia="Arial" w:hAnsi="Arial"/>
                  <w:sz w:val="18"/>
                  <w:szCs w:val="18"/>
                  <w:u w:val="single" w:color="auto"/>
                  <w:color w:val="0000EE"/>
                </w:rPr>
                <w:t>Consolidated Statements of Cash Flows for the three months ended December 31, 2013 and 2012 (unaudited)</w:t>
              </w:r>
            </w:hyperlink>
          </w:p>
        </w:tc>
        <w:tc>
          <w:tcPr>
            <w:tcW w:w="114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324"/>
        </w:trPr>
        <w:tc>
          <w:tcPr>
            <w:tcW w:w="10040" w:type="dxa"/>
            <w:vAlign w:val="bottom"/>
          </w:tcPr>
          <w:p>
            <w:pPr>
              <w:ind w:left="360"/>
              <w:spacing w:after="0"/>
              <w:rPr>
                <w:rFonts w:ascii="Arial" w:cs="Arial" w:eastAsia="Arial" w:hAnsi="Arial"/>
                <w:sz w:val="18"/>
                <w:szCs w:val="18"/>
                <w:u w:val="single" w:color="auto"/>
                <w:color w:val="0000EE"/>
              </w:rPr>
            </w:pPr>
            <w:hyperlink w:anchor="page8">
              <w:r>
                <w:rPr>
                  <w:rFonts w:ascii="Arial" w:cs="Arial" w:eastAsia="Arial" w:hAnsi="Arial"/>
                  <w:sz w:val="18"/>
                  <w:szCs w:val="18"/>
                  <w:u w:val="single" w:color="auto"/>
                  <w:color w:val="0000EE"/>
                </w:rPr>
                <w:t>Consolidated Schedules of Investments as of December 31, 2013 (unaudited) and September 30, 2013</w:t>
              </w:r>
            </w:hyperlink>
          </w:p>
        </w:tc>
        <w:tc>
          <w:tcPr>
            <w:tcW w:w="114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324"/>
        </w:trPr>
        <w:tc>
          <w:tcPr>
            <w:tcW w:w="10040" w:type="dxa"/>
            <w:vAlign w:val="bottom"/>
          </w:tcPr>
          <w:p>
            <w:pPr>
              <w:ind w:left="360"/>
              <w:spacing w:after="0"/>
              <w:rPr>
                <w:rFonts w:ascii="Arial" w:cs="Arial" w:eastAsia="Arial" w:hAnsi="Arial"/>
                <w:sz w:val="18"/>
                <w:szCs w:val="18"/>
                <w:u w:val="single" w:color="auto"/>
                <w:color w:val="0000EE"/>
              </w:rPr>
            </w:pPr>
            <w:hyperlink w:anchor="page18">
              <w:r>
                <w:rPr>
                  <w:rFonts w:ascii="Arial" w:cs="Arial" w:eastAsia="Arial" w:hAnsi="Arial"/>
                  <w:sz w:val="18"/>
                  <w:szCs w:val="18"/>
                  <w:u w:val="single" w:color="auto"/>
                  <w:color w:val="0000EE"/>
                </w:rPr>
                <w:t>Notes to Consolidated Financial Statements (unaudited)</w:t>
              </w:r>
            </w:hyperlink>
          </w:p>
        </w:tc>
        <w:tc>
          <w:tcPr>
            <w:tcW w:w="114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324"/>
        </w:trPr>
        <w:tc>
          <w:tcPr>
            <w:tcW w:w="10040" w:type="dxa"/>
            <w:vAlign w:val="bottom"/>
          </w:tcPr>
          <w:p>
            <w:pPr>
              <w:ind w:left="360"/>
              <w:spacing w:after="0"/>
              <w:rPr>
                <w:rFonts w:ascii="Arial" w:cs="Arial" w:eastAsia="Arial" w:hAnsi="Arial"/>
                <w:sz w:val="18"/>
                <w:szCs w:val="18"/>
                <w:u w:val="single" w:color="auto"/>
                <w:color w:val="0000EE"/>
              </w:rPr>
            </w:pPr>
            <w:hyperlink w:anchor="page31">
              <w:r>
                <w:rPr>
                  <w:rFonts w:ascii="Arial" w:cs="Arial" w:eastAsia="Arial" w:hAnsi="Arial"/>
                  <w:sz w:val="18"/>
                  <w:szCs w:val="18"/>
                  <w:u w:val="single" w:color="auto"/>
                  <w:color w:val="0000EE"/>
                </w:rPr>
                <w:t>Report of Independent Registered Public Accounting Firm</w:t>
              </w:r>
            </w:hyperlink>
          </w:p>
        </w:tc>
        <w:tc>
          <w:tcPr>
            <w:tcW w:w="114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324"/>
        </w:trPr>
        <w:tc>
          <w:tcPr>
            <w:tcW w:w="10040" w:type="dxa"/>
            <w:vAlign w:val="bottom"/>
          </w:tcPr>
          <w:p>
            <w:pPr>
              <w:spacing w:after="0"/>
              <w:rPr>
                <w:rFonts w:ascii="Arial" w:cs="Arial" w:eastAsia="Arial" w:hAnsi="Arial"/>
                <w:sz w:val="18"/>
                <w:szCs w:val="18"/>
                <w:b w:val="1"/>
                <w:bCs w:val="1"/>
                <w:u w:val="single" w:color="auto"/>
                <w:color w:val="0000EE"/>
              </w:rPr>
            </w:pPr>
            <w:hyperlink w:anchor="page32">
              <w:r>
                <w:rPr>
                  <w:rFonts w:ascii="Arial" w:cs="Arial" w:eastAsia="Arial" w:hAnsi="Arial"/>
                  <w:sz w:val="18"/>
                  <w:szCs w:val="18"/>
                  <w:b w:val="1"/>
                  <w:bCs w:val="1"/>
                  <w:u w:val="single" w:color="auto"/>
                  <w:color w:val="0000EE"/>
                </w:rPr>
                <w:t>Item 2. Management’s Discussion and Analysis of Financial Condition and Results of Operations</w:t>
              </w:r>
            </w:hyperlink>
          </w:p>
        </w:tc>
        <w:tc>
          <w:tcPr>
            <w:tcW w:w="114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324"/>
        </w:trPr>
        <w:tc>
          <w:tcPr>
            <w:tcW w:w="10040" w:type="dxa"/>
            <w:vAlign w:val="bottom"/>
          </w:tcPr>
          <w:p>
            <w:pPr>
              <w:spacing w:after="0"/>
              <w:rPr>
                <w:rFonts w:ascii="Arial" w:cs="Arial" w:eastAsia="Arial" w:hAnsi="Arial"/>
                <w:sz w:val="18"/>
                <w:szCs w:val="18"/>
                <w:b w:val="1"/>
                <w:bCs w:val="1"/>
                <w:u w:val="single" w:color="auto"/>
                <w:color w:val="0000EE"/>
              </w:rPr>
            </w:pPr>
            <w:hyperlink w:anchor="page42">
              <w:r>
                <w:rPr>
                  <w:rFonts w:ascii="Arial" w:cs="Arial" w:eastAsia="Arial" w:hAnsi="Arial"/>
                  <w:sz w:val="18"/>
                  <w:szCs w:val="18"/>
                  <w:b w:val="1"/>
                  <w:bCs w:val="1"/>
                  <w:u w:val="single" w:color="auto"/>
                  <w:color w:val="0000EE"/>
                </w:rPr>
                <w:t>Item 3. Quantitative and Qualitative Disclosures About Market Risk</w:t>
              </w:r>
            </w:hyperlink>
          </w:p>
        </w:tc>
        <w:tc>
          <w:tcPr>
            <w:tcW w:w="114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324"/>
        </w:trPr>
        <w:tc>
          <w:tcPr>
            <w:tcW w:w="10040" w:type="dxa"/>
            <w:vAlign w:val="bottom"/>
          </w:tcPr>
          <w:p>
            <w:pPr>
              <w:spacing w:after="0"/>
              <w:rPr>
                <w:rFonts w:ascii="Arial" w:cs="Arial" w:eastAsia="Arial" w:hAnsi="Arial"/>
                <w:sz w:val="18"/>
                <w:szCs w:val="18"/>
                <w:b w:val="1"/>
                <w:bCs w:val="1"/>
                <w:u w:val="single" w:color="auto"/>
                <w:color w:val="0000EE"/>
              </w:rPr>
            </w:pPr>
            <w:hyperlink w:anchor="page42">
              <w:r>
                <w:rPr>
                  <w:rFonts w:ascii="Arial" w:cs="Arial" w:eastAsia="Arial" w:hAnsi="Arial"/>
                  <w:sz w:val="18"/>
                  <w:szCs w:val="18"/>
                  <w:b w:val="1"/>
                  <w:bCs w:val="1"/>
                  <w:u w:val="single" w:color="auto"/>
                  <w:color w:val="0000EE"/>
                </w:rPr>
                <w:t>Item 4. Controls and Procedures</w:t>
              </w:r>
            </w:hyperlink>
          </w:p>
        </w:tc>
        <w:tc>
          <w:tcPr>
            <w:tcW w:w="114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324"/>
        </w:trPr>
        <w:tc>
          <w:tcPr>
            <w:tcW w:w="10040" w:type="dxa"/>
            <w:vAlign w:val="bottom"/>
          </w:tcPr>
          <w:p>
            <w:pPr>
              <w:ind w:left="3940"/>
              <w:spacing w:after="0"/>
              <w:rPr>
                <w:rFonts w:ascii="Arial" w:cs="Arial" w:eastAsia="Arial" w:hAnsi="Arial"/>
                <w:sz w:val="18"/>
                <w:szCs w:val="18"/>
                <w:b w:val="1"/>
                <w:bCs w:val="1"/>
                <w:u w:val="single" w:color="auto"/>
                <w:color w:val="0000EE"/>
              </w:rPr>
            </w:pPr>
            <w:hyperlink w:anchor="page43">
              <w:r>
                <w:rPr>
                  <w:rFonts w:ascii="Arial" w:cs="Arial" w:eastAsia="Arial" w:hAnsi="Arial"/>
                  <w:sz w:val="18"/>
                  <w:szCs w:val="18"/>
                  <w:b w:val="1"/>
                  <w:bCs w:val="1"/>
                  <w:u w:val="single" w:color="auto"/>
                  <w:color w:val="0000EE"/>
                </w:rPr>
                <w:t>PART II. OTHER INFORMATION</w:t>
              </w:r>
            </w:hyperlink>
          </w:p>
        </w:tc>
        <w:tc>
          <w:tcPr>
            <w:tcW w:w="1140" w:type="dxa"/>
            <w:vAlign w:val="bottom"/>
          </w:tcPr>
          <w:p>
            <w:pPr>
              <w:spacing w:after="0"/>
              <w:rPr>
                <w:sz w:val="24"/>
                <w:szCs w:val="24"/>
                <w:color w:val="auto"/>
              </w:rPr>
            </w:pPr>
          </w:p>
        </w:tc>
      </w:tr>
      <w:tr>
        <w:trPr>
          <w:trHeight w:val="324"/>
        </w:trPr>
        <w:tc>
          <w:tcPr>
            <w:tcW w:w="10040" w:type="dxa"/>
            <w:vAlign w:val="bottom"/>
          </w:tcPr>
          <w:p>
            <w:pPr>
              <w:spacing w:after="0"/>
              <w:rPr>
                <w:rFonts w:ascii="Arial" w:cs="Arial" w:eastAsia="Arial" w:hAnsi="Arial"/>
                <w:sz w:val="18"/>
                <w:szCs w:val="18"/>
                <w:b w:val="1"/>
                <w:bCs w:val="1"/>
                <w:u w:val="single" w:color="auto"/>
                <w:color w:val="0000EE"/>
              </w:rPr>
            </w:pPr>
            <w:hyperlink w:anchor="page43">
              <w:r>
                <w:rPr>
                  <w:rFonts w:ascii="Arial" w:cs="Arial" w:eastAsia="Arial" w:hAnsi="Arial"/>
                  <w:sz w:val="18"/>
                  <w:szCs w:val="18"/>
                  <w:b w:val="1"/>
                  <w:bCs w:val="1"/>
                  <w:u w:val="single" w:color="auto"/>
                  <w:color w:val="0000EE"/>
                </w:rPr>
                <w:t>Item 1. Legal Proceedings</w:t>
              </w:r>
            </w:hyperlink>
          </w:p>
        </w:tc>
        <w:tc>
          <w:tcPr>
            <w:tcW w:w="114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324"/>
        </w:trPr>
        <w:tc>
          <w:tcPr>
            <w:tcW w:w="10040" w:type="dxa"/>
            <w:vAlign w:val="bottom"/>
          </w:tcPr>
          <w:p>
            <w:pPr>
              <w:spacing w:after="0"/>
              <w:rPr>
                <w:rFonts w:ascii="Arial" w:cs="Arial" w:eastAsia="Arial" w:hAnsi="Arial"/>
                <w:sz w:val="18"/>
                <w:szCs w:val="18"/>
                <w:b w:val="1"/>
                <w:bCs w:val="1"/>
                <w:u w:val="single" w:color="auto"/>
                <w:color w:val="0000EE"/>
              </w:rPr>
            </w:pPr>
            <w:hyperlink w:anchor="page43">
              <w:r>
                <w:rPr>
                  <w:rFonts w:ascii="Arial" w:cs="Arial" w:eastAsia="Arial" w:hAnsi="Arial"/>
                  <w:sz w:val="18"/>
                  <w:szCs w:val="18"/>
                  <w:b w:val="1"/>
                  <w:bCs w:val="1"/>
                  <w:u w:val="single" w:color="auto"/>
                  <w:color w:val="0000EE"/>
                </w:rPr>
                <w:t>Item 1A. Risk Factors</w:t>
              </w:r>
            </w:hyperlink>
          </w:p>
        </w:tc>
        <w:tc>
          <w:tcPr>
            <w:tcW w:w="114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324"/>
        </w:trPr>
        <w:tc>
          <w:tcPr>
            <w:tcW w:w="10040" w:type="dxa"/>
            <w:vAlign w:val="bottom"/>
          </w:tcPr>
          <w:p>
            <w:pPr>
              <w:spacing w:after="0"/>
              <w:rPr>
                <w:rFonts w:ascii="Arial" w:cs="Arial" w:eastAsia="Arial" w:hAnsi="Arial"/>
                <w:sz w:val="18"/>
                <w:szCs w:val="18"/>
                <w:b w:val="1"/>
                <w:bCs w:val="1"/>
                <w:u w:val="single" w:color="auto"/>
                <w:color w:val="0000EE"/>
              </w:rPr>
            </w:pPr>
            <w:hyperlink w:anchor="page43">
              <w:r>
                <w:rPr>
                  <w:rFonts w:ascii="Arial" w:cs="Arial" w:eastAsia="Arial" w:hAnsi="Arial"/>
                  <w:sz w:val="18"/>
                  <w:szCs w:val="18"/>
                  <w:b w:val="1"/>
                  <w:bCs w:val="1"/>
                  <w:u w:val="single" w:color="auto"/>
                  <w:color w:val="0000EE"/>
                </w:rPr>
                <w:t>Item 2. Unregistered Sales of Equity Securities and Use of Proceeds</w:t>
              </w:r>
            </w:hyperlink>
          </w:p>
        </w:tc>
        <w:tc>
          <w:tcPr>
            <w:tcW w:w="114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324"/>
        </w:trPr>
        <w:tc>
          <w:tcPr>
            <w:tcW w:w="10040" w:type="dxa"/>
            <w:vAlign w:val="bottom"/>
          </w:tcPr>
          <w:p>
            <w:pPr>
              <w:spacing w:after="0"/>
              <w:rPr>
                <w:rFonts w:ascii="Arial" w:cs="Arial" w:eastAsia="Arial" w:hAnsi="Arial"/>
                <w:sz w:val="18"/>
                <w:szCs w:val="18"/>
                <w:b w:val="1"/>
                <w:bCs w:val="1"/>
                <w:u w:val="single" w:color="auto"/>
                <w:color w:val="0000EE"/>
              </w:rPr>
            </w:pPr>
            <w:hyperlink w:anchor="page43">
              <w:r>
                <w:rPr>
                  <w:rFonts w:ascii="Arial" w:cs="Arial" w:eastAsia="Arial" w:hAnsi="Arial"/>
                  <w:sz w:val="18"/>
                  <w:szCs w:val="18"/>
                  <w:b w:val="1"/>
                  <w:bCs w:val="1"/>
                  <w:u w:val="single" w:color="auto"/>
                  <w:color w:val="0000EE"/>
                </w:rPr>
                <w:t>Item 3. Defaults Upon Senior Securities</w:t>
              </w:r>
            </w:hyperlink>
          </w:p>
        </w:tc>
        <w:tc>
          <w:tcPr>
            <w:tcW w:w="114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324"/>
        </w:trPr>
        <w:tc>
          <w:tcPr>
            <w:tcW w:w="10040" w:type="dxa"/>
            <w:vAlign w:val="bottom"/>
          </w:tcPr>
          <w:p>
            <w:pPr>
              <w:spacing w:after="0"/>
              <w:rPr>
                <w:rFonts w:ascii="Arial" w:cs="Arial" w:eastAsia="Arial" w:hAnsi="Arial"/>
                <w:sz w:val="18"/>
                <w:szCs w:val="18"/>
                <w:b w:val="1"/>
                <w:bCs w:val="1"/>
                <w:u w:val="single" w:color="auto"/>
                <w:color w:val="0000EE"/>
              </w:rPr>
            </w:pPr>
            <w:hyperlink w:anchor="page43">
              <w:r>
                <w:rPr>
                  <w:rFonts w:ascii="Arial" w:cs="Arial" w:eastAsia="Arial" w:hAnsi="Arial"/>
                  <w:sz w:val="18"/>
                  <w:szCs w:val="18"/>
                  <w:b w:val="1"/>
                  <w:bCs w:val="1"/>
                  <w:u w:val="single" w:color="auto"/>
                  <w:color w:val="0000EE"/>
                </w:rPr>
                <w:t>Item 4. Mine Safety Disclosures</w:t>
              </w:r>
            </w:hyperlink>
          </w:p>
        </w:tc>
        <w:tc>
          <w:tcPr>
            <w:tcW w:w="114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324"/>
        </w:trPr>
        <w:tc>
          <w:tcPr>
            <w:tcW w:w="10040" w:type="dxa"/>
            <w:vAlign w:val="bottom"/>
          </w:tcPr>
          <w:p>
            <w:pPr>
              <w:spacing w:after="0"/>
              <w:rPr>
                <w:rFonts w:ascii="Arial" w:cs="Arial" w:eastAsia="Arial" w:hAnsi="Arial"/>
                <w:sz w:val="18"/>
                <w:szCs w:val="18"/>
                <w:b w:val="1"/>
                <w:bCs w:val="1"/>
                <w:u w:val="single" w:color="auto"/>
                <w:color w:val="0000EE"/>
              </w:rPr>
            </w:pPr>
            <w:hyperlink w:anchor="page43">
              <w:r>
                <w:rPr>
                  <w:rFonts w:ascii="Arial" w:cs="Arial" w:eastAsia="Arial" w:hAnsi="Arial"/>
                  <w:sz w:val="18"/>
                  <w:szCs w:val="18"/>
                  <w:b w:val="1"/>
                  <w:bCs w:val="1"/>
                  <w:u w:val="single" w:color="auto"/>
                  <w:color w:val="0000EE"/>
                </w:rPr>
                <w:t>Item 5. Other Information</w:t>
              </w:r>
            </w:hyperlink>
          </w:p>
        </w:tc>
        <w:tc>
          <w:tcPr>
            <w:tcW w:w="114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324"/>
        </w:trPr>
        <w:tc>
          <w:tcPr>
            <w:tcW w:w="10040" w:type="dxa"/>
            <w:vAlign w:val="bottom"/>
          </w:tcPr>
          <w:p>
            <w:pPr>
              <w:spacing w:after="0"/>
              <w:rPr>
                <w:rFonts w:ascii="Arial" w:cs="Arial" w:eastAsia="Arial" w:hAnsi="Arial"/>
                <w:sz w:val="18"/>
                <w:szCs w:val="18"/>
                <w:b w:val="1"/>
                <w:bCs w:val="1"/>
                <w:u w:val="single" w:color="auto"/>
                <w:color w:val="0000EE"/>
              </w:rPr>
            </w:pPr>
            <w:hyperlink w:anchor="page44">
              <w:r>
                <w:rPr>
                  <w:rFonts w:ascii="Arial" w:cs="Arial" w:eastAsia="Arial" w:hAnsi="Arial"/>
                  <w:sz w:val="18"/>
                  <w:szCs w:val="18"/>
                  <w:b w:val="1"/>
                  <w:bCs w:val="1"/>
                  <w:u w:val="single" w:color="auto"/>
                  <w:color w:val="0000EE"/>
                </w:rPr>
                <w:t>Item 6. Exhibits</w:t>
              </w:r>
            </w:hyperlink>
          </w:p>
        </w:tc>
        <w:tc>
          <w:tcPr>
            <w:tcW w:w="1140" w:type="dxa"/>
            <w:vAlign w:val="bottom"/>
          </w:tcPr>
          <w:p>
            <w:pPr>
              <w:jc w:val="right"/>
              <w:spacing w:after="0"/>
              <w:rPr>
                <w:sz w:val="20"/>
                <w:szCs w:val="20"/>
                <w:color w:val="auto"/>
              </w:rPr>
            </w:pPr>
            <w:r>
              <w:rPr>
                <w:rFonts w:ascii="Arial" w:cs="Arial" w:eastAsia="Arial" w:hAnsi="Arial"/>
                <w:sz w:val="18"/>
                <w:szCs w:val="18"/>
                <w:color w:val="auto"/>
              </w:rPr>
              <w:t>42</w:t>
            </w:r>
          </w:p>
        </w:tc>
      </w:tr>
      <w:tr>
        <w:trPr>
          <w:trHeight w:val="324"/>
        </w:trPr>
        <w:tc>
          <w:tcPr>
            <w:tcW w:w="10040" w:type="dxa"/>
            <w:vAlign w:val="bottom"/>
          </w:tcPr>
          <w:p>
            <w:pPr>
              <w:spacing w:after="0"/>
              <w:rPr>
                <w:rFonts w:ascii="Arial" w:cs="Arial" w:eastAsia="Arial" w:hAnsi="Arial"/>
                <w:sz w:val="18"/>
                <w:szCs w:val="18"/>
                <w:b w:val="1"/>
                <w:bCs w:val="1"/>
                <w:u w:val="single" w:color="auto"/>
                <w:color w:val="0000EE"/>
              </w:rPr>
            </w:pPr>
            <w:hyperlink w:anchor="page45">
              <w:r>
                <w:rPr>
                  <w:rFonts w:ascii="Arial" w:cs="Arial" w:eastAsia="Arial" w:hAnsi="Arial"/>
                  <w:sz w:val="18"/>
                  <w:szCs w:val="18"/>
                  <w:b w:val="1"/>
                  <w:bCs w:val="1"/>
                  <w:u w:val="single" w:color="auto"/>
                  <w:color w:val="0000EE"/>
                </w:rPr>
                <w:t>SIGNATURES</w:t>
              </w:r>
            </w:hyperlink>
          </w:p>
        </w:tc>
        <w:tc>
          <w:tcPr>
            <w:tcW w:w="1140" w:type="dxa"/>
            <w:vAlign w:val="bottom"/>
          </w:tcPr>
          <w:p>
            <w:pPr>
              <w:jc w:val="right"/>
              <w:spacing w:after="0"/>
              <w:rPr>
                <w:sz w:val="20"/>
                <w:szCs w:val="20"/>
                <w:color w:val="auto"/>
              </w:rPr>
            </w:pPr>
            <w:r>
              <w:rPr>
                <w:rFonts w:ascii="Arial" w:cs="Arial" w:eastAsia="Arial" w:hAnsi="Arial"/>
                <w:sz w:val="18"/>
                <w:szCs w:val="18"/>
                <w:color w:val="auto"/>
              </w:rPr>
              <w:t>43</w:t>
            </w:r>
          </w:p>
        </w:tc>
      </w:tr>
    </w:tbl>
    <w:p>
      <w:pPr>
        <w:jc w:val="right"/>
        <w:spacing w:after="0"/>
        <w:rPr>
          <w:sz w:val="20"/>
          <w:szCs w:val="20"/>
          <w:color w:val="auto"/>
        </w:rPr>
        <w:sectPr>
          <w:pgSz w:w="11900" w:h="16838" w:orient="portrait"/>
          <w:cols w:equalWidth="0" w:num="1">
            <w:col w:w="11180"/>
          </w:cols>
          <w:pgMar w:left="320" w:top="459" w:right="399" w:bottom="1440" w:gutter="0" w:footer="0" w:header="0"/>
        </w:sect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PART I—CONSOLIDATED FINANCIAL INFORMATION</w:t>
      </w:r>
    </w:p>
    <w:p>
      <w:pPr>
        <w:spacing w:after="0" w:line="229"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We are filing this Form 10-Q, or the Report, in compliance with Rule 13a-13 promulgated by the Securities and Exchange Commission, or the SEC. In this Report, “we,” “our” or “us” refer to PennantPark Investment Corporation and its consolidated subsidiaries unless the context suggests otherwise. “PennantPark Investment” refers to only PennantPark Investment Corporation; “our SBIC Funds” refers collectively to our consolidated subsidiaries, PennantPark SBIC LP, or SBIC LP, and its general partner, PennantPark SBIC GP, LLC, and PennantPark SBIC II LP, or SBIC II, and its general partner, PennantPark SBIC GP II, LLC; “PennantPark Investment Advisers” or “Investment Adviser” refers to PennantPark Investment Advisers, LLC; “PennantPark Investment Administration” or “Administrator” refers to PennantPark Investment Administration, LLC. “SBA” refers to the Small Business Administration; “Credit Facility” refers to our multi-currency, senior secured revolving credit facility; “2025 Notes” refers to our 6.25% senior notes due 2025; “BDC” refers to a business development company under the Investment Company Act of 1940, as amended, or the 1940 Act; “Code” refers to the Internal Revenue Code of 1986, as amended; and “RIC” refers to a regulated investment company under the Code. References to our portfolio or investments include investments we make through our SBIC Funds and other consolidated subsidiaries.</w:t>
      </w:r>
    </w:p>
    <w:p>
      <w:pPr>
        <w:sectPr>
          <w:pgSz w:w="11900" w:h="16838" w:orient="portrait"/>
          <w:cols w:equalWidth="0" w:num="1">
            <w:col w:w="11180"/>
          </w:cols>
          <w:pgMar w:left="320" w:top="459" w:right="39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tabs>
          <w:tab w:leader="none" w:pos="98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6"/>
          <w:szCs w:val="16"/>
          <w:b w:val="1"/>
          <w:bCs w:val="1"/>
          <w:color w:val="auto"/>
        </w:rPr>
        <w:t>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PENNANTPARK INVESTMENT CORPORATION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ASSETS AND LIABILITIES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8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300" w:type="dxa"/>
            <w:vAlign w:val="bottom"/>
            <w:gridSpan w:val="3"/>
          </w:tcPr>
          <w:p>
            <w:pPr>
              <w:spacing w:after="0"/>
              <w:rPr>
                <w:sz w:val="20"/>
                <w:szCs w:val="20"/>
                <w:color w:val="auto"/>
              </w:rPr>
            </w:pPr>
            <w:r>
              <w:rPr>
                <w:rFonts w:ascii="Arial" w:cs="Arial" w:eastAsia="Arial" w:hAnsi="Arial"/>
                <w:sz w:val="14"/>
                <w:szCs w:val="14"/>
                <w:b w:val="1"/>
                <w:bCs w:val="1"/>
                <w:color w:val="auto"/>
              </w:rPr>
              <w:t>December 31, 2013</w:t>
            </w:r>
          </w:p>
        </w:tc>
        <w:tc>
          <w:tcPr>
            <w:tcW w:w="80" w:type="dxa"/>
            <w:vAlign w:val="bottom"/>
          </w:tcPr>
          <w:p>
            <w:pPr>
              <w:spacing w:after="0"/>
              <w:rPr>
                <w:sz w:val="14"/>
                <w:szCs w:val="14"/>
                <w:color w:val="auto"/>
              </w:rPr>
            </w:pPr>
          </w:p>
        </w:tc>
        <w:tc>
          <w:tcPr>
            <w:tcW w:w="1300" w:type="dxa"/>
            <w:vAlign w:val="bottom"/>
            <w:gridSpan w:val="3"/>
            <w:vMerge w:val="restart"/>
          </w:tcPr>
          <w:p>
            <w:pPr>
              <w:jc w:val="right"/>
              <w:ind w:right="100"/>
              <w:spacing w:after="0"/>
              <w:rPr>
                <w:sz w:val="20"/>
                <w:szCs w:val="20"/>
                <w:color w:val="auto"/>
              </w:rPr>
            </w:pPr>
            <w:r>
              <w:rPr>
                <w:rFonts w:ascii="Arial" w:cs="Arial" w:eastAsia="Arial" w:hAnsi="Arial"/>
                <w:sz w:val="14"/>
                <w:szCs w:val="14"/>
                <w:b w:val="1"/>
                <w:bCs w:val="1"/>
                <w:color w:val="auto"/>
                <w:w w:val="90"/>
              </w:rPr>
              <w:t>September 30, 2013</w:t>
            </w:r>
          </w:p>
        </w:tc>
        <w:tc>
          <w:tcPr>
            <w:tcW w:w="0" w:type="dxa"/>
            <w:vAlign w:val="bottom"/>
          </w:tcPr>
          <w:p>
            <w:pPr>
              <w:spacing w:after="0"/>
              <w:rPr>
                <w:sz w:val="1"/>
                <w:szCs w:val="1"/>
                <w:color w:val="auto"/>
              </w:rPr>
            </w:pPr>
          </w:p>
        </w:tc>
      </w:tr>
      <w:tr>
        <w:trPr>
          <w:trHeight w:val="171"/>
        </w:trPr>
        <w:tc>
          <w:tcPr>
            <w:tcW w:w="78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(unaudited)</w:t>
            </w:r>
          </w:p>
        </w:tc>
        <w:tc>
          <w:tcPr>
            <w:tcW w:w="80" w:type="dxa"/>
            <w:vAlign w:val="bottom"/>
          </w:tcPr>
          <w:p>
            <w:pPr>
              <w:spacing w:after="0"/>
              <w:rPr>
                <w:sz w:val="14"/>
                <w:szCs w:val="14"/>
                <w:color w:val="auto"/>
              </w:rPr>
            </w:pPr>
          </w:p>
        </w:tc>
        <w:tc>
          <w:tcPr>
            <w:tcW w:w="130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78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Assets</w:t>
            </w:r>
          </w:p>
        </w:tc>
        <w:tc>
          <w:tcPr>
            <w:tcW w:w="7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0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840" w:type="dxa"/>
            <w:vAlign w:val="bottom"/>
          </w:tcPr>
          <w:p>
            <w:pPr>
              <w:spacing w:after="0"/>
              <w:rPr>
                <w:sz w:val="20"/>
                <w:szCs w:val="20"/>
                <w:color w:val="auto"/>
              </w:rPr>
            </w:pPr>
            <w:r>
              <w:rPr>
                <w:rFonts w:ascii="Arial" w:cs="Arial" w:eastAsia="Arial" w:hAnsi="Arial"/>
                <w:sz w:val="18"/>
                <w:szCs w:val="18"/>
                <w:color w:val="auto"/>
              </w:rPr>
              <w:t>Investments at fair value</w:t>
            </w: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7840" w:type="dxa"/>
            <w:vAlign w:val="bottom"/>
            <w:shd w:val="clear" w:color="auto" w:fill="CCEEFF"/>
          </w:tcPr>
          <w:p>
            <w:pPr>
              <w:ind w:left="360"/>
              <w:spacing w:after="0" w:line="201" w:lineRule="exact"/>
              <w:rPr>
                <w:sz w:val="20"/>
                <w:szCs w:val="20"/>
                <w:color w:val="auto"/>
              </w:rPr>
            </w:pPr>
            <w:r>
              <w:rPr>
                <w:rFonts w:ascii="Arial" w:cs="Arial" w:eastAsia="Arial" w:hAnsi="Arial"/>
                <w:sz w:val="18"/>
                <w:szCs w:val="18"/>
                <w:color w:val="auto"/>
              </w:rPr>
              <w:t>Non-controlled, non-affiliated investments</w:t>
            </w:r>
          </w:p>
        </w:tc>
        <w:tc>
          <w:tcPr>
            <w:tcW w:w="820" w:type="dxa"/>
            <w:vAlign w:val="bottom"/>
            <w:gridSpan w:val="2"/>
            <w:shd w:val="clear" w:color="auto" w:fill="CCEEFF"/>
          </w:tcPr>
          <w:p>
            <w:pPr>
              <w:ind w:left="720"/>
              <w:spacing w:after="0" w:line="201" w:lineRule="exact"/>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140"/>
              <w:spacing w:after="0" w:line="201" w:lineRule="exact"/>
              <w:rPr>
                <w:sz w:val="20"/>
                <w:szCs w:val="20"/>
                <w:color w:val="auto"/>
              </w:rPr>
            </w:pPr>
            <w:r>
              <w:rPr>
                <w:rFonts w:ascii="Arial" w:cs="Arial" w:eastAsia="Arial" w:hAnsi="Arial"/>
                <w:sz w:val="18"/>
                <w:szCs w:val="18"/>
                <w:color w:val="auto"/>
                <w:w w:val="90"/>
              </w:rPr>
              <w:t>1,055,902,267</w:t>
            </w:r>
          </w:p>
        </w:tc>
        <w:tc>
          <w:tcPr>
            <w:tcW w:w="200" w:type="dxa"/>
            <w:vAlign w:val="bottom"/>
            <w:gridSpan w:val="2"/>
            <w:shd w:val="clear" w:color="auto" w:fill="CCEEFF"/>
          </w:tcPr>
          <w:p>
            <w:pPr>
              <w:jc w:val="right"/>
              <w:spacing w:after="0" w:line="201" w:lineRule="exact"/>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100"/>
              <w:spacing w:after="0" w:line="201" w:lineRule="exact"/>
              <w:rPr>
                <w:sz w:val="20"/>
                <w:szCs w:val="20"/>
                <w:color w:val="auto"/>
              </w:rPr>
            </w:pPr>
            <w:r>
              <w:rPr>
                <w:rFonts w:ascii="Arial" w:cs="Arial" w:eastAsia="Arial" w:hAnsi="Arial"/>
                <w:sz w:val="18"/>
                <w:szCs w:val="18"/>
                <w:color w:val="auto"/>
              </w:rPr>
              <w:t>968,471,042</w:t>
            </w:r>
          </w:p>
        </w:tc>
        <w:tc>
          <w:tcPr>
            <w:tcW w:w="0" w:type="dxa"/>
            <w:vAlign w:val="bottom"/>
          </w:tcPr>
          <w:p>
            <w:pPr>
              <w:spacing w:after="0"/>
              <w:rPr>
                <w:sz w:val="1"/>
                <w:szCs w:val="1"/>
                <w:color w:val="auto"/>
              </w:rPr>
            </w:pPr>
          </w:p>
        </w:tc>
      </w:tr>
      <w:tr>
        <w:trPr>
          <w:trHeight w:val="244"/>
        </w:trPr>
        <w:tc>
          <w:tcPr>
            <w:tcW w:w="7840" w:type="dxa"/>
            <w:vAlign w:val="bottom"/>
            <w:shd w:val="clear" w:color="auto" w:fill="CCEEFF"/>
          </w:tcPr>
          <w:p>
            <w:pPr>
              <w:ind w:left="540"/>
              <w:spacing w:after="0"/>
              <w:rPr>
                <w:sz w:val="20"/>
                <w:szCs w:val="20"/>
                <w:color w:val="auto"/>
              </w:rPr>
            </w:pPr>
            <w:r>
              <w:rPr>
                <w:rFonts w:ascii="Arial" w:cs="Arial" w:eastAsia="Arial" w:hAnsi="Arial"/>
                <w:sz w:val="18"/>
                <w:szCs w:val="18"/>
                <w:color w:val="auto"/>
              </w:rPr>
              <w:t>(cost—$1,001,294,305 and $928,078,589, respectively)</w:t>
            </w:r>
          </w:p>
        </w:tc>
        <w:tc>
          <w:tcPr>
            <w:tcW w:w="7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2"/>
        </w:trPr>
        <w:tc>
          <w:tcPr>
            <w:tcW w:w="7840" w:type="dxa"/>
            <w:vAlign w:val="bottom"/>
          </w:tcPr>
          <w:p>
            <w:pPr>
              <w:ind w:left="360"/>
              <w:spacing w:after="0" w:line="201" w:lineRule="exact"/>
              <w:rPr>
                <w:sz w:val="20"/>
                <w:szCs w:val="20"/>
                <w:color w:val="auto"/>
              </w:rPr>
            </w:pPr>
            <w:r>
              <w:rPr>
                <w:rFonts w:ascii="Arial" w:cs="Arial" w:eastAsia="Arial" w:hAnsi="Arial"/>
                <w:sz w:val="18"/>
                <w:szCs w:val="18"/>
                <w:color w:val="auto"/>
              </w:rPr>
              <w:t>Non-controlled, affiliated investments</w:t>
            </w: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gridSpan w:val="2"/>
          </w:tcPr>
          <w:p>
            <w:pPr>
              <w:jc w:val="right"/>
              <w:ind w:right="140"/>
              <w:spacing w:after="0" w:line="201" w:lineRule="exact"/>
              <w:rPr>
                <w:sz w:val="20"/>
                <w:szCs w:val="20"/>
                <w:color w:val="auto"/>
              </w:rPr>
            </w:pPr>
            <w:r>
              <w:rPr>
                <w:rFonts w:ascii="Arial" w:cs="Arial" w:eastAsia="Arial" w:hAnsi="Arial"/>
                <w:sz w:val="18"/>
                <w:szCs w:val="18"/>
                <w:color w:val="auto"/>
              </w:rPr>
              <w:t>84,447,274</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80" w:type="dxa"/>
            <w:vAlign w:val="bottom"/>
            <w:gridSpan w:val="2"/>
          </w:tcPr>
          <w:p>
            <w:pPr>
              <w:jc w:val="right"/>
              <w:ind w:right="100"/>
              <w:spacing w:after="0" w:line="201" w:lineRule="exact"/>
              <w:rPr>
                <w:sz w:val="20"/>
                <w:szCs w:val="20"/>
                <w:color w:val="auto"/>
              </w:rPr>
            </w:pPr>
            <w:r>
              <w:rPr>
                <w:rFonts w:ascii="Arial" w:cs="Arial" w:eastAsia="Arial" w:hAnsi="Arial"/>
                <w:sz w:val="18"/>
                <w:szCs w:val="18"/>
                <w:color w:val="auto"/>
              </w:rPr>
              <w:t>76,735,800</w:t>
            </w:r>
          </w:p>
        </w:tc>
        <w:tc>
          <w:tcPr>
            <w:tcW w:w="0" w:type="dxa"/>
            <w:vAlign w:val="bottom"/>
          </w:tcPr>
          <w:p>
            <w:pPr>
              <w:spacing w:after="0"/>
              <w:rPr>
                <w:sz w:val="1"/>
                <w:szCs w:val="1"/>
                <w:color w:val="auto"/>
              </w:rPr>
            </w:pPr>
          </w:p>
        </w:tc>
      </w:tr>
      <w:tr>
        <w:trPr>
          <w:trHeight w:val="237"/>
        </w:trPr>
        <w:tc>
          <w:tcPr>
            <w:tcW w:w="7840" w:type="dxa"/>
            <w:vAlign w:val="bottom"/>
          </w:tcPr>
          <w:p>
            <w:pPr>
              <w:ind w:left="540"/>
              <w:spacing w:after="0"/>
              <w:rPr>
                <w:sz w:val="20"/>
                <w:szCs w:val="20"/>
                <w:color w:val="auto"/>
              </w:rPr>
            </w:pPr>
            <w:r>
              <w:rPr>
                <w:rFonts w:ascii="Arial" w:cs="Arial" w:eastAsia="Arial" w:hAnsi="Arial"/>
                <w:sz w:val="18"/>
                <w:szCs w:val="18"/>
                <w:color w:val="auto"/>
              </w:rPr>
              <w:t>(cost—$107,398,794 and $99,021,141, respectively)</w:t>
            </w: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8"/>
        </w:trPr>
        <w:tc>
          <w:tcPr>
            <w:tcW w:w="78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Controlled, affiliated investments</w:t>
            </w: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68,931,881</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32,968,711</w:t>
            </w:r>
          </w:p>
        </w:tc>
        <w:tc>
          <w:tcPr>
            <w:tcW w:w="0" w:type="dxa"/>
            <w:vAlign w:val="bottom"/>
          </w:tcPr>
          <w:p>
            <w:pPr>
              <w:spacing w:after="0"/>
              <w:rPr>
                <w:sz w:val="1"/>
                <w:szCs w:val="1"/>
                <w:color w:val="auto"/>
              </w:rPr>
            </w:pPr>
          </w:p>
        </w:tc>
      </w:tr>
      <w:tr>
        <w:trPr>
          <w:trHeight w:val="244"/>
        </w:trPr>
        <w:tc>
          <w:tcPr>
            <w:tcW w:w="7840" w:type="dxa"/>
            <w:vAlign w:val="bottom"/>
            <w:shd w:val="clear" w:color="auto" w:fill="CCEEFF"/>
          </w:tcPr>
          <w:p>
            <w:pPr>
              <w:ind w:left="540"/>
              <w:spacing w:after="0"/>
              <w:rPr>
                <w:sz w:val="20"/>
                <w:szCs w:val="20"/>
                <w:color w:val="auto"/>
              </w:rPr>
            </w:pPr>
            <w:r>
              <w:rPr>
                <w:rFonts w:ascii="Arial" w:cs="Arial" w:eastAsia="Arial" w:hAnsi="Arial"/>
                <w:sz w:val="18"/>
                <w:szCs w:val="18"/>
                <w:color w:val="auto"/>
              </w:rPr>
              <w:t>(cost—$99,193,930 and $64,418,155, respectively)</w:t>
            </w:r>
          </w:p>
        </w:tc>
        <w:tc>
          <w:tcPr>
            <w:tcW w:w="720" w:type="dxa"/>
            <w:vAlign w:val="bottom"/>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7840" w:type="dxa"/>
            <w:vAlign w:val="bottom"/>
          </w:tcPr>
          <w:p>
            <w:pPr>
              <w:ind w:left="360"/>
              <w:spacing w:after="0"/>
              <w:rPr>
                <w:sz w:val="20"/>
                <w:szCs w:val="20"/>
                <w:color w:val="auto"/>
              </w:rPr>
            </w:pPr>
            <w:r>
              <w:rPr>
                <w:rFonts w:ascii="Arial" w:cs="Arial" w:eastAsia="Arial" w:hAnsi="Arial"/>
                <w:sz w:val="18"/>
                <w:szCs w:val="18"/>
                <w:color w:val="auto"/>
              </w:rPr>
              <w:t>Total of investments (cost—$1,207,887,029 and $1,091,517,885, respectively)</w:t>
            </w: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w w:val="90"/>
              </w:rPr>
              <w:t>1,209,281,422</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w w:val="92"/>
              </w:rPr>
              <w:t>1,078,175,553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84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(See Note 8)</w:t>
            </w: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30,803,635</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58,440,829</w:t>
            </w:r>
          </w:p>
        </w:tc>
        <w:tc>
          <w:tcPr>
            <w:tcW w:w="0" w:type="dxa"/>
            <w:vAlign w:val="bottom"/>
          </w:tcPr>
          <w:p>
            <w:pPr>
              <w:spacing w:after="0"/>
              <w:rPr>
                <w:sz w:val="1"/>
                <w:szCs w:val="1"/>
                <w:color w:val="auto"/>
              </w:rPr>
            </w:pPr>
          </w:p>
        </w:tc>
      </w:tr>
      <w:tr>
        <w:trPr>
          <w:trHeight w:val="216"/>
        </w:trPr>
        <w:tc>
          <w:tcPr>
            <w:tcW w:w="7840" w:type="dxa"/>
            <w:vAlign w:val="bottom"/>
          </w:tcPr>
          <w:p>
            <w:pPr>
              <w:spacing w:after="0"/>
              <w:rPr>
                <w:sz w:val="20"/>
                <w:szCs w:val="20"/>
                <w:color w:val="auto"/>
              </w:rPr>
            </w:pPr>
            <w:r>
              <w:rPr>
                <w:rFonts w:ascii="Arial" w:cs="Arial" w:eastAsia="Arial" w:hAnsi="Arial"/>
                <w:sz w:val="18"/>
                <w:szCs w:val="18"/>
                <w:color w:val="auto"/>
              </w:rPr>
              <w:t>Interest receivable</w:t>
            </w: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8,685,856</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10,894,893</w:t>
            </w:r>
          </w:p>
        </w:tc>
        <w:tc>
          <w:tcPr>
            <w:tcW w:w="0" w:type="dxa"/>
            <w:vAlign w:val="bottom"/>
          </w:tcPr>
          <w:p>
            <w:pPr>
              <w:spacing w:after="0"/>
              <w:rPr>
                <w:sz w:val="1"/>
                <w:szCs w:val="1"/>
                <w:color w:val="auto"/>
              </w:rPr>
            </w:pPr>
          </w:p>
        </w:tc>
      </w:tr>
      <w:tr>
        <w:trPr>
          <w:trHeight w:val="216"/>
        </w:trPr>
        <w:tc>
          <w:tcPr>
            <w:tcW w:w="7840" w:type="dxa"/>
            <w:vAlign w:val="bottom"/>
            <w:shd w:val="clear" w:color="auto" w:fill="CCEEFF"/>
          </w:tcPr>
          <w:p>
            <w:pPr>
              <w:spacing w:after="0"/>
              <w:rPr>
                <w:sz w:val="20"/>
                <w:szCs w:val="20"/>
                <w:color w:val="auto"/>
              </w:rPr>
            </w:pPr>
            <w:r>
              <w:rPr>
                <w:rFonts w:ascii="Arial" w:cs="Arial" w:eastAsia="Arial" w:hAnsi="Arial"/>
                <w:sz w:val="18"/>
                <w:szCs w:val="18"/>
                <w:color w:val="auto"/>
              </w:rPr>
              <w:t>Prepaid expenses and other assets</w:t>
            </w: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6,661,622</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5,815,817</w:t>
            </w:r>
          </w:p>
        </w:tc>
        <w:tc>
          <w:tcPr>
            <w:tcW w:w="0" w:type="dxa"/>
            <w:vAlign w:val="bottom"/>
          </w:tcPr>
          <w:p>
            <w:pPr>
              <w:spacing w:after="0"/>
              <w:rPr>
                <w:sz w:val="1"/>
                <w:szCs w:val="1"/>
                <w:color w:val="auto"/>
              </w:rPr>
            </w:pPr>
          </w:p>
        </w:tc>
      </w:tr>
      <w:tr>
        <w:trPr>
          <w:trHeight w:val="230"/>
        </w:trPr>
        <w:tc>
          <w:tcPr>
            <w:tcW w:w="7840" w:type="dxa"/>
            <w:vAlign w:val="bottom"/>
          </w:tcPr>
          <w:p>
            <w:pPr>
              <w:ind w:left="720"/>
              <w:spacing w:after="0"/>
              <w:rPr>
                <w:sz w:val="20"/>
                <w:szCs w:val="20"/>
                <w:color w:val="auto"/>
              </w:rPr>
            </w:pPr>
            <w:r>
              <w:rPr>
                <w:rFonts w:ascii="Arial" w:cs="Arial" w:eastAsia="Arial" w:hAnsi="Arial"/>
                <w:sz w:val="18"/>
                <w:szCs w:val="18"/>
                <w:b w:val="1"/>
                <w:bCs w:val="1"/>
                <w:color w:val="auto"/>
              </w:rPr>
              <w:t>Total assets</w:t>
            </w:r>
          </w:p>
        </w:tc>
        <w:tc>
          <w:tcPr>
            <w:tcW w:w="7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0"/>
              </w:rPr>
              <w:t>1,255,432,535</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2"/>
              </w:rPr>
              <w:t>1,153,327,092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8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w:t>
            </w: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40" w:type="dxa"/>
            <w:vAlign w:val="bottom"/>
          </w:tcPr>
          <w:p>
            <w:pPr>
              <w:spacing w:after="0"/>
              <w:rPr>
                <w:sz w:val="20"/>
                <w:szCs w:val="20"/>
                <w:color w:val="auto"/>
              </w:rPr>
            </w:pPr>
            <w:r>
              <w:rPr>
                <w:rFonts w:ascii="Arial" w:cs="Arial" w:eastAsia="Arial" w:hAnsi="Arial"/>
                <w:sz w:val="18"/>
                <w:szCs w:val="18"/>
                <w:color w:val="auto"/>
              </w:rPr>
              <w:t>Distributions payable</w:t>
            </w:r>
          </w:p>
        </w:tc>
        <w:tc>
          <w:tcPr>
            <w:tcW w:w="820" w:type="dxa"/>
            <w:vAlign w:val="bottom"/>
            <w:gridSpan w:val="2"/>
          </w:tcPr>
          <w:p>
            <w:pPr>
              <w:ind w:left="720"/>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18,633,086</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18,619,812</w:t>
            </w:r>
          </w:p>
        </w:tc>
        <w:tc>
          <w:tcPr>
            <w:tcW w:w="0" w:type="dxa"/>
            <w:vAlign w:val="bottom"/>
          </w:tcPr>
          <w:p>
            <w:pPr>
              <w:spacing w:after="0"/>
              <w:rPr>
                <w:sz w:val="1"/>
                <w:szCs w:val="1"/>
                <w:color w:val="auto"/>
              </w:rPr>
            </w:pPr>
          </w:p>
        </w:tc>
      </w:tr>
      <w:tr>
        <w:trPr>
          <w:trHeight w:val="216"/>
        </w:trPr>
        <w:tc>
          <w:tcPr>
            <w:tcW w:w="7840" w:type="dxa"/>
            <w:vAlign w:val="bottom"/>
            <w:shd w:val="clear" w:color="auto" w:fill="CCEEFF"/>
          </w:tcPr>
          <w:p>
            <w:pPr>
              <w:spacing w:after="0"/>
              <w:rPr>
                <w:sz w:val="20"/>
                <w:szCs w:val="20"/>
                <w:color w:val="auto"/>
              </w:rPr>
            </w:pPr>
            <w:r>
              <w:rPr>
                <w:rFonts w:ascii="Arial" w:cs="Arial" w:eastAsia="Arial" w:hAnsi="Arial"/>
                <w:sz w:val="18"/>
                <w:szCs w:val="18"/>
                <w:color w:val="auto"/>
              </w:rPr>
              <w:t>Payable for investments purchased</w:t>
            </w: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14,450,000</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52,544,704</w:t>
            </w:r>
          </w:p>
        </w:tc>
        <w:tc>
          <w:tcPr>
            <w:tcW w:w="0" w:type="dxa"/>
            <w:vAlign w:val="bottom"/>
          </w:tcPr>
          <w:p>
            <w:pPr>
              <w:spacing w:after="0"/>
              <w:rPr>
                <w:sz w:val="1"/>
                <w:szCs w:val="1"/>
                <w:color w:val="auto"/>
              </w:rPr>
            </w:pPr>
          </w:p>
        </w:tc>
      </w:tr>
      <w:tr>
        <w:trPr>
          <w:trHeight w:val="216"/>
        </w:trPr>
        <w:tc>
          <w:tcPr>
            <w:tcW w:w="7840" w:type="dxa"/>
            <w:vAlign w:val="bottom"/>
          </w:tcPr>
          <w:p>
            <w:pPr>
              <w:spacing w:after="0"/>
              <w:rPr>
                <w:sz w:val="20"/>
                <w:szCs w:val="20"/>
                <w:color w:val="auto"/>
              </w:rPr>
            </w:pPr>
            <w:r>
              <w:rPr>
                <w:rFonts w:ascii="Arial" w:cs="Arial" w:eastAsia="Arial" w:hAnsi="Arial"/>
                <w:sz w:val="18"/>
                <w:szCs w:val="18"/>
                <w:color w:val="auto"/>
              </w:rPr>
              <w:t>Unfunded investments</w:t>
            </w: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32,474,167</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7,241,667</w:t>
            </w:r>
          </w:p>
        </w:tc>
        <w:tc>
          <w:tcPr>
            <w:tcW w:w="0" w:type="dxa"/>
            <w:vAlign w:val="bottom"/>
          </w:tcPr>
          <w:p>
            <w:pPr>
              <w:spacing w:after="0"/>
              <w:rPr>
                <w:sz w:val="1"/>
                <w:szCs w:val="1"/>
                <w:color w:val="auto"/>
              </w:rPr>
            </w:pPr>
          </w:p>
        </w:tc>
      </w:tr>
      <w:tr>
        <w:trPr>
          <w:trHeight w:val="216"/>
        </w:trPr>
        <w:tc>
          <w:tcPr>
            <w:tcW w:w="7840" w:type="dxa"/>
            <w:vAlign w:val="bottom"/>
            <w:shd w:val="clear" w:color="auto" w:fill="CCEEFF"/>
          </w:tcPr>
          <w:p>
            <w:pPr>
              <w:spacing w:after="0"/>
              <w:rPr>
                <w:sz w:val="20"/>
                <w:szCs w:val="20"/>
                <w:color w:val="auto"/>
              </w:rPr>
            </w:pPr>
            <w:r>
              <w:rPr>
                <w:rFonts w:ascii="Arial" w:cs="Arial" w:eastAsia="Arial" w:hAnsi="Arial"/>
                <w:sz w:val="18"/>
                <w:szCs w:val="18"/>
                <w:color w:val="auto"/>
                <w:w w:val="99"/>
              </w:rPr>
              <w:t>Credit Facility payable (cost—$240,000,000 and $145,500,000, respectively) (See Notes 5 and 10)</w:t>
            </w: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240,000,000</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145,500,000</w:t>
            </w:r>
          </w:p>
        </w:tc>
        <w:tc>
          <w:tcPr>
            <w:tcW w:w="0" w:type="dxa"/>
            <w:vAlign w:val="bottom"/>
          </w:tcPr>
          <w:p>
            <w:pPr>
              <w:spacing w:after="0"/>
              <w:rPr>
                <w:sz w:val="1"/>
                <w:szCs w:val="1"/>
                <w:color w:val="auto"/>
              </w:rPr>
            </w:pPr>
          </w:p>
        </w:tc>
      </w:tr>
      <w:tr>
        <w:trPr>
          <w:trHeight w:val="216"/>
        </w:trPr>
        <w:tc>
          <w:tcPr>
            <w:tcW w:w="7840" w:type="dxa"/>
            <w:vAlign w:val="bottom"/>
          </w:tcPr>
          <w:p>
            <w:pPr>
              <w:spacing w:after="0"/>
              <w:rPr>
                <w:sz w:val="20"/>
                <w:szCs w:val="20"/>
                <w:color w:val="auto"/>
              </w:rPr>
            </w:pPr>
            <w:r>
              <w:rPr>
                <w:rFonts w:ascii="Arial" w:cs="Arial" w:eastAsia="Arial" w:hAnsi="Arial"/>
                <w:sz w:val="18"/>
                <w:szCs w:val="18"/>
                <w:color w:val="auto"/>
              </w:rPr>
              <w:t>SBA debentures payable (cost—$150,000,000) (See Notes 5 and 10)</w:t>
            </w: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150,000,000</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150,000,000</w:t>
            </w:r>
          </w:p>
        </w:tc>
        <w:tc>
          <w:tcPr>
            <w:tcW w:w="0" w:type="dxa"/>
            <w:vAlign w:val="bottom"/>
          </w:tcPr>
          <w:p>
            <w:pPr>
              <w:spacing w:after="0"/>
              <w:rPr>
                <w:sz w:val="1"/>
                <w:szCs w:val="1"/>
                <w:color w:val="auto"/>
              </w:rPr>
            </w:pPr>
          </w:p>
        </w:tc>
      </w:tr>
      <w:tr>
        <w:trPr>
          <w:trHeight w:val="216"/>
        </w:trPr>
        <w:tc>
          <w:tcPr>
            <w:tcW w:w="7840" w:type="dxa"/>
            <w:vAlign w:val="bottom"/>
            <w:shd w:val="clear" w:color="auto" w:fill="CCEEFF"/>
          </w:tcPr>
          <w:p>
            <w:pPr>
              <w:spacing w:after="0"/>
              <w:rPr>
                <w:sz w:val="20"/>
                <w:szCs w:val="20"/>
                <w:color w:val="auto"/>
              </w:rPr>
            </w:pPr>
            <w:r>
              <w:rPr>
                <w:rFonts w:ascii="Arial" w:cs="Arial" w:eastAsia="Arial" w:hAnsi="Arial"/>
                <w:sz w:val="18"/>
                <w:szCs w:val="18"/>
                <w:color w:val="auto"/>
              </w:rPr>
              <w:t>2025 Notes payable (cost—$71,250,000) (See Notes 5 and 10)</w:t>
            </w: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64,296,000</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68,400,000</w:t>
            </w:r>
          </w:p>
        </w:tc>
        <w:tc>
          <w:tcPr>
            <w:tcW w:w="0" w:type="dxa"/>
            <w:vAlign w:val="bottom"/>
          </w:tcPr>
          <w:p>
            <w:pPr>
              <w:spacing w:after="0"/>
              <w:rPr>
                <w:sz w:val="1"/>
                <w:szCs w:val="1"/>
                <w:color w:val="auto"/>
              </w:rPr>
            </w:pPr>
          </w:p>
        </w:tc>
      </w:tr>
      <w:tr>
        <w:trPr>
          <w:trHeight w:val="216"/>
        </w:trPr>
        <w:tc>
          <w:tcPr>
            <w:tcW w:w="7840" w:type="dxa"/>
            <w:vAlign w:val="bottom"/>
          </w:tcPr>
          <w:p>
            <w:pPr>
              <w:spacing w:after="0"/>
              <w:rPr>
                <w:sz w:val="20"/>
                <w:szCs w:val="20"/>
                <w:color w:val="auto"/>
              </w:rPr>
            </w:pPr>
            <w:r>
              <w:rPr>
                <w:rFonts w:ascii="Arial" w:cs="Arial" w:eastAsia="Arial" w:hAnsi="Arial"/>
                <w:sz w:val="18"/>
                <w:szCs w:val="18"/>
                <w:color w:val="auto"/>
              </w:rPr>
              <w:t>Management fee payable (See Note 3)</w:t>
            </w: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5,747,060</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5,419,557</w:t>
            </w:r>
          </w:p>
        </w:tc>
        <w:tc>
          <w:tcPr>
            <w:tcW w:w="0" w:type="dxa"/>
            <w:vAlign w:val="bottom"/>
          </w:tcPr>
          <w:p>
            <w:pPr>
              <w:spacing w:after="0"/>
              <w:rPr>
                <w:sz w:val="1"/>
                <w:szCs w:val="1"/>
                <w:color w:val="auto"/>
              </w:rPr>
            </w:pPr>
          </w:p>
        </w:tc>
      </w:tr>
      <w:tr>
        <w:trPr>
          <w:trHeight w:val="216"/>
        </w:trPr>
        <w:tc>
          <w:tcPr>
            <w:tcW w:w="7840" w:type="dxa"/>
            <w:vAlign w:val="bottom"/>
            <w:shd w:val="clear" w:color="auto" w:fill="CCEEFF"/>
          </w:tcPr>
          <w:p>
            <w:pPr>
              <w:spacing w:after="0"/>
              <w:rPr>
                <w:sz w:val="20"/>
                <w:szCs w:val="20"/>
                <w:color w:val="auto"/>
              </w:rPr>
            </w:pPr>
            <w:r>
              <w:rPr>
                <w:rFonts w:ascii="Arial" w:cs="Arial" w:eastAsia="Arial" w:hAnsi="Arial"/>
                <w:sz w:val="18"/>
                <w:szCs w:val="18"/>
                <w:color w:val="auto"/>
              </w:rPr>
              <w:t>Performance-based incentive fee payable (See Note 3)</w:t>
            </w: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4,488,779</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4,274,881</w:t>
            </w:r>
          </w:p>
        </w:tc>
        <w:tc>
          <w:tcPr>
            <w:tcW w:w="0" w:type="dxa"/>
            <w:vAlign w:val="bottom"/>
          </w:tcPr>
          <w:p>
            <w:pPr>
              <w:spacing w:after="0"/>
              <w:rPr>
                <w:sz w:val="1"/>
                <w:szCs w:val="1"/>
                <w:color w:val="auto"/>
              </w:rPr>
            </w:pPr>
          </w:p>
        </w:tc>
      </w:tr>
      <w:tr>
        <w:trPr>
          <w:trHeight w:val="216"/>
        </w:trPr>
        <w:tc>
          <w:tcPr>
            <w:tcW w:w="7840" w:type="dxa"/>
            <w:vAlign w:val="bottom"/>
          </w:tcPr>
          <w:p>
            <w:pPr>
              <w:spacing w:after="0"/>
              <w:rPr>
                <w:sz w:val="20"/>
                <w:szCs w:val="20"/>
                <w:color w:val="auto"/>
              </w:rPr>
            </w:pPr>
            <w:r>
              <w:rPr>
                <w:rFonts w:ascii="Arial" w:cs="Arial" w:eastAsia="Arial" w:hAnsi="Arial"/>
                <w:sz w:val="18"/>
                <w:szCs w:val="18"/>
                <w:color w:val="auto"/>
              </w:rPr>
              <w:t>Interest payable on debt</w:t>
            </w: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3,250,388</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1,810,466</w:t>
            </w:r>
          </w:p>
        </w:tc>
        <w:tc>
          <w:tcPr>
            <w:tcW w:w="0" w:type="dxa"/>
            <w:vAlign w:val="bottom"/>
          </w:tcPr>
          <w:p>
            <w:pPr>
              <w:spacing w:after="0"/>
              <w:rPr>
                <w:sz w:val="1"/>
                <w:szCs w:val="1"/>
                <w:color w:val="auto"/>
              </w:rPr>
            </w:pPr>
          </w:p>
        </w:tc>
      </w:tr>
      <w:tr>
        <w:trPr>
          <w:trHeight w:val="216"/>
        </w:trPr>
        <w:tc>
          <w:tcPr>
            <w:tcW w:w="7840" w:type="dxa"/>
            <w:vAlign w:val="bottom"/>
            <w:shd w:val="clear" w:color="auto" w:fill="CCEEFF"/>
          </w:tcPr>
          <w:p>
            <w:pPr>
              <w:spacing w:after="0"/>
              <w:rPr>
                <w:sz w:val="20"/>
                <w:szCs w:val="20"/>
                <w:color w:val="auto"/>
              </w:rPr>
            </w:pPr>
            <w:r>
              <w:rPr>
                <w:rFonts w:ascii="Arial" w:cs="Arial" w:eastAsia="Arial" w:hAnsi="Arial"/>
                <w:sz w:val="18"/>
                <w:szCs w:val="18"/>
                <w:color w:val="auto"/>
              </w:rPr>
              <w:t>Accrued other expenses</w:t>
            </w: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3,227,868</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2,009,806</w:t>
            </w:r>
          </w:p>
        </w:tc>
        <w:tc>
          <w:tcPr>
            <w:tcW w:w="0" w:type="dxa"/>
            <w:vAlign w:val="bottom"/>
          </w:tcPr>
          <w:p>
            <w:pPr>
              <w:spacing w:after="0"/>
              <w:rPr>
                <w:sz w:val="1"/>
                <w:szCs w:val="1"/>
                <w:color w:val="auto"/>
              </w:rPr>
            </w:pPr>
          </w:p>
        </w:tc>
      </w:tr>
      <w:tr>
        <w:trPr>
          <w:trHeight w:val="230"/>
        </w:trPr>
        <w:tc>
          <w:tcPr>
            <w:tcW w:w="7840" w:type="dxa"/>
            <w:vAlign w:val="bottom"/>
          </w:tcPr>
          <w:p>
            <w:pPr>
              <w:ind w:left="720"/>
              <w:spacing w:after="0"/>
              <w:rPr>
                <w:sz w:val="20"/>
                <w:szCs w:val="20"/>
                <w:color w:val="auto"/>
              </w:rPr>
            </w:pPr>
            <w:r>
              <w:rPr>
                <w:rFonts w:ascii="Arial" w:cs="Arial" w:eastAsia="Arial" w:hAnsi="Arial"/>
                <w:sz w:val="18"/>
                <w:szCs w:val="18"/>
                <w:b w:val="1"/>
                <w:bCs w:val="1"/>
                <w:color w:val="auto"/>
              </w:rPr>
              <w:t>Total liabilities</w:t>
            </w:r>
          </w:p>
        </w:tc>
        <w:tc>
          <w:tcPr>
            <w:tcW w:w="7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536,567,348</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455,820,893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840" w:type="dxa"/>
            <w:vAlign w:val="bottom"/>
            <w:shd w:val="clear" w:color="auto" w:fill="CCEEFF"/>
          </w:tcPr>
          <w:p>
            <w:pPr>
              <w:spacing w:after="0"/>
              <w:rPr>
                <w:sz w:val="20"/>
                <w:szCs w:val="20"/>
                <w:color w:val="auto"/>
              </w:rPr>
            </w:pPr>
            <w:r>
              <w:rPr>
                <w:rFonts w:ascii="Arial" w:cs="Arial" w:eastAsia="Arial" w:hAnsi="Arial"/>
                <w:sz w:val="18"/>
                <w:szCs w:val="18"/>
                <w:color w:val="auto"/>
              </w:rPr>
              <w:t>Commitments and contingencies (See Note 11)</w:t>
            </w: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40" w:type="dxa"/>
            <w:vAlign w:val="bottom"/>
          </w:tcPr>
          <w:p>
            <w:pPr>
              <w:spacing w:after="0"/>
              <w:rPr>
                <w:sz w:val="20"/>
                <w:szCs w:val="20"/>
                <w:color w:val="auto"/>
              </w:rPr>
            </w:pPr>
            <w:r>
              <w:rPr>
                <w:rFonts w:ascii="Arial" w:cs="Arial" w:eastAsia="Arial" w:hAnsi="Arial"/>
                <w:sz w:val="18"/>
                <w:szCs w:val="18"/>
                <w:b w:val="1"/>
                <w:bCs w:val="1"/>
                <w:color w:val="auto"/>
              </w:rPr>
              <w:t>Net assets</w:t>
            </w: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78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Common stock, 66,546,734 and 66,499,327 shares issued and outstanding, respectively.</w:t>
            </w: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4"/>
        </w:trPr>
        <w:tc>
          <w:tcPr>
            <w:tcW w:w="78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Par value $0.001 per share and 100,000,000 shares authorized.</w:t>
            </w:r>
          </w:p>
        </w:tc>
        <w:tc>
          <w:tcPr>
            <w:tcW w:w="7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66,546</w:t>
            </w:r>
          </w:p>
        </w:tc>
        <w:tc>
          <w:tcPr>
            <w:tcW w:w="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66,499</w:t>
            </w:r>
          </w:p>
        </w:tc>
        <w:tc>
          <w:tcPr>
            <w:tcW w:w="0" w:type="dxa"/>
            <w:vAlign w:val="bottom"/>
          </w:tcPr>
          <w:p>
            <w:pPr>
              <w:spacing w:after="0"/>
              <w:rPr>
                <w:sz w:val="1"/>
                <w:szCs w:val="1"/>
                <w:color w:val="auto"/>
              </w:rPr>
            </w:pPr>
          </w:p>
        </w:tc>
      </w:tr>
      <w:tr>
        <w:trPr>
          <w:trHeight w:val="216"/>
        </w:trPr>
        <w:tc>
          <w:tcPr>
            <w:tcW w:w="7840" w:type="dxa"/>
            <w:vAlign w:val="bottom"/>
          </w:tcPr>
          <w:p>
            <w:pPr>
              <w:spacing w:after="0"/>
              <w:rPr>
                <w:sz w:val="20"/>
                <w:szCs w:val="20"/>
                <w:color w:val="auto"/>
              </w:rPr>
            </w:pPr>
            <w:r>
              <w:rPr>
                <w:rFonts w:ascii="Arial" w:cs="Arial" w:eastAsia="Arial" w:hAnsi="Arial"/>
                <w:sz w:val="18"/>
                <w:szCs w:val="18"/>
                <w:color w:val="auto"/>
              </w:rPr>
              <w:t>Paid-in capital in excess of par value</w:t>
            </w: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756,554,170</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756,017,096</w:t>
            </w:r>
          </w:p>
        </w:tc>
        <w:tc>
          <w:tcPr>
            <w:tcW w:w="0" w:type="dxa"/>
            <w:vAlign w:val="bottom"/>
          </w:tcPr>
          <w:p>
            <w:pPr>
              <w:spacing w:after="0"/>
              <w:rPr>
                <w:sz w:val="1"/>
                <w:szCs w:val="1"/>
                <w:color w:val="auto"/>
              </w:rPr>
            </w:pPr>
          </w:p>
        </w:tc>
      </w:tr>
      <w:tr>
        <w:trPr>
          <w:trHeight w:val="216"/>
        </w:trPr>
        <w:tc>
          <w:tcPr>
            <w:tcW w:w="7840" w:type="dxa"/>
            <w:vAlign w:val="bottom"/>
            <w:shd w:val="clear" w:color="auto" w:fill="CCEEFF"/>
          </w:tcPr>
          <w:p>
            <w:pPr>
              <w:spacing w:after="0"/>
              <w:rPr>
                <w:sz w:val="20"/>
                <w:szCs w:val="20"/>
                <w:color w:val="auto"/>
              </w:rPr>
            </w:pPr>
            <w:r>
              <w:rPr>
                <w:rFonts w:ascii="Arial" w:cs="Arial" w:eastAsia="Arial" w:hAnsi="Arial"/>
                <w:sz w:val="18"/>
                <w:szCs w:val="18"/>
                <w:color w:val="auto"/>
              </w:rPr>
              <w:t>Distributions in excess of net investment income</w:t>
            </w: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(5,353,186)</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(4,675,217)</w:t>
            </w:r>
          </w:p>
        </w:tc>
        <w:tc>
          <w:tcPr>
            <w:tcW w:w="0" w:type="dxa"/>
            <w:vAlign w:val="bottom"/>
          </w:tcPr>
          <w:p>
            <w:pPr>
              <w:spacing w:after="0"/>
              <w:rPr>
                <w:sz w:val="1"/>
                <w:szCs w:val="1"/>
                <w:color w:val="auto"/>
              </w:rPr>
            </w:pPr>
          </w:p>
        </w:tc>
      </w:tr>
      <w:tr>
        <w:trPr>
          <w:trHeight w:val="216"/>
        </w:trPr>
        <w:tc>
          <w:tcPr>
            <w:tcW w:w="7840" w:type="dxa"/>
            <w:vAlign w:val="bottom"/>
          </w:tcPr>
          <w:p>
            <w:pPr>
              <w:spacing w:after="0"/>
              <w:rPr>
                <w:sz w:val="20"/>
                <w:szCs w:val="20"/>
                <w:color w:val="auto"/>
              </w:rPr>
            </w:pPr>
            <w:r>
              <w:rPr>
                <w:rFonts w:ascii="Arial" w:cs="Arial" w:eastAsia="Arial" w:hAnsi="Arial"/>
                <w:sz w:val="18"/>
                <w:szCs w:val="18"/>
                <w:color w:val="auto"/>
              </w:rPr>
              <w:t>Accumulated net realized loss on investments</w:t>
            </w: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80"/>
              <w:spacing w:after="0"/>
              <w:rPr>
                <w:sz w:val="20"/>
                <w:szCs w:val="20"/>
                <w:color w:val="auto"/>
              </w:rPr>
            </w:pPr>
            <w:r>
              <w:rPr>
                <w:rFonts w:ascii="Arial" w:cs="Arial" w:eastAsia="Arial" w:hAnsi="Arial"/>
                <w:sz w:val="18"/>
                <w:szCs w:val="18"/>
                <w:color w:val="auto"/>
              </w:rPr>
              <w:t>(40,750,736)</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(43,409,847)</w:t>
            </w:r>
          </w:p>
        </w:tc>
        <w:tc>
          <w:tcPr>
            <w:tcW w:w="0" w:type="dxa"/>
            <w:vAlign w:val="bottom"/>
          </w:tcPr>
          <w:p>
            <w:pPr>
              <w:spacing w:after="0"/>
              <w:rPr>
                <w:sz w:val="1"/>
                <w:szCs w:val="1"/>
                <w:color w:val="auto"/>
              </w:rPr>
            </w:pPr>
          </w:p>
        </w:tc>
      </w:tr>
      <w:tr>
        <w:trPr>
          <w:trHeight w:val="216"/>
        </w:trPr>
        <w:tc>
          <w:tcPr>
            <w:tcW w:w="7840" w:type="dxa"/>
            <w:vAlign w:val="bottom"/>
            <w:shd w:val="clear" w:color="auto" w:fill="CCEEFF"/>
          </w:tcPr>
          <w:p>
            <w:pPr>
              <w:spacing w:after="0"/>
              <w:rPr>
                <w:sz w:val="20"/>
                <w:szCs w:val="20"/>
                <w:color w:val="auto"/>
              </w:rPr>
            </w:pPr>
            <w:r>
              <w:rPr>
                <w:rFonts w:ascii="Arial" w:cs="Arial" w:eastAsia="Arial" w:hAnsi="Arial"/>
                <w:sz w:val="18"/>
                <w:szCs w:val="18"/>
                <w:color w:val="auto"/>
              </w:rPr>
              <w:t>Net unrealized appreciation (depreciation) on investments</w:t>
            </w: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1,394,393</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(13,342,332)</w:t>
            </w:r>
          </w:p>
        </w:tc>
        <w:tc>
          <w:tcPr>
            <w:tcW w:w="0" w:type="dxa"/>
            <w:vAlign w:val="bottom"/>
          </w:tcPr>
          <w:p>
            <w:pPr>
              <w:spacing w:after="0"/>
              <w:rPr>
                <w:sz w:val="1"/>
                <w:szCs w:val="1"/>
                <w:color w:val="auto"/>
              </w:rPr>
            </w:pPr>
          </w:p>
        </w:tc>
      </w:tr>
      <w:tr>
        <w:trPr>
          <w:trHeight w:val="223"/>
        </w:trPr>
        <w:tc>
          <w:tcPr>
            <w:tcW w:w="7840" w:type="dxa"/>
            <w:vAlign w:val="bottom"/>
          </w:tcPr>
          <w:p>
            <w:pPr>
              <w:spacing w:after="0"/>
              <w:rPr>
                <w:sz w:val="20"/>
                <w:szCs w:val="20"/>
                <w:color w:val="auto"/>
              </w:rPr>
            </w:pPr>
            <w:r>
              <w:rPr>
                <w:rFonts w:ascii="Arial" w:cs="Arial" w:eastAsia="Arial" w:hAnsi="Arial"/>
                <w:sz w:val="18"/>
                <w:szCs w:val="18"/>
                <w:color w:val="auto"/>
              </w:rPr>
              <w:t>Net unrealized depreciation on debt</w:t>
            </w:r>
          </w:p>
        </w:tc>
        <w:tc>
          <w:tcPr>
            <w:tcW w:w="7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6,954,000</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2,850,000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840" w:type="dxa"/>
            <w:vAlign w:val="bottom"/>
            <w:shd w:val="clear" w:color="auto" w:fill="CCEEFF"/>
          </w:tcPr>
          <w:p>
            <w:pPr>
              <w:ind w:left="720"/>
              <w:spacing w:after="0"/>
              <w:rPr>
                <w:sz w:val="20"/>
                <w:szCs w:val="20"/>
                <w:color w:val="auto"/>
              </w:rPr>
            </w:pPr>
            <w:r>
              <w:rPr>
                <w:rFonts w:ascii="Arial" w:cs="Arial" w:eastAsia="Arial" w:hAnsi="Arial"/>
                <w:sz w:val="18"/>
                <w:szCs w:val="18"/>
                <w:b w:val="1"/>
                <w:bCs w:val="1"/>
                <w:color w:val="auto"/>
              </w:rPr>
              <w:t>Total net assets</w:t>
            </w:r>
          </w:p>
        </w:tc>
        <w:tc>
          <w:tcPr>
            <w:tcW w:w="82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718,865,187</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697,506,199</w:t>
            </w:r>
          </w:p>
        </w:tc>
        <w:tc>
          <w:tcPr>
            <w:tcW w:w="0" w:type="dxa"/>
            <w:vAlign w:val="bottom"/>
          </w:tcPr>
          <w:p>
            <w:pPr>
              <w:spacing w:after="0"/>
              <w:rPr>
                <w:sz w:val="1"/>
                <w:szCs w:val="1"/>
                <w:color w:val="auto"/>
              </w:rPr>
            </w:pPr>
          </w:p>
        </w:tc>
      </w:tr>
      <w:tr>
        <w:trPr>
          <w:trHeight w:val="223"/>
        </w:trPr>
        <w:tc>
          <w:tcPr>
            <w:tcW w:w="7840" w:type="dxa"/>
            <w:vAlign w:val="bottom"/>
          </w:tcPr>
          <w:p>
            <w:pPr>
              <w:ind w:left="720"/>
              <w:spacing w:after="0"/>
              <w:rPr>
                <w:sz w:val="20"/>
                <w:szCs w:val="20"/>
                <w:color w:val="auto"/>
              </w:rPr>
            </w:pPr>
            <w:r>
              <w:rPr>
                <w:rFonts w:ascii="Arial" w:cs="Arial" w:eastAsia="Arial" w:hAnsi="Arial"/>
                <w:sz w:val="18"/>
                <w:szCs w:val="18"/>
                <w:b w:val="1"/>
                <w:bCs w:val="1"/>
                <w:color w:val="auto"/>
              </w:rPr>
              <w:t>Total liabilities and net assets</w:t>
            </w:r>
          </w:p>
        </w:tc>
        <w:tc>
          <w:tcPr>
            <w:tcW w:w="72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0"/>
              </w:rPr>
              <w:t>1,255,432,535</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2"/>
              </w:rPr>
              <w:t>1,153,327,092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8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8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asset value per share</w:t>
            </w:r>
          </w:p>
        </w:tc>
        <w:tc>
          <w:tcPr>
            <w:tcW w:w="82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10.80</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10.49</w:t>
            </w:r>
          </w:p>
        </w:tc>
        <w:tc>
          <w:tcPr>
            <w:tcW w:w="0" w:type="dxa"/>
            <w:vAlign w:val="bottom"/>
          </w:tcPr>
          <w:p>
            <w:pPr>
              <w:spacing w:after="0"/>
              <w:rPr>
                <w:sz w:val="1"/>
                <w:szCs w:val="1"/>
                <w:color w:val="auto"/>
              </w:rPr>
            </w:pPr>
          </w:p>
        </w:tc>
      </w:tr>
      <w:tr>
        <w:trPr>
          <w:trHeight w:val="20"/>
        </w:trPr>
        <w:tc>
          <w:tcPr>
            <w:tcW w:w="78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240"/>
          </w:cols>
          <w:pgMar w:left="320" w:top="459" w:right="3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left="340" w:right="2720"/>
        <w:spacing w:after="0" w:line="275" w:lineRule="auto"/>
        <w:rPr>
          <w:sz w:val="20"/>
          <w:szCs w:val="20"/>
          <w:color w:val="auto"/>
        </w:rPr>
      </w:pPr>
      <w:r>
        <w:rPr>
          <w:rFonts w:ascii="Arial" w:cs="Arial" w:eastAsia="Arial" w:hAnsi="Arial"/>
          <w:sz w:val="18"/>
          <w:szCs w:val="18"/>
          <w:b w:val="1"/>
          <w:bCs w:val="1"/>
          <w:color w:val="auto"/>
        </w:rPr>
        <w:t>PENNANTPARK INVESTMENT CORPORATION AND SUBSIDIARIES CONSOLIDATED STATEMENTS OF OPERATIONS (Unaudited)</w:t>
      </w:r>
    </w:p>
    <w:p>
      <w:pPr>
        <w:spacing w:after="0" w:line="200" w:lineRule="exact"/>
        <w:rPr>
          <w:sz w:val="20"/>
          <w:szCs w:val="20"/>
          <w:color w:val="auto"/>
        </w:rPr>
      </w:pP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88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0" w:type="dxa"/>
            <w:vAlign w:val="bottom"/>
            <w:gridSpan w:val="7"/>
          </w:tcPr>
          <w:p>
            <w:pPr>
              <w:jc w:val="right"/>
              <w:ind w:right="180"/>
              <w:spacing w:after="0"/>
              <w:rPr>
                <w:sz w:val="20"/>
                <w:szCs w:val="20"/>
                <w:color w:val="auto"/>
              </w:rPr>
            </w:pPr>
            <w:r>
              <w:rPr>
                <w:rFonts w:ascii="Arial" w:cs="Arial" w:eastAsia="Arial" w:hAnsi="Arial"/>
                <w:sz w:val="14"/>
                <w:szCs w:val="14"/>
                <w:b w:val="1"/>
                <w:bCs w:val="1"/>
                <w:color w:val="auto"/>
                <w:w w:val="94"/>
              </w:rPr>
              <w:t>Three Months Ended December 31,</w:t>
            </w:r>
          </w:p>
        </w:tc>
      </w:tr>
      <w:tr>
        <w:trPr>
          <w:trHeight w:val="142"/>
        </w:trPr>
        <w:tc>
          <w:tcPr>
            <w:tcW w:w="882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860" w:type="dxa"/>
            <w:vAlign w:val="bottom"/>
            <w:tcBorders>
              <w:top w:val="single" w:sz="8" w:color="auto"/>
              <w:bottom w:val="single" w:sz="8" w:color="auto"/>
            </w:tcBorders>
          </w:tcPr>
          <w:p>
            <w:pPr>
              <w:jc w:val="right"/>
              <w:ind w:right="251"/>
              <w:spacing w:after="0" w:line="142" w:lineRule="exact"/>
              <w:rPr>
                <w:sz w:val="20"/>
                <w:szCs w:val="20"/>
                <w:color w:val="auto"/>
              </w:rPr>
            </w:pPr>
            <w:r>
              <w:rPr>
                <w:rFonts w:ascii="Arial" w:cs="Arial" w:eastAsia="Arial" w:hAnsi="Arial"/>
                <w:sz w:val="14"/>
                <w:szCs w:val="14"/>
                <w:b w:val="1"/>
                <w:bCs w:val="1"/>
                <w:color w:val="auto"/>
              </w:rPr>
              <w:t>2013</w:t>
            </w:r>
          </w:p>
        </w:tc>
        <w:tc>
          <w:tcPr>
            <w:tcW w:w="20" w:type="dxa"/>
            <w:vAlign w:val="bottom"/>
            <w:tcBorders>
              <w:top w:val="single" w:sz="8" w:color="auto"/>
              <w:bottom w:val="single" w:sz="8" w:color="CCEEFF"/>
            </w:tcBorders>
          </w:tcPr>
          <w:p>
            <w:pPr>
              <w:spacing w:after="0"/>
              <w:rPr>
                <w:sz w:val="12"/>
                <w:szCs w:val="12"/>
                <w:color w:val="auto"/>
              </w:rPr>
            </w:pPr>
          </w:p>
        </w:tc>
        <w:tc>
          <w:tcPr>
            <w:tcW w:w="280" w:type="dxa"/>
            <w:vAlign w:val="bottom"/>
            <w:tcBorders>
              <w:top w:val="single" w:sz="8" w:color="auto"/>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880" w:type="dxa"/>
            <w:vAlign w:val="bottom"/>
            <w:tcBorders>
              <w:top w:val="single" w:sz="8" w:color="auto"/>
              <w:bottom w:val="single" w:sz="8" w:color="auto"/>
            </w:tcBorders>
          </w:tcPr>
          <w:p>
            <w:pPr>
              <w:jc w:val="right"/>
              <w:ind w:right="291"/>
              <w:spacing w:after="0" w:line="142" w:lineRule="exact"/>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CCEEFF"/>
            </w:tcBorders>
          </w:tcPr>
          <w:p>
            <w:pPr>
              <w:spacing w:after="0"/>
              <w:rPr>
                <w:sz w:val="12"/>
                <w:szCs w:val="12"/>
                <w:color w:val="auto"/>
              </w:rPr>
            </w:pPr>
          </w:p>
        </w:tc>
      </w:tr>
      <w:tr>
        <w:trPr>
          <w:trHeight w:val="196"/>
        </w:trPr>
        <w:tc>
          <w:tcPr>
            <w:tcW w:w="882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Investment income from:</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8820" w:type="dxa"/>
            <w:vAlign w:val="bottom"/>
          </w:tcPr>
          <w:p>
            <w:pPr>
              <w:spacing w:after="0"/>
              <w:rPr>
                <w:sz w:val="20"/>
                <w:szCs w:val="20"/>
                <w:color w:val="auto"/>
              </w:rPr>
            </w:pPr>
            <w:r>
              <w:rPr>
                <w:rFonts w:ascii="Arial" w:cs="Arial" w:eastAsia="Arial" w:hAnsi="Arial"/>
                <w:sz w:val="18"/>
                <w:szCs w:val="18"/>
                <w:color w:val="auto"/>
              </w:rPr>
              <w:t>Non-controlled, non-affiliated investments: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8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Interest</w:t>
            </w: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3"/>
              </w:rPr>
              <w:t>28,964,935</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25,768,617</w:t>
            </w:r>
          </w:p>
        </w:tc>
      </w:tr>
      <w:tr>
        <w:trPr>
          <w:trHeight w:val="216"/>
        </w:trPr>
        <w:tc>
          <w:tcPr>
            <w:tcW w:w="8820" w:type="dxa"/>
            <w:vAlign w:val="bottom"/>
          </w:tcPr>
          <w:p>
            <w:pPr>
              <w:ind w:left="360"/>
              <w:spacing w:after="0"/>
              <w:rPr>
                <w:sz w:val="20"/>
                <w:szCs w:val="20"/>
                <w:color w:val="auto"/>
              </w:rPr>
            </w:pPr>
            <w:r>
              <w:rPr>
                <w:rFonts w:ascii="Arial" w:cs="Arial" w:eastAsia="Arial" w:hAnsi="Arial"/>
                <w:sz w:val="18"/>
                <w:szCs w:val="18"/>
                <w:color w:val="auto"/>
              </w:rPr>
              <w:t>Other income</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2,514,857</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4,366,274</w:t>
            </w:r>
          </w:p>
        </w:tc>
      </w:tr>
      <w:tr>
        <w:trPr>
          <w:trHeight w:val="216"/>
        </w:trPr>
        <w:tc>
          <w:tcPr>
            <w:tcW w:w="8820" w:type="dxa"/>
            <w:vAlign w:val="bottom"/>
            <w:shd w:val="clear" w:color="auto" w:fill="CCEEFF"/>
          </w:tcPr>
          <w:p>
            <w:pPr>
              <w:spacing w:after="0"/>
              <w:rPr>
                <w:sz w:val="20"/>
                <w:szCs w:val="20"/>
                <w:color w:val="auto"/>
              </w:rPr>
            </w:pPr>
            <w:r>
              <w:rPr>
                <w:rFonts w:ascii="Arial" w:cs="Arial" w:eastAsia="Arial" w:hAnsi="Arial"/>
                <w:sz w:val="18"/>
                <w:szCs w:val="18"/>
                <w:color w:val="auto"/>
              </w:rPr>
              <w:t>Non-controlled, affiliated investments: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820" w:type="dxa"/>
            <w:vAlign w:val="bottom"/>
          </w:tcPr>
          <w:p>
            <w:pPr>
              <w:ind w:left="360"/>
              <w:spacing w:after="0"/>
              <w:rPr>
                <w:sz w:val="20"/>
                <w:szCs w:val="20"/>
                <w:color w:val="auto"/>
              </w:rPr>
            </w:pPr>
            <w:r>
              <w:rPr>
                <w:rFonts w:ascii="Arial" w:cs="Arial" w:eastAsia="Arial" w:hAnsi="Arial"/>
                <w:sz w:val="18"/>
                <w:szCs w:val="18"/>
                <w:color w:val="auto"/>
              </w:rPr>
              <w:t>Interest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1,264,610</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1,392,503</w:t>
            </w:r>
          </w:p>
        </w:tc>
      </w:tr>
      <w:tr>
        <w:trPr>
          <w:trHeight w:val="216"/>
        </w:trPr>
        <w:tc>
          <w:tcPr>
            <w:tcW w:w="88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income</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227,800</w:t>
            </w:r>
          </w:p>
        </w:tc>
      </w:tr>
      <w:tr>
        <w:trPr>
          <w:trHeight w:val="216"/>
        </w:trPr>
        <w:tc>
          <w:tcPr>
            <w:tcW w:w="8820" w:type="dxa"/>
            <w:vAlign w:val="bottom"/>
          </w:tcPr>
          <w:p>
            <w:pPr>
              <w:spacing w:after="0"/>
              <w:rPr>
                <w:sz w:val="20"/>
                <w:szCs w:val="20"/>
                <w:color w:val="auto"/>
              </w:rPr>
            </w:pPr>
            <w:r>
              <w:rPr>
                <w:rFonts w:ascii="Arial" w:cs="Arial" w:eastAsia="Arial" w:hAnsi="Arial"/>
                <w:sz w:val="18"/>
                <w:szCs w:val="18"/>
                <w:color w:val="auto"/>
              </w:rPr>
              <w:t>Controlled, affiliated investments: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8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Interest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1,393,454</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1,202,707</w:t>
            </w:r>
          </w:p>
        </w:tc>
      </w:tr>
      <w:tr>
        <w:trPr>
          <w:trHeight w:val="223"/>
        </w:trPr>
        <w:tc>
          <w:tcPr>
            <w:tcW w:w="8820" w:type="dxa"/>
            <w:vAlign w:val="bottom"/>
          </w:tcPr>
          <w:p>
            <w:pPr>
              <w:ind w:left="360"/>
              <w:spacing w:after="0"/>
              <w:rPr>
                <w:sz w:val="20"/>
                <w:szCs w:val="20"/>
                <w:color w:val="auto"/>
              </w:rPr>
            </w:pPr>
            <w:r>
              <w:rPr>
                <w:rFonts w:ascii="Arial" w:cs="Arial" w:eastAsia="Arial" w:hAnsi="Arial"/>
                <w:sz w:val="18"/>
                <w:szCs w:val="18"/>
                <w:color w:val="auto"/>
              </w:rPr>
              <w:t>Other income</w:t>
            </w:r>
          </w:p>
        </w:tc>
        <w:tc>
          <w:tcPr>
            <w:tcW w:w="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300,833</w:t>
            </w: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r>
      <w:tr>
        <w:trPr>
          <w:trHeight w:val="216"/>
        </w:trPr>
        <w:tc>
          <w:tcPr>
            <w:tcW w:w="8820" w:type="dxa"/>
            <w:vAlign w:val="bottom"/>
            <w:shd w:val="clear" w:color="auto" w:fill="CCEEFF"/>
          </w:tcPr>
          <w:p>
            <w:pPr>
              <w:ind w:left="360"/>
              <w:spacing w:after="0"/>
              <w:rPr>
                <w:sz w:val="20"/>
                <w:szCs w:val="20"/>
                <w:color w:val="auto"/>
              </w:rPr>
            </w:pPr>
            <w:r>
              <w:rPr>
                <w:rFonts w:ascii="Arial" w:cs="Arial" w:eastAsia="Arial" w:hAnsi="Arial"/>
                <w:sz w:val="18"/>
                <w:szCs w:val="18"/>
                <w:b w:val="1"/>
                <w:bCs w:val="1"/>
                <w:color w:val="auto"/>
              </w:rPr>
              <w:t>Total investment income</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3"/>
              </w:rPr>
              <w:t>34,438,689</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32,957,901</w:t>
            </w:r>
          </w:p>
        </w:tc>
      </w:tr>
      <w:tr>
        <w:trPr>
          <w:trHeight w:val="223"/>
        </w:trPr>
        <w:tc>
          <w:tcPr>
            <w:tcW w:w="8820" w:type="dxa"/>
            <w:vAlign w:val="bottom"/>
          </w:tcPr>
          <w:p>
            <w:pPr>
              <w:spacing w:after="0"/>
              <w:rPr>
                <w:sz w:val="20"/>
                <w:szCs w:val="20"/>
                <w:color w:val="auto"/>
              </w:rPr>
            </w:pPr>
            <w:r>
              <w:rPr>
                <w:rFonts w:ascii="Arial" w:cs="Arial" w:eastAsia="Arial" w:hAnsi="Arial"/>
                <w:sz w:val="18"/>
                <w:szCs w:val="18"/>
                <w:b w:val="1"/>
                <w:bCs w:val="1"/>
                <w:color w:val="auto"/>
              </w:rPr>
              <w:t>Expenses:</w:t>
            </w:r>
          </w:p>
        </w:tc>
        <w:tc>
          <w:tcPr>
            <w:tcW w:w="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16"/>
        </w:trPr>
        <w:tc>
          <w:tcPr>
            <w:tcW w:w="88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Base management fee (See Note 3)</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5,747,060</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5,128,611</w:t>
            </w:r>
          </w:p>
        </w:tc>
      </w:tr>
      <w:tr>
        <w:trPr>
          <w:trHeight w:val="216"/>
        </w:trPr>
        <w:tc>
          <w:tcPr>
            <w:tcW w:w="8820" w:type="dxa"/>
            <w:vAlign w:val="bottom"/>
          </w:tcPr>
          <w:p>
            <w:pPr>
              <w:ind w:left="360"/>
              <w:spacing w:after="0"/>
              <w:rPr>
                <w:sz w:val="20"/>
                <w:szCs w:val="20"/>
                <w:color w:val="auto"/>
              </w:rPr>
            </w:pPr>
            <w:r>
              <w:rPr>
                <w:rFonts w:ascii="Arial" w:cs="Arial" w:eastAsia="Arial" w:hAnsi="Arial"/>
                <w:sz w:val="18"/>
                <w:szCs w:val="18"/>
                <w:color w:val="auto"/>
              </w:rPr>
              <w:t>Performance-based incentive fee (See Note 3)</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4,488,779</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4,545,254</w:t>
            </w:r>
          </w:p>
        </w:tc>
      </w:tr>
      <w:tr>
        <w:trPr>
          <w:trHeight w:val="216"/>
        </w:trPr>
        <w:tc>
          <w:tcPr>
            <w:tcW w:w="88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Interest and expenses on debt (See Note 10)</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4,559,523</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3,094,865</w:t>
            </w:r>
          </w:p>
        </w:tc>
      </w:tr>
      <w:tr>
        <w:trPr>
          <w:trHeight w:val="216"/>
        </w:trPr>
        <w:tc>
          <w:tcPr>
            <w:tcW w:w="8820" w:type="dxa"/>
            <w:vAlign w:val="bottom"/>
          </w:tcPr>
          <w:p>
            <w:pPr>
              <w:ind w:left="360"/>
              <w:spacing w:after="0"/>
              <w:rPr>
                <w:sz w:val="20"/>
                <w:szCs w:val="20"/>
                <w:color w:val="auto"/>
              </w:rPr>
            </w:pPr>
            <w:r>
              <w:rPr>
                <w:rFonts w:ascii="Arial" w:cs="Arial" w:eastAsia="Arial" w:hAnsi="Arial"/>
                <w:sz w:val="18"/>
                <w:szCs w:val="18"/>
                <w:color w:val="auto"/>
              </w:rPr>
              <w:t>Administrative services expenses (See Note 3)</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911,596</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1,172,322</w:t>
            </w:r>
          </w:p>
        </w:tc>
      </w:tr>
      <w:tr>
        <w:trPr>
          <w:trHeight w:val="216"/>
        </w:trPr>
        <w:tc>
          <w:tcPr>
            <w:tcW w:w="88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general and administrative expenses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776,614</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760,532</w:t>
            </w:r>
          </w:p>
        </w:tc>
      </w:tr>
      <w:tr>
        <w:trPr>
          <w:trHeight w:val="223"/>
        </w:trPr>
        <w:tc>
          <w:tcPr>
            <w:tcW w:w="8820" w:type="dxa"/>
            <w:vAlign w:val="bottom"/>
          </w:tcPr>
          <w:p>
            <w:pPr>
              <w:ind w:left="360"/>
              <w:spacing w:after="0"/>
              <w:rPr>
                <w:sz w:val="20"/>
                <w:szCs w:val="20"/>
                <w:color w:val="auto"/>
              </w:rPr>
            </w:pPr>
            <w:r>
              <w:rPr>
                <w:rFonts w:ascii="Arial" w:cs="Arial" w:eastAsia="Arial" w:hAnsi="Arial"/>
                <w:sz w:val="18"/>
                <w:szCs w:val="18"/>
                <w:b w:val="1"/>
                <w:bCs w:val="1"/>
                <w:color w:val="auto"/>
              </w:rPr>
              <w:t>Expenses before taxes</w:t>
            </w:r>
          </w:p>
        </w:tc>
        <w:tc>
          <w:tcPr>
            <w:tcW w:w="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3"/>
              </w:rPr>
              <w:t>16,483,572</w:t>
            </w: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5"/>
              </w:rPr>
              <w:t>14,701,584</w:t>
            </w:r>
          </w:p>
        </w:tc>
        <w:tc>
          <w:tcPr>
            <w:tcW w:w="100" w:type="dxa"/>
            <w:vAlign w:val="bottom"/>
          </w:tcPr>
          <w:p>
            <w:pPr>
              <w:spacing w:after="0"/>
              <w:rPr>
                <w:sz w:val="19"/>
                <w:szCs w:val="19"/>
                <w:color w:val="auto"/>
              </w:rPr>
            </w:pPr>
          </w:p>
        </w:tc>
      </w:tr>
      <w:tr>
        <w:trPr>
          <w:trHeight w:val="216"/>
        </w:trPr>
        <w:tc>
          <w:tcPr>
            <w:tcW w:w="88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Tax expense</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75,301</w:t>
            </w:r>
          </w:p>
        </w:tc>
      </w:tr>
      <w:tr>
        <w:trPr>
          <w:trHeight w:val="230"/>
        </w:trPr>
        <w:tc>
          <w:tcPr>
            <w:tcW w:w="8820" w:type="dxa"/>
            <w:vAlign w:val="bottom"/>
          </w:tcPr>
          <w:p>
            <w:pPr>
              <w:ind w:left="360"/>
              <w:spacing w:after="0"/>
              <w:rPr>
                <w:sz w:val="20"/>
                <w:szCs w:val="20"/>
                <w:color w:val="auto"/>
              </w:rPr>
            </w:pPr>
            <w:r>
              <w:rPr>
                <w:rFonts w:ascii="Arial" w:cs="Arial" w:eastAsia="Arial" w:hAnsi="Arial"/>
                <w:sz w:val="18"/>
                <w:szCs w:val="18"/>
                <w:b w:val="1"/>
                <w:bCs w:val="1"/>
                <w:color w:val="auto"/>
              </w:rPr>
              <w:t>Total expenses</w:t>
            </w:r>
          </w:p>
        </w:tc>
        <w:tc>
          <w:tcPr>
            <w:tcW w:w="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16,483,572</w:t>
            </w: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14,776,885</w:t>
            </w:r>
          </w:p>
        </w:tc>
        <w:tc>
          <w:tcPr>
            <w:tcW w:w="100" w:type="dxa"/>
            <w:vAlign w:val="bottom"/>
          </w:tcPr>
          <w:p>
            <w:pPr>
              <w:spacing w:after="0"/>
              <w:rPr>
                <w:sz w:val="20"/>
                <w:szCs w:val="20"/>
                <w:color w:val="auto"/>
              </w:rPr>
            </w:pPr>
          </w:p>
        </w:tc>
      </w:tr>
      <w:tr>
        <w:trPr>
          <w:trHeight w:val="216"/>
        </w:trPr>
        <w:tc>
          <w:tcPr>
            <w:tcW w:w="8820" w:type="dxa"/>
            <w:vAlign w:val="bottom"/>
            <w:shd w:val="clear" w:color="auto" w:fill="CCEEFF"/>
          </w:tcPr>
          <w:p>
            <w:pPr>
              <w:ind w:left="360"/>
              <w:spacing w:after="0"/>
              <w:rPr>
                <w:sz w:val="20"/>
                <w:szCs w:val="20"/>
                <w:color w:val="auto"/>
              </w:rPr>
            </w:pPr>
            <w:r>
              <w:rPr>
                <w:rFonts w:ascii="Arial" w:cs="Arial" w:eastAsia="Arial" w:hAnsi="Arial"/>
                <w:sz w:val="18"/>
                <w:szCs w:val="18"/>
                <w:b w:val="1"/>
                <w:bCs w:val="1"/>
                <w:color w:val="auto"/>
              </w:rPr>
              <w:t>Net investment income</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3"/>
              </w:rPr>
              <w:t>17,955,117</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18,181,016</w:t>
            </w:r>
          </w:p>
        </w:tc>
      </w:tr>
      <w:tr>
        <w:trPr>
          <w:trHeight w:val="223"/>
        </w:trPr>
        <w:tc>
          <w:tcPr>
            <w:tcW w:w="8820" w:type="dxa"/>
            <w:vAlign w:val="bottom"/>
          </w:tcPr>
          <w:p>
            <w:pPr>
              <w:spacing w:after="0"/>
              <w:rPr>
                <w:sz w:val="20"/>
                <w:szCs w:val="20"/>
                <w:color w:val="auto"/>
              </w:rPr>
            </w:pPr>
            <w:r>
              <w:rPr>
                <w:rFonts w:ascii="Arial" w:cs="Arial" w:eastAsia="Arial" w:hAnsi="Arial"/>
                <w:sz w:val="18"/>
                <w:szCs w:val="18"/>
                <w:b w:val="1"/>
                <w:bCs w:val="1"/>
                <w:color w:val="auto"/>
              </w:rPr>
              <w:t>Realized and unrealized gain (loss) on investments and debt:</w:t>
            </w:r>
          </w:p>
        </w:tc>
        <w:tc>
          <w:tcPr>
            <w:tcW w:w="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16"/>
        </w:trPr>
        <w:tc>
          <w:tcPr>
            <w:tcW w:w="8820" w:type="dxa"/>
            <w:vAlign w:val="bottom"/>
            <w:shd w:val="clear" w:color="auto" w:fill="CCEEFF"/>
          </w:tcPr>
          <w:p>
            <w:pPr>
              <w:spacing w:after="0"/>
              <w:rPr>
                <w:sz w:val="20"/>
                <w:szCs w:val="20"/>
                <w:color w:val="auto"/>
              </w:rPr>
            </w:pPr>
            <w:r>
              <w:rPr>
                <w:rFonts w:ascii="Arial" w:cs="Arial" w:eastAsia="Arial" w:hAnsi="Arial"/>
                <w:sz w:val="18"/>
                <w:szCs w:val="18"/>
                <w:color w:val="auto"/>
              </w:rPr>
              <w:t>Net realized gain on investments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2,659,111</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871,132</w:t>
            </w:r>
          </w:p>
        </w:tc>
      </w:tr>
      <w:tr>
        <w:trPr>
          <w:trHeight w:val="216"/>
        </w:trPr>
        <w:tc>
          <w:tcPr>
            <w:tcW w:w="8820" w:type="dxa"/>
            <w:vAlign w:val="bottom"/>
          </w:tcPr>
          <w:p>
            <w:pPr>
              <w:spacing w:after="0"/>
              <w:rPr>
                <w:sz w:val="20"/>
                <w:szCs w:val="20"/>
                <w:color w:val="auto"/>
              </w:rPr>
            </w:pPr>
            <w:r>
              <w:rPr>
                <w:rFonts w:ascii="Arial" w:cs="Arial" w:eastAsia="Arial" w:hAnsi="Arial"/>
                <w:sz w:val="18"/>
                <w:szCs w:val="18"/>
                <w:color w:val="auto"/>
              </w:rPr>
              <w:t>Net change in unrealized appreciation (depreciation) on:</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8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Non-controlled, non-affiliated investments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3"/>
              </w:rPr>
              <w:t>14,215,508</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6,062,321</w:t>
            </w:r>
          </w:p>
        </w:tc>
      </w:tr>
      <w:tr>
        <w:trPr>
          <w:trHeight w:val="216"/>
        </w:trPr>
        <w:tc>
          <w:tcPr>
            <w:tcW w:w="8820" w:type="dxa"/>
            <w:vAlign w:val="bottom"/>
          </w:tcPr>
          <w:p>
            <w:pPr>
              <w:ind w:left="360"/>
              <w:spacing w:after="0"/>
              <w:rPr>
                <w:sz w:val="20"/>
                <w:szCs w:val="20"/>
                <w:color w:val="auto"/>
              </w:rPr>
            </w:pPr>
            <w:r>
              <w:rPr>
                <w:rFonts w:ascii="Arial" w:cs="Arial" w:eastAsia="Arial" w:hAnsi="Arial"/>
                <w:sz w:val="18"/>
                <w:szCs w:val="18"/>
                <w:color w:val="auto"/>
              </w:rPr>
              <w:t>Non-controlled and controlled, affiliated investments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521,217</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3,974,217</w:t>
            </w:r>
          </w:p>
        </w:tc>
      </w:tr>
      <w:tr>
        <w:trPr>
          <w:trHeight w:val="216"/>
        </w:trPr>
        <w:tc>
          <w:tcPr>
            <w:tcW w:w="88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Debt depreciation (appreciation) (See Notes 5 and 10)</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4,104,000</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(547,500)</w:t>
            </w:r>
          </w:p>
        </w:tc>
      </w:tr>
      <w:tr>
        <w:trPr>
          <w:trHeight w:val="230"/>
        </w:trPr>
        <w:tc>
          <w:tcPr>
            <w:tcW w:w="8820" w:type="dxa"/>
            <w:vAlign w:val="bottom"/>
          </w:tcPr>
          <w:p>
            <w:pPr>
              <w:ind w:left="360"/>
              <w:spacing w:after="0"/>
              <w:rPr>
                <w:sz w:val="20"/>
                <w:szCs w:val="20"/>
                <w:color w:val="auto"/>
              </w:rPr>
            </w:pPr>
            <w:r>
              <w:rPr>
                <w:rFonts w:ascii="Arial" w:cs="Arial" w:eastAsia="Arial" w:hAnsi="Arial"/>
                <w:sz w:val="18"/>
                <w:szCs w:val="18"/>
                <w:b w:val="1"/>
                <w:bCs w:val="1"/>
                <w:color w:val="auto"/>
              </w:rPr>
              <w:t>Net change in unrealized appreciation</w:t>
            </w:r>
          </w:p>
        </w:tc>
        <w:tc>
          <w:tcPr>
            <w:tcW w:w="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18,840,725</w:t>
            </w: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9,489,038</w:t>
            </w:r>
          </w:p>
        </w:tc>
        <w:tc>
          <w:tcPr>
            <w:tcW w:w="100" w:type="dxa"/>
            <w:vAlign w:val="bottom"/>
          </w:tcPr>
          <w:p>
            <w:pPr>
              <w:spacing w:after="0"/>
              <w:rPr>
                <w:sz w:val="20"/>
                <w:szCs w:val="20"/>
                <w:color w:val="auto"/>
              </w:rPr>
            </w:pPr>
          </w:p>
        </w:tc>
      </w:tr>
      <w:tr>
        <w:trPr>
          <w:trHeight w:val="216"/>
        </w:trPr>
        <w:tc>
          <w:tcPr>
            <w:tcW w:w="88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realized and unrealized gain from investments and debt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3"/>
              </w:rPr>
              <w:t>21,499,836</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10,360,170</w:t>
            </w:r>
          </w:p>
        </w:tc>
      </w:tr>
      <w:tr>
        <w:trPr>
          <w:trHeight w:val="223"/>
        </w:trPr>
        <w:tc>
          <w:tcPr>
            <w:tcW w:w="8820" w:type="dxa"/>
            <w:vAlign w:val="bottom"/>
          </w:tcPr>
          <w:p>
            <w:pPr>
              <w:spacing w:after="0"/>
              <w:rPr>
                <w:sz w:val="20"/>
                <w:szCs w:val="20"/>
                <w:color w:val="auto"/>
              </w:rPr>
            </w:pPr>
            <w:r>
              <w:rPr>
                <w:rFonts w:ascii="Arial" w:cs="Arial" w:eastAsia="Arial" w:hAnsi="Arial"/>
                <w:sz w:val="18"/>
                <w:szCs w:val="18"/>
                <w:b w:val="1"/>
                <w:bCs w:val="1"/>
                <w:color w:val="auto"/>
              </w:rPr>
              <w:t>Net increase in net assets resulting from operations</w:t>
            </w:r>
          </w:p>
        </w:tc>
        <w:tc>
          <w:tcPr>
            <w:tcW w:w="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39,454,953</w:t>
            </w: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28,541,186</w:t>
            </w:r>
          </w:p>
        </w:tc>
        <w:tc>
          <w:tcPr>
            <w:tcW w:w="100" w:type="dxa"/>
            <w:vAlign w:val="bottom"/>
          </w:tcPr>
          <w:p>
            <w:pPr>
              <w:spacing w:after="0"/>
              <w:rPr>
                <w:sz w:val="19"/>
                <w:szCs w:val="19"/>
                <w:color w:val="auto"/>
              </w:rPr>
            </w:pPr>
          </w:p>
        </w:tc>
      </w:tr>
      <w:tr>
        <w:trPr>
          <w:trHeight w:val="20"/>
        </w:trPr>
        <w:tc>
          <w:tcPr>
            <w:tcW w:w="8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8820" w:type="dxa"/>
            <w:vAlign w:val="bottom"/>
            <w:shd w:val="clear" w:color="auto" w:fill="CCEEFF"/>
          </w:tcPr>
          <w:p>
            <w:pPr>
              <w:spacing w:after="0"/>
              <w:rPr>
                <w:sz w:val="20"/>
                <w:szCs w:val="20"/>
                <w:color w:val="auto"/>
              </w:rPr>
            </w:pPr>
            <w:r>
              <w:rPr>
                <w:rFonts w:ascii="Arial" w:cs="Arial" w:eastAsia="Arial" w:hAnsi="Arial"/>
                <w:sz w:val="18"/>
                <w:szCs w:val="18"/>
                <w:color w:val="auto"/>
              </w:rPr>
              <w:t>Net increase in net assets resulting from operations per common share (See Note 7)</w:t>
            </w: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0.59</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0.44</w:t>
            </w:r>
          </w:p>
        </w:tc>
      </w:tr>
      <w:tr>
        <w:trPr>
          <w:trHeight w:val="223"/>
        </w:trPr>
        <w:tc>
          <w:tcPr>
            <w:tcW w:w="8820" w:type="dxa"/>
            <w:vAlign w:val="bottom"/>
          </w:tcPr>
          <w:p>
            <w:pPr>
              <w:spacing w:after="0"/>
              <w:rPr>
                <w:sz w:val="20"/>
                <w:szCs w:val="20"/>
                <w:color w:val="auto"/>
              </w:rPr>
            </w:pPr>
            <w:r>
              <w:rPr>
                <w:rFonts w:ascii="Arial" w:cs="Arial" w:eastAsia="Arial" w:hAnsi="Arial"/>
                <w:sz w:val="18"/>
                <w:szCs w:val="18"/>
                <w:color w:val="auto"/>
              </w:rPr>
              <w:t>Net investment income per common share</w:t>
            </w:r>
          </w:p>
        </w:tc>
        <w:tc>
          <w:tcPr>
            <w:tcW w:w="20" w:type="dxa"/>
            <w:vAlign w:val="bottom"/>
            <w:tcBorders>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0.27</w:t>
            </w:r>
          </w:p>
        </w:tc>
        <w:tc>
          <w:tcPr>
            <w:tcW w:w="20" w:type="dxa"/>
            <w:vAlign w:val="bottom"/>
            <w:tcBorders>
              <w:bottom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0.28</w:t>
            </w:r>
          </w:p>
        </w:tc>
        <w:tc>
          <w:tcPr>
            <w:tcW w:w="100" w:type="dxa"/>
            <w:vAlign w:val="bottom"/>
          </w:tcPr>
          <w:p>
            <w:pPr>
              <w:spacing w:after="0"/>
              <w:rPr>
                <w:sz w:val="19"/>
                <w:szCs w:val="19"/>
                <w:color w:val="auto"/>
              </w:rPr>
            </w:pPr>
          </w:p>
        </w:tc>
      </w:tr>
    </w:tbl>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240"/>
          </w:cols>
          <w:pgMar w:left="320" w:top="459" w:right="3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left="340" w:right="2720"/>
        <w:spacing w:after="0" w:line="266" w:lineRule="auto"/>
        <w:rPr>
          <w:sz w:val="20"/>
          <w:szCs w:val="20"/>
          <w:color w:val="auto"/>
        </w:rPr>
      </w:pPr>
      <w:r>
        <w:rPr>
          <w:rFonts w:ascii="Arial" w:cs="Arial" w:eastAsia="Arial" w:hAnsi="Arial"/>
          <w:sz w:val="18"/>
          <w:szCs w:val="18"/>
          <w:b w:val="1"/>
          <w:bCs w:val="1"/>
          <w:color w:val="auto"/>
        </w:rPr>
        <w:t>PENNANTPARK INVESTMENT CORPORATION AND SUBSIDIARIES CONSOLIDATED STATEMENTS OF CHANGES IN NET ASSETS (Unaudited)</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8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500" w:type="dxa"/>
            <w:vAlign w:val="bottom"/>
            <w:gridSpan w:val="6"/>
          </w:tcPr>
          <w:p>
            <w:pPr>
              <w:jc w:val="right"/>
              <w:ind w:right="280"/>
              <w:spacing w:after="0"/>
              <w:rPr>
                <w:sz w:val="20"/>
                <w:szCs w:val="20"/>
                <w:color w:val="auto"/>
              </w:rPr>
            </w:pPr>
            <w:r>
              <w:rPr>
                <w:rFonts w:ascii="Arial" w:cs="Arial" w:eastAsia="Arial" w:hAnsi="Arial"/>
                <w:sz w:val="14"/>
                <w:szCs w:val="14"/>
                <w:b w:val="1"/>
                <w:bCs w:val="1"/>
                <w:color w:val="auto"/>
                <w:w w:val="94"/>
              </w:rPr>
              <w:t>Three Months Ended December 31,</w:t>
            </w:r>
          </w:p>
        </w:tc>
        <w:tc>
          <w:tcPr>
            <w:tcW w:w="0" w:type="dxa"/>
            <w:vAlign w:val="bottom"/>
          </w:tcPr>
          <w:p>
            <w:pPr>
              <w:spacing w:after="0"/>
              <w:rPr>
                <w:sz w:val="1"/>
                <w:szCs w:val="1"/>
                <w:color w:val="auto"/>
              </w:rPr>
            </w:pPr>
          </w:p>
        </w:tc>
      </w:tr>
      <w:tr>
        <w:trPr>
          <w:trHeight w:val="142"/>
        </w:trPr>
        <w:tc>
          <w:tcPr>
            <w:tcW w:w="8620" w:type="dxa"/>
            <w:vAlign w:val="bottom"/>
            <w:tcBorders>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980" w:type="dxa"/>
            <w:vAlign w:val="bottom"/>
            <w:tcBorders>
              <w:top w:val="single" w:sz="8" w:color="auto"/>
              <w:bottom w:val="single" w:sz="8" w:color="auto"/>
            </w:tcBorders>
          </w:tcPr>
          <w:p>
            <w:pPr>
              <w:jc w:val="right"/>
              <w:ind w:right="312"/>
              <w:spacing w:after="0" w:line="142" w:lineRule="exact"/>
              <w:rPr>
                <w:sz w:val="20"/>
                <w:szCs w:val="20"/>
                <w:color w:val="auto"/>
              </w:rPr>
            </w:pPr>
            <w:r>
              <w:rPr>
                <w:rFonts w:ascii="Arial" w:cs="Arial" w:eastAsia="Arial" w:hAnsi="Arial"/>
                <w:sz w:val="14"/>
                <w:szCs w:val="14"/>
                <w:b w:val="1"/>
                <w:bCs w:val="1"/>
                <w:color w:val="auto"/>
              </w:rPr>
              <w:t>2013</w:t>
            </w:r>
          </w:p>
        </w:tc>
        <w:tc>
          <w:tcPr>
            <w:tcW w:w="180" w:type="dxa"/>
            <w:vAlign w:val="bottom"/>
            <w:tcBorders>
              <w:top w:val="single" w:sz="8" w:color="auto"/>
              <w:bottom w:val="single" w:sz="8" w:color="CCEEFF"/>
            </w:tcBorders>
          </w:tcPr>
          <w:p>
            <w:pPr>
              <w:spacing w:after="0"/>
              <w:rPr>
                <w:sz w:val="12"/>
                <w:szCs w:val="12"/>
                <w:color w:val="auto"/>
              </w:rPr>
            </w:pPr>
          </w:p>
        </w:tc>
        <w:tc>
          <w:tcPr>
            <w:tcW w:w="140" w:type="dxa"/>
            <w:vAlign w:val="bottom"/>
            <w:tcBorders>
              <w:top w:val="single" w:sz="8" w:color="auto"/>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960" w:type="dxa"/>
            <w:vAlign w:val="bottom"/>
            <w:tcBorders>
              <w:top w:val="single" w:sz="8" w:color="auto"/>
              <w:bottom w:val="single" w:sz="8" w:color="auto"/>
            </w:tcBorders>
          </w:tcPr>
          <w:p>
            <w:pPr>
              <w:jc w:val="right"/>
              <w:ind w:right="331"/>
              <w:spacing w:after="0" w:line="142" w:lineRule="exact"/>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862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Net increase in net assets from operations:</w:t>
            </w: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620" w:type="dxa"/>
            <w:vAlign w:val="bottom"/>
          </w:tcPr>
          <w:p>
            <w:pPr>
              <w:ind w:left="360"/>
              <w:spacing w:after="0"/>
              <w:rPr>
                <w:sz w:val="20"/>
                <w:szCs w:val="20"/>
                <w:color w:val="auto"/>
              </w:rPr>
            </w:pPr>
            <w:r>
              <w:rPr>
                <w:rFonts w:ascii="Arial" w:cs="Arial" w:eastAsia="Arial" w:hAnsi="Arial"/>
                <w:sz w:val="18"/>
                <w:szCs w:val="18"/>
                <w:color w:val="auto"/>
              </w:rPr>
              <w:t>Net investment income</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101"/>
              <w:spacing w:after="0"/>
              <w:rPr>
                <w:sz w:val="20"/>
                <w:szCs w:val="20"/>
                <w:color w:val="auto"/>
              </w:rPr>
            </w:pPr>
            <w:r>
              <w:rPr>
                <w:rFonts w:ascii="Arial" w:cs="Arial" w:eastAsia="Arial" w:hAnsi="Arial"/>
                <w:sz w:val="18"/>
                <w:szCs w:val="18"/>
                <w:color w:val="auto"/>
              </w:rPr>
              <w:t>17,955,117</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18,181,016</w:t>
            </w:r>
          </w:p>
        </w:tc>
        <w:tc>
          <w:tcPr>
            <w:tcW w:w="0" w:type="dxa"/>
            <w:vAlign w:val="bottom"/>
          </w:tcPr>
          <w:p>
            <w:pPr>
              <w:spacing w:after="0"/>
              <w:rPr>
                <w:sz w:val="1"/>
                <w:szCs w:val="1"/>
                <w:color w:val="auto"/>
              </w:rPr>
            </w:pPr>
          </w:p>
        </w:tc>
      </w:tr>
      <w:tr>
        <w:trPr>
          <w:trHeight w:val="216"/>
        </w:trPr>
        <w:tc>
          <w:tcPr>
            <w:tcW w:w="86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Net realized gain on investments</w:t>
            </w: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1"/>
              <w:spacing w:after="0"/>
              <w:rPr>
                <w:sz w:val="20"/>
                <w:szCs w:val="20"/>
                <w:color w:val="auto"/>
              </w:rPr>
            </w:pPr>
            <w:r>
              <w:rPr>
                <w:rFonts w:ascii="Arial" w:cs="Arial" w:eastAsia="Arial" w:hAnsi="Arial"/>
                <w:sz w:val="18"/>
                <w:szCs w:val="18"/>
                <w:color w:val="auto"/>
              </w:rPr>
              <w:t>2,659,111</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871,132</w:t>
            </w:r>
          </w:p>
        </w:tc>
        <w:tc>
          <w:tcPr>
            <w:tcW w:w="0" w:type="dxa"/>
            <w:vAlign w:val="bottom"/>
          </w:tcPr>
          <w:p>
            <w:pPr>
              <w:spacing w:after="0"/>
              <w:rPr>
                <w:sz w:val="1"/>
                <w:szCs w:val="1"/>
                <w:color w:val="auto"/>
              </w:rPr>
            </w:pPr>
          </w:p>
        </w:tc>
      </w:tr>
      <w:tr>
        <w:trPr>
          <w:trHeight w:val="216"/>
        </w:trPr>
        <w:tc>
          <w:tcPr>
            <w:tcW w:w="8620" w:type="dxa"/>
            <w:vAlign w:val="bottom"/>
          </w:tcPr>
          <w:p>
            <w:pPr>
              <w:ind w:left="360"/>
              <w:spacing w:after="0"/>
              <w:rPr>
                <w:sz w:val="20"/>
                <w:szCs w:val="20"/>
                <w:color w:val="auto"/>
              </w:rPr>
            </w:pPr>
            <w:r>
              <w:rPr>
                <w:rFonts w:ascii="Arial" w:cs="Arial" w:eastAsia="Arial" w:hAnsi="Arial"/>
                <w:sz w:val="18"/>
                <w:szCs w:val="18"/>
                <w:color w:val="auto"/>
              </w:rPr>
              <w:t>Net change in unrealized appreciation on investments</w:t>
            </w:r>
          </w:p>
        </w:tc>
        <w:tc>
          <w:tcPr>
            <w:tcW w:w="120" w:type="dxa"/>
            <w:vAlign w:val="bottom"/>
          </w:tcPr>
          <w:p>
            <w:pPr>
              <w:spacing w:after="0"/>
              <w:rPr>
                <w:sz w:val="18"/>
                <w:szCs w:val="18"/>
                <w:color w:val="auto"/>
              </w:rPr>
            </w:pPr>
          </w:p>
        </w:tc>
        <w:tc>
          <w:tcPr>
            <w:tcW w:w="1160" w:type="dxa"/>
            <w:vAlign w:val="bottom"/>
            <w:gridSpan w:val="2"/>
          </w:tcPr>
          <w:p>
            <w:pPr>
              <w:jc w:val="right"/>
              <w:ind w:right="101"/>
              <w:spacing w:after="0"/>
              <w:rPr>
                <w:sz w:val="20"/>
                <w:szCs w:val="20"/>
                <w:color w:val="auto"/>
              </w:rPr>
            </w:pPr>
            <w:r>
              <w:rPr>
                <w:rFonts w:ascii="Arial" w:cs="Arial" w:eastAsia="Arial" w:hAnsi="Arial"/>
                <w:sz w:val="18"/>
                <w:szCs w:val="18"/>
                <w:color w:val="auto"/>
              </w:rPr>
              <w:t>14,736,725</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10,036,538</w:t>
            </w:r>
          </w:p>
        </w:tc>
        <w:tc>
          <w:tcPr>
            <w:tcW w:w="0" w:type="dxa"/>
            <w:vAlign w:val="bottom"/>
          </w:tcPr>
          <w:p>
            <w:pPr>
              <w:spacing w:after="0"/>
              <w:rPr>
                <w:sz w:val="1"/>
                <w:szCs w:val="1"/>
                <w:color w:val="auto"/>
              </w:rPr>
            </w:pPr>
          </w:p>
        </w:tc>
      </w:tr>
      <w:tr>
        <w:trPr>
          <w:trHeight w:val="216"/>
        </w:trPr>
        <w:tc>
          <w:tcPr>
            <w:tcW w:w="86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Net change in debt depreciation (appreciation)</w:t>
            </w: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1"/>
              <w:spacing w:after="0"/>
              <w:rPr>
                <w:sz w:val="20"/>
                <w:szCs w:val="20"/>
                <w:color w:val="auto"/>
              </w:rPr>
            </w:pPr>
            <w:r>
              <w:rPr>
                <w:rFonts w:ascii="Arial" w:cs="Arial" w:eastAsia="Arial" w:hAnsi="Arial"/>
                <w:sz w:val="18"/>
                <w:szCs w:val="18"/>
                <w:color w:val="auto"/>
              </w:rPr>
              <w:t>4,104,000</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(547,500)</w:t>
            </w:r>
          </w:p>
        </w:tc>
        <w:tc>
          <w:tcPr>
            <w:tcW w:w="0" w:type="dxa"/>
            <w:vAlign w:val="bottom"/>
          </w:tcPr>
          <w:p>
            <w:pPr>
              <w:spacing w:after="0"/>
              <w:rPr>
                <w:sz w:val="1"/>
                <w:szCs w:val="1"/>
                <w:color w:val="auto"/>
              </w:rPr>
            </w:pPr>
          </w:p>
        </w:tc>
      </w:tr>
      <w:tr>
        <w:trPr>
          <w:trHeight w:val="223"/>
        </w:trPr>
        <w:tc>
          <w:tcPr>
            <w:tcW w:w="8620" w:type="dxa"/>
            <w:vAlign w:val="bottom"/>
          </w:tcPr>
          <w:p>
            <w:pPr>
              <w:ind w:left="360"/>
              <w:spacing w:after="0"/>
              <w:rPr>
                <w:sz w:val="20"/>
                <w:szCs w:val="20"/>
                <w:color w:val="auto"/>
              </w:rPr>
            </w:pPr>
            <w:r>
              <w:rPr>
                <w:rFonts w:ascii="Arial" w:cs="Arial" w:eastAsia="Arial" w:hAnsi="Arial"/>
                <w:sz w:val="18"/>
                <w:szCs w:val="18"/>
                <w:b w:val="1"/>
                <w:bCs w:val="1"/>
                <w:color w:val="auto"/>
              </w:rPr>
              <w:t>Net increase in net assets resulting from operations</w:t>
            </w:r>
          </w:p>
        </w:tc>
        <w:tc>
          <w:tcPr>
            <w:tcW w:w="12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39,454,953</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28,541,186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6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Distributions to stockholders:</w:t>
            </w: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20" w:type="dxa"/>
            <w:vAlign w:val="bottom"/>
          </w:tcPr>
          <w:p>
            <w:pPr>
              <w:ind w:left="360"/>
              <w:spacing w:after="0"/>
              <w:rPr>
                <w:sz w:val="20"/>
                <w:szCs w:val="20"/>
                <w:color w:val="auto"/>
              </w:rPr>
            </w:pPr>
            <w:r>
              <w:rPr>
                <w:rFonts w:ascii="Arial" w:cs="Arial" w:eastAsia="Arial" w:hAnsi="Arial"/>
                <w:sz w:val="18"/>
                <w:szCs w:val="18"/>
                <w:color w:val="auto"/>
              </w:rPr>
              <w:t>Distributions</w:t>
            </w:r>
          </w:p>
        </w:tc>
        <w:tc>
          <w:tcPr>
            <w:tcW w:w="120" w:type="dxa"/>
            <w:vAlign w:val="bottom"/>
          </w:tcPr>
          <w:p>
            <w:pPr>
              <w:spacing w:after="0"/>
              <w:rPr>
                <w:sz w:val="18"/>
                <w:szCs w:val="18"/>
                <w:color w:val="auto"/>
              </w:rPr>
            </w:pPr>
          </w:p>
        </w:tc>
        <w:tc>
          <w:tcPr>
            <w:tcW w:w="1160" w:type="dxa"/>
            <w:vAlign w:val="bottom"/>
            <w:gridSpan w:val="2"/>
          </w:tcPr>
          <w:p>
            <w:pPr>
              <w:jc w:val="right"/>
              <w:ind w:right="41"/>
              <w:spacing w:after="0"/>
              <w:rPr>
                <w:sz w:val="20"/>
                <w:szCs w:val="20"/>
                <w:color w:val="auto"/>
              </w:rPr>
            </w:pPr>
            <w:r>
              <w:rPr>
                <w:rFonts w:ascii="Arial" w:cs="Arial" w:eastAsia="Arial" w:hAnsi="Arial"/>
                <w:sz w:val="18"/>
                <w:szCs w:val="18"/>
                <w:color w:val="auto"/>
                <w:w w:val="99"/>
              </w:rPr>
              <w:t>(18,633,086)</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w w:val="97"/>
              </w:rPr>
              <w:t>(18,579,935)</w:t>
            </w:r>
          </w:p>
        </w:tc>
        <w:tc>
          <w:tcPr>
            <w:tcW w:w="0" w:type="dxa"/>
            <w:vAlign w:val="bottom"/>
          </w:tcPr>
          <w:p>
            <w:pPr>
              <w:spacing w:after="0"/>
              <w:rPr>
                <w:sz w:val="1"/>
                <w:szCs w:val="1"/>
                <w:color w:val="auto"/>
              </w:rPr>
            </w:pPr>
          </w:p>
        </w:tc>
      </w:tr>
      <w:tr>
        <w:trPr>
          <w:trHeight w:val="216"/>
        </w:trPr>
        <w:tc>
          <w:tcPr>
            <w:tcW w:w="86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Capital transactions:</w:t>
            </w: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20" w:type="dxa"/>
            <w:vAlign w:val="bottom"/>
          </w:tcPr>
          <w:p>
            <w:pPr>
              <w:ind w:left="360"/>
              <w:spacing w:after="0"/>
              <w:rPr>
                <w:sz w:val="20"/>
                <w:szCs w:val="20"/>
                <w:color w:val="auto"/>
              </w:rPr>
            </w:pPr>
            <w:r>
              <w:rPr>
                <w:rFonts w:ascii="Arial" w:cs="Arial" w:eastAsia="Arial" w:hAnsi="Arial"/>
                <w:sz w:val="18"/>
                <w:szCs w:val="18"/>
                <w:color w:val="auto"/>
              </w:rPr>
              <w:t>Public offering</w:t>
            </w:r>
          </w:p>
        </w:tc>
        <w:tc>
          <w:tcPr>
            <w:tcW w:w="120" w:type="dxa"/>
            <w:vAlign w:val="bottom"/>
          </w:tcPr>
          <w:p>
            <w:pPr>
              <w:spacing w:after="0"/>
              <w:rPr>
                <w:sz w:val="18"/>
                <w:szCs w:val="18"/>
                <w:color w:val="auto"/>
              </w:rPr>
            </w:pPr>
          </w:p>
        </w:tc>
        <w:tc>
          <w:tcPr>
            <w:tcW w:w="1160" w:type="dxa"/>
            <w:vAlign w:val="bottom"/>
            <w:gridSpan w:val="2"/>
          </w:tcPr>
          <w:p>
            <w:pPr>
              <w:jc w:val="right"/>
              <w:ind w:right="201"/>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7,574,000</w:t>
            </w:r>
          </w:p>
        </w:tc>
        <w:tc>
          <w:tcPr>
            <w:tcW w:w="0" w:type="dxa"/>
            <w:vAlign w:val="bottom"/>
          </w:tcPr>
          <w:p>
            <w:pPr>
              <w:spacing w:after="0"/>
              <w:rPr>
                <w:sz w:val="1"/>
                <w:szCs w:val="1"/>
                <w:color w:val="auto"/>
              </w:rPr>
            </w:pPr>
          </w:p>
        </w:tc>
      </w:tr>
      <w:tr>
        <w:trPr>
          <w:trHeight w:val="216"/>
        </w:trPr>
        <w:tc>
          <w:tcPr>
            <w:tcW w:w="86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Offering costs</w:t>
            </w: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1"/>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(265,090)</w:t>
            </w:r>
          </w:p>
        </w:tc>
        <w:tc>
          <w:tcPr>
            <w:tcW w:w="0" w:type="dxa"/>
            <w:vAlign w:val="bottom"/>
          </w:tcPr>
          <w:p>
            <w:pPr>
              <w:spacing w:after="0"/>
              <w:rPr>
                <w:sz w:val="1"/>
                <w:szCs w:val="1"/>
                <w:color w:val="auto"/>
              </w:rPr>
            </w:pPr>
          </w:p>
        </w:tc>
      </w:tr>
      <w:tr>
        <w:trPr>
          <w:trHeight w:val="223"/>
        </w:trPr>
        <w:tc>
          <w:tcPr>
            <w:tcW w:w="8620" w:type="dxa"/>
            <w:vAlign w:val="bottom"/>
          </w:tcPr>
          <w:p>
            <w:pPr>
              <w:ind w:left="360"/>
              <w:spacing w:after="0"/>
              <w:rPr>
                <w:sz w:val="20"/>
                <w:szCs w:val="20"/>
                <w:color w:val="auto"/>
              </w:rPr>
            </w:pPr>
            <w:r>
              <w:rPr>
                <w:rFonts w:ascii="Arial" w:cs="Arial" w:eastAsia="Arial" w:hAnsi="Arial"/>
                <w:sz w:val="18"/>
                <w:szCs w:val="18"/>
                <w:color w:val="auto"/>
              </w:rPr>
              <w:t>Reinvestment of distributions</w:t>
            </w:r>
          </w:p>
        </w:tc>
        <w:tc>
          <w:tcPr>
            <w:tcW w:w="1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537,121</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1,515,213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620" w:type="dxa"/>
            <w:vAlign w:val="bottom"/>
            <w:shd w:val="clear" w:color="auto" w:fill="CCEEFF"/>
          </w:tcPr>
          <w:p>
            <w:pPr>
              <w:ind w:left="360"/>
              <w:spacing w:after="0"/>
              <w:rPr>
                <w:sz w:val="20"/>
                <w:szCs w:val="20"/>
                <w:color w:val="auto"/>
              </w:rPr>
            </w:pPr>
            <w:r>
              <w:rPr>
                <w:rFonts w:ascii="Arial" w:cs="Arial" w:eastAsia="Arial" w:hAnsi="Arial"/>
                <w:sz w:val="18"/>
                <w:szCs w:val="18"/>
                <w:b w:val="1"/>
                <w:bCs w:val="1"/>
                <w:color w:val="auto"/>
              </w:rPr>
              <w:t>Net increase in net assets resulting from capital transactions</w:t>
            </w: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1"/>
              <w:spacing w:after="0"/>
              <w:rPr>
                <w:sz w:val="20"/>
                <w:szCs w:val="20"/>
                <w:color w:val="auto"/>
              </w:rPr>
            </w:pPr>
            <w:r>
              <w:rPr>
                <w:rFonts w:ascii="Arial" w:cs="Arial" w:eastAsia="Arial" w:hAnsi="Arial"/>
                <w:sz w:val="18"/>
                <w:szCs w:val="18"/>
                <w:color w:val="auto"/>
              </w:rPr>
              <w:t>537,121</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8,824,123</w:t>
            </w:r>
          </w:p>
        </w:tc>
        <w:tc>
          <w:tcPr>
            <w:tcW w:w="0" w:type="dxa"/>
            <w:vAlign w:val="bottom"/>
          </w:tcPr>
          <w:p>
            <w:pPr>
              <w:spacing w:after="0"/>
              <w:rPr>
                <w:sz w:val="1"/>
                <w:szCs w:val="1"/>
                <w:color w:val="auto"/>
              </w:rPr>
            </w:pPr>
          </w:p>
        </w:tc>
      </w:tr>
      <w:tr>
        <w:trPr>
          <w:trHeight w:val="230"/>
        </w:trPr>
        <w:tc>
          <w:tcPr>
            <w:tcW w:w="8620" w:type="dxa"/>
            <w:vAlign w:val="bottom"/>
          </w:tcPr>
          <w:p>
            <w:pPr>
              <w:spacing w:after="0"/>
              <w:rPr>
                <w:sz w:val="20"/>
                <w:szCs w:val="20"/>
                <w:color w:val="auto"/>
              </w:rPr>
            </w:pPr>
            <w:r>
              <w:rPr>
                <w:rFonts w:ascii="Arial" w:cs="Arial" w:eastAsia="Arial" w:hAnsi="Arial"/>
                <w:sz w:val="18"/>
                <w:szCs w:val="18"/>
                <w:b w:val="1"/>
                <w:bCs w:val="1"/>
                <w:color w:val="auto"/>
              </w:rPr>
              <w:t>Net increase in net assets</w:t>
            </w:r>
          </w:p>
        </w:tc>
        <w:tc>
          <w:tcPr>
            <w:tcW w:w="120" w:type="dxa"/>
            <w:vAlign w:val="bottom"/>
            <w:tcBorders>
              <w:top w:val="single" w:sz="8" w:color="auto"/>
              <w:bottom w:val="single" w:sz="8" w:color="auto"/>
            </w:tcBorders>
          </w:tcPr>
          <w:p>
            <w:pPr>
              <w:spacing w:after="0"/>
              <w:rPr>
                <w:sz w:val="20"/>
                <w:szCs w:val="20"/>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21,358,988</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18,785,374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6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assets:</w:t>
            </w: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620" w:type="dxa"/>
            <w:vAlign w:val="bottom"/>
          </w:tcPr>
          <w:p>
            <w:pPr>
              <w:ind w:left="360"/>
              <w:spacing w:after="0"/>
              <w:rPr>
                <w:sz w:val="20"/>
                <w:szCs w:val="20"/>
                <w:color w:val="auto"/>
              </w:rPr>
            </w:pPr>
            <w:r>
              <w:rPr>
                <w:rFonts w:ascii="Arial" w:cs="Arial" w:eastAsia="Arial" w:hAnsi="Arial"/>
                <w:sz w:val="18"/>
                <w:szCs w:val="18"/>
                <w:color w:val="auto"/>
              </w:rPr>
              <w:t>Beginning of period</w:t>
            </w:r>
          </w:p>
        </w:tc>
        <w:tc>
          <w:tcPr>
            <w:tcW w:w="1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697,506,199</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669,717,047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6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End of period</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718,865,187</w:t>
            </w:r>
          </w:p>
        </w:tc>
        <w:tc>
          <w:tcPr>
            <w:tcW w:w="18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3"/>
              </w:rPr>
              <w:t>688,502,421</w:t>
            </w:r>
          </w:p>
        </w:tc>
        <w:tc>
          <w:tcPr>
            <w:tcW w:w="0" w:type="dxa"/>
            <w:vAlign w:val="bottom"/>
          </w:tcPr>
          <w:p>
            <w:pPr>
              <w:spacing w:after="0"/>
              <w:rPr>
                <w:sz w:val="1"/>
                <w:szCs w:val="1"/>
                <w:color w:val="auto"/>
              </w:rPr>
            </w:pPr>
          </w:p>
        </w:tc>
      </w:tr>
      <w:tr>
        <w:trPr>
          <w:trHeight w:val="20"/>
        </w:trPr>
        <w:tc>
          <w:tcPr>
            <w:tcW w:w="8620" w:type="dxa"/>
            <w:vAlign w:val="bottom"/>
            <w:vMerge w:val="restart"/>
          </w:tcPr>
          <w:p>
            <w:pPr>
              <w:ind w:left="360"/>
              <w:spacing w:after="0"/>
              <w:rPr>
                <w:sz w:val="20"/>
                <w:szCs w:val="20"/>
                <w:color w:val="auto"/>
              </w:rPr>
            </w:pPr>
            <w:r>
              <w:rPr>
                <w:rFonts w:ascii="Arial" w:cs="Arial" w:eastAsia="Arial" w:hAnsi="Arial"/>
                <w:sz w:val="18"/>
                <w:szCs w:val="18"/>
                <w:color w:val="auto"/>
              </w:rPr>
              <w:t>(Distributions in excess of) Undistributed net investment income, at end of period</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620" w:type="dxa"/>
            <w:vAlign w:val="bottom"/>
            <w:vMerge w:val="continue"/>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(5,353,186</w:t>
            </w:r>
          </w:p>
        </w:tc>
        <w:tc>
          <w:tcPr>
            <w:tcW w:w="180" w:type="dxa"/>
            <w:vAlign w:val="bottom"/>
          </w:tcPr>
          <w:p>
            <w:pPr>
              <w:jc w:val="right"/>
              <w:ind w:right="41"/>
              <w:spacing w:after="0"/>
              <w:rPr>
                <w:sz w:val="20"/>
                <w:szCs w:val="20"/>
                <w:color w:val="auto"/>
              </w:rPr>
            </w:pPr>
            <w:r>
              <w:rPr>
                <w:rFonts w:ascii="Arial" w:cs="Arial" w:eastAsia="Arial" w:hAnsi="Arial"/>
                <w:sz w:val="16"/>
                <w:szCs w:val="16"/>
                <w:color w:val="auto"/>
                <w:w w:val="74"/>
              </w:rPr>
              <w:t>)</w:t>
            </w:r>
          </w:p>
        </w:tc>
        <w:tc>
          <w:tcPr>
            <w:tcW w:w="14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2,405,477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6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6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Capital share activity:</w:t>
            </w: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20" w:type="dxa"/>
            <w:vAlign w:val="bottom"/>
          </w:tcPr>
          <w:p>
            <w:pPr>
              <w:ind w:left="360"/>
              <w:spacing w:after="0"/>
              <w:rPr>
                <w:sz w:val="20"/>
                <w:szCs w:val="20"/>
                <w:color w:val="auto"/>
              </w:rPr>
            </w:pPr>
            <w:r>
              <w:rPr>
                <w:rFonts w:ascii="Arial" w:cs="Arial" w:eastAsia="Arial" w:hAnsi="Arial"/>
                <w:sz w:val="18"/>
                <w:szCs w:val="18"/>
                <w:color w:val="auto"/>
              </w:rPr>
              <w:t>Shares issued from public offering</w:t>
            </w:r>
          </w:p>
        </w:tc>
        <w:tc>
          <w:tcPr>
            <w:tcW w:w="120" w:type="dxa"/>
            <w:vAlign w:val="bottom"/>
          </w:tcPr>
          <w:p>
            <w:pPr>
              <w:spacing w:after="0"/>
              <w:rPr>
                <w:sz w:val="18"/>
                <w:szCs w:val="18"/>
                <w:color w:val="auto"/>
              </w:rPr>
            </w:pPr>
          </w:p>
        </w:tc>
        <w:tc>
          <w:tcPr>
            <w:tcW w:w="1160" w:type="dxa"/>
            <w:vAlign w:val="bottom"/>
            <w:gridSpan w:val="2"/>
          </w:tcPr>
          <w:p>
            <w:pPr>
              <w:jc w:val="right"/>
              <w:ind w:right="201"/>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700,000</w:t>
            </w:r>
          </w:p>
        </w:tc>
        <w:tc>
          <w:tcPr>
            <w:tcW w:w="0" w:type="dxa"/>
            <w:vAlign w:val="bottom"/>
          </w:tcPr>
          <w:p>
            <w:pPr>
              <w:spacing w:after="0"/>
              <w:rPr>
                <w:sz w:val="1"/>
                <w:szCs w:val="1"/>
                <w:color w:val="auto"/>
              </w:rPr>
            </w:pPr>
          </w:p>
        </w:tc>
      </w:tr>
      <w:tr>
        <w:trPr>
          <w:trHeight w:val="20"/>
        </w:trPr>
        <w:tc>
          <w:tcPr>
            <w:tcW w:w="86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6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Shares issued from reinvestment of dividends</w:t>
            </w: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1"/>
              <w:spacing w:after="0"/>
              <w:rPr>
                <w:sz w:val="20"/>
                <w:szCs w:val="20"/>
                <w:color w:val="auto"/>
              </w:rPr>
            </w:pPr>
            <w:r>
              <w:rPr>
                <w:rFonts w:ascii="Arial" w:cs="Arial" w:eastAsia="Arial" w:hAnsi="Arial"/>
                <w:sz w:val="18"/>
                <w:szCs w:val="18"/>
                <w:color w:val="auto"/>
              </w:rPr>
              <w:t>47,407</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142,408</w:t>
            </w:r>
          </w:p>
        </w:tc>
        <w:tc>
          <w:tcPr>
            <w:tcW w:w="0" w:type="dxa"/>
            <w:vAlign w:val="bottom"/>
          </w:tcPr>
          <w:p>
            <w:pPr>
              <w:spacing w:after="0"/>
              <w:rPr>
                <w:sz w:val="1"/>
                <w:szCs w:val="1"/>
                <w:color w:val="auto"/>
              </w:rPr>
            </w:pPr>
          </w:p>
        </w:tc>
      </w:tr>
      <w:tr>
        <w:trPr>
          <w:trHeight w:val="20"/>
        </w:trPr>
        <w:tc>
          <w:tcPr>
            <w:tcW w:w="86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240"/>
          </w:cols>
          <w:pgMar w:left="320" w:top="459" w:right="3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left="340" w:right="2720"/>
        <w:spacing w:after="0" w:line="275" w:lineRule="auto"/>
        <w:rPr>
          <w:sz w:val="20"/>
          <w:szCs w:val="20"/>
          <w:color w:val="auto"/>
        </w:rPr>
      </w:pPr>
      <w:r>
        <w:rPr>
          <w:rFonts w:ascii="Arial" w:cs="Arial" w:eastAsia="Arial" w:hAnsi="Arial"/>
          <w:sz w:val="18"/>
          <w:szCs w:val="18"/>
          <w:b w:val="1"/>
          <w:bCs w:val="1"/>
          <w:color w:val="auto"/>
        </w:rPr>
        <w:t>PENNANTPARK INVESTMENT CORPORATION AND SUBSIDIARIES CONSOLIDATED STATEMENTS OF CASH FLOWS (Unaudited)</w:t>
      </w:r>
    </w:p>
    <w:p>
      <w:pPr>
        <w:spacing w:after="0" w:line="200" w:lineRule="exact"/>
        <w:rPr>
          <w:sz w:val="20"/>
          <w:szCs w:val="20"/>
          <w:color w:val="auto"/>
        </w:rPr>
      </w:pP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8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60" w:type="dxa"/>
            <w:vAlign w:val="bottom"/>
            <w:gridSpan w:val="7"/>
          </w:tcPr>
          <w:p>
            <w:pPr>
              <w:jc w:val="right"/>
              <w:ind w:right="340"/>
              <w:spacing w:after="0"/>
              <w:rPr>
                <w:sz w:val="20"/>
                <w:szCs w:val="20"/>
                <w:color w:val="auto"/>
              </w:rPr>
            </w:pPr>
            <w:r>
              <w:rPr>
                <w:rFonts w:ascii="Arial" w:cs="Arial" w:eastAsia="Arial" w:hAnsi="Arial"/>
                <w:sz w:val="14"/>
                <w:szCs w:val="14"/>
                <w:b w:val="1"/>
                <w:bCs w:val="1"/>
                <w:color w:val="auto"/>
                <w:w w:val="98"/>
              </w:rPr>
              <w:t>Three Months Ended December 31,</w:t>
            </w:r>
          </w:p>
        </w:tc>
      </w:tr>
      <w:tr>
        <w:trPr>
          <w:trHeight w:val="142"/>
        </w:trPr>
        <w:tc>
          <w:tcPr>
            <w:tcW w:w="848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960" w:type="dxa"/>
            <w:vAlign w:val="bottom"/>
            <w:tcBorders>
              <w:top w:val="single" w:sz="8" w:color="auto"/>
              <w:bottom w:val="single" w:sz="8" w:color="auto"/>
            </w:tcBorders>
          </w:tcPr>
          <w:p>
            <w:pPr>
              <w:jc w:val="right"/>
              <w:ind w:right="311"/>
              <w:spacing w:after="0" w:line="142" w:lineRule="exact"/>
              <w:rPr>
                <w:sz w:val="20"/>
                <w:szCs w:val="20"/>
                <w:color w:val="auto"/>
              </w:rPr>
            </w:pPr>
            <w:r>
              <w:rPr>
                <w:rFonts w:ascii="Arial" w:cs="Arial" w:eastAsia="Arial" w:hAnsi="Arial"/>
                <w:sz w:val="14"/>
                <w:szCs w:val="14"/>
                <w:b w:val="1"/>
                <w:bCs w:val="1"/>
                <w:color w:val="auto"/>
              </w:rPr>
              <w:t>2013</w:t>
            </w:r>
          </w:p>
        </w:tc>
        <w:tc>
          <w:tcPr>
            <w:tcW w:w="20" w:type="dxa"/>
            <w:vAlign w:val="bottom"/>
            <w:tcBorders>
              <w:top w:val="single" w:sz="8" w:color="auto"/>
              <w:bottom w:val="single" w:sz="8" w:color="CCEEFF"/>
            </w:tcBorders>
          </w:tcPr>
          <w:p>
            <w:pPr>
              <w:spacing w:after="0"/>
              <w:rPr>
                <w:sz w:val="12"/>
                <w:szCs w:val="12"/>
                <w:color w:val="auto"/>
              </w:rPr>
            </w:pPr>
          </w:p>
        </w:tc>
        <w:tc>
          <w:tcPr>
            <w:tcW w:w="280" w:type="dxa"/>
            <w:vAlign w:val="bottom"/>
            <w:tcBorders>
              <w:top w:val="single" w:sz="8" w:color="auto"/>
              <w:bottom w:val="single" w:sz="8" w:color="CCEEFF"/>
            </w:tcBorders>
          </w:tcPr>
          <w:p>
            <w:pPr>
              <w:spacing w:after="0"/>
              <w:rPr>
                <w:sz w:val="12"/>
                <w:szCs w:val="12"/>
                <w:color w:val="auto"/>
              </w:rPr>
            </w:pPr>
          </w:p>
        </w:tc>
        <w:tc>
          <w:tcPr>
            <w:tcW w:w="22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980" w:type="dxa"/>
            <w:vAlign w:val="bottom"/>
            <w:tcBorders>
              <w:top w:val="single" w:sz="8" w:color="auto"/>
              <w:bottom w:val="single" w:sz="8" w:color="auto"/>
            </w:tcBorders>
          </w:tcPr>
          <w:p>
            <w:pPr>
              <w:jc w:val="right"/>
              <w:ind w:right="311"/>
              <w:spacing w:after="0" w:line="142" w:lineRule="exact"/>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CCEEFF"/>
            </w:tcBorders>
          </w:tcPr>
          <w:p>
            <w:pPr>
              <w:spacing w:after="0"/>
              <w:rPr>
                <w:sz w:val="12"/>
                <w:szCs w:val="12"/>
                <w:color w:val="auto"/>
              </w:rPr>
            </w:pPr>
          </w:p>
        </w:tc>
      </w:tr>
      <w:tr>
        <w:trPr>
          <w:trHeight w:val="196"/>
        </w:trPr>
        <w:tc>
          <w:tcPr>
            <w:tcW w:w="848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Cash flows from operating activities:</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8480" w:type="dxa"/>
            <w:vAlign w:val="bottom"/>
          </w:tcPr>
          <w:p>
            <w:pPr>
              <w:ind w:left="360"/>
              <w:spacing w:after="0"/>
              <w:rPr>
                <w:sz w:val="20"/>
                <w:szCs w:val="20"/>
                <w:color w:val="auto"/>
              </w:rPr>
            </w:pPr>
            <w:r>
              <w:rPr>
                <w:rFonts w:ascii="Arial" w:cs="Arial" w:eastAsia="Arial" w:hAnsi="Arial"/>
                <w:sz w:val="18"/>
                <w:szCs w:val="18"/>
                <w:color w:val="auto"/>
              </w:rPr>
              <w:t>Net increase in net assets resulting from operations</w:t>
            </w:r>
          </w:p>
        </w:tc>
        <w:tc>
          <w:tcPr>
            <w:tcW w:w="100" w:type="dxa"/>
            <w:vAlign w:val="bottom"/>
            <w:gridSpan w:val="2"/>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39,454,953</w:t>
            </w:r>
          </w:p>
        </w:tc>
        <w:tc>
          <w:tcPr>
            <w:tcW w:w="280" w:type="dxa"/>
            <w:vAlign w:val="bottom"/>
          </w:tcPr>
          <w:p>
            <w:pPr>
              <w:spacing w:after="0"/>
              <w:rPr>
                <w:sz w:val="18"/>
                <w:szCs w:val="18"/>
                <w:color w:val="auto"/>
              </w:rPr>
            </w:pP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28,541,186</w:t>
            </w:r>
          </w:p>
        </w:tc>
      </w:tr>
      <w:tr>
        <w:trPr>
          <w:trHeight w:val="202"/>
        </w:trPr>
        <w:tc>
          <w:tcPr>
            <w:tcW w:w="8480" w:type="dxa"/>
            <w:vAlign w:val="bottom"/>
            <w:shd w:val="clear" w:color="auto" w:fill="CCEEFF"/>
          </w:tcPr>
          <w:p>
            <w:pPr>
              <w:ind w:left="360"/>
              <w:spacing w:after="0" w:line="201" w:lineRule="exact"/>
              <w:rPr>
                <w:sz w:val="20"/>
                <w:szCs w:val="20"/>
                <w:color w:val="auto"/>
              </w:rPr>
            </w:pPr>
            <w:r>
              <w:rPr>
                <w:rFonts w:ascii="Arial" w:cs="Arial" w:eastAsia="Arial" w:hAnsi="Arial"/>
                <w:sz w:val="18"/>
                <w:szCs w:val="18"/>
                <w:color w:val="auto"/>
                <w:w w:val="95"/>
              </w:rPr>
              <w:t>Adjustments to reconcile net increase in net assets resulting from operations to net cash used for operating</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8480" w:type="dxa"/>
            <w:vAlign w:val="bottom"/>
            <w:shd w:val="clear" w:color="auto" w:fill="CCEEFF"/>
          </w:tcPr>
          <w:p>
            <w:pPr>
              <w:ind w:left="540"/>
              <w:spacing w:after="0"/>
              <w:rPr>
                <w:sz w:val="20"/>
                <w:szCs w:val="20"/>
                <w:color w:val="auto"/>
              </w:rPr>
            </w:pPr>
            <w:r>
              <w:rPr>
                <w:rFonts w:ascii="Arial" w:cs="Arial" w:eastAsia="Arial" w:hAnsi="Arial"/>
                <w:sz w:val="18"/>
                <w:szCs w:val="18"/>
                <w:color w:val="auto"/>
              </w:rPr>
              <w:t>activities:</w:t>
            </w: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r>
      <w:tr>
        <w:trPr>
          <w:trHeight w:val="216"/>
        </w:trPr>
        <w:tc>
          <w:tcPr>
            <w:tcW w:w="8480" w:type="dxa"/>
            <w:vAlign w:val="bottom"/>
          </w:tcPr>
          <w:p>
            <w:pPr>
              <w:ind w:left="720"/>
              <w:spacing w:after="0"/>
              <w:rPr>
                <w:sz w:val="20"/>
                <w:szCs w:val="20"/>
                <w:color w:val="auto"/>
              </w:rPr>
            </w:pPr>
            <w:r>
              <w:rPr>
                <w:rFonts w:ascii="Arial" w:cs="Arial" w:eastAsia="Arial" w:hAnsi="Arial"/>
                <w:sz w:val="18"/>
                <w:szCs w:val="18"/>
                <w:color w:val="auto"/>
              </w:rPr>
              <w:t>Net change in net unrealized appreciation on investments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gridSpan w:val="3"/>
          </w:tcPr>
          <w:p>
            <w:pPr>
              <w:jc w:val="right"/>
              <w:ind w:right="240"/>
              <w:spacing w:after="0"/>
              <w:rPr>
                <w:sz w:val="20"/>
                <w:szCs w:val="20"/>
                <w:color w:val="auto"/>
              </w:rPr>
            </w:pPr>
            <w:r>
              <w:rPr>
                <w:rFonts w:ascii="Arial" w:cs="Arial" w:eastAsia="Arial" w:hAnsi="Arial"/>
                <w:sz w:val="18"/>
                <w:szCs w:val="18"/>
                <w:color w:val="auto"/>
                <w:w w:val="97"/>
              </w:rPr>
              <w:t>(14,736,725)</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w w:val="99"/>
              </w:rPr>
              <w:t>(10,036,538)</w:t>
            </w:r>
          </w:p>
        </w:tc>
      </w:tr>
      <w:tr>
        <w:trPr>
          <w:trHeight w:val="216"/>
        </w:trPr>
        <w:tc>
          <w:tcPr>
            <w:tcW w:w="8480" w:type="dxa"/>
            <w:vAlign w:val="bottom"/>
            <w:shd w:val="clear" w:color="auto" w:fill="CCEEFF"/>
          </w:tcPr>
          <w:p>
            <w:pPr>
              <w:ind w:left="720"/>
              <w:spacing w:after="0"/>
              <w:rPr>
                <w:sz w:val="20"/>
                <w:szCs w:val="20"/>
                <w:color w:val="auto"/>
              </w:rPr>
            </w:pPr>
            <w:r>
              <w:rPr>
                <w:rFonts w:ascii="Arial" w:cs="Arial" w:eastAsia="Arial" w:hAnsi="Arial"/>
                <w:sz w:val="18"/>
                <w:szCs w:val="18"/>
                <w:color w:val="auto"/>
              </w:rPr>
              <w:t>Net change in unrealized (appreciation) depreciation on debt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6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(4,104,000)</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547,500</w:t>
            </w:r>
          </w:p>
        </w:tc>
      </w:tr>
      <w:tr>
        <w:trPr>
          <w:trHeight w:val="216"/>
        </w:trPr>
        <w:tc>
          <w:tcPr>
            <w:tcW w:w="8480" w:type="dxa"/>
            <w:vAlign w:val="bottom"/>
          </w:tcPr>
          <w:p>
            <w:pPr>
              <w:ind w:left="720"/>
              <w:spacing w:after="0"/>
              <w:rPr>
                <w:sz w:val="20"/>
                <w:szCs w:val="20"/>
                <w:color w:val="auto"/>
              </w:rPr>
            </w:pPr>
            <w:r>
              <w:rPr>
                <w:rFonts w:ascii="Arial" w:cs="Arial" w:eastAsia="Arial" w:hAnsi="Arial"/>
                <w:sz w:val="18"/>
                <w:szCs w:val="18"/>
                <w:color w:val="auto"/>
              </w:rPr>
              <w:t>Net realized gain on investments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gridSpan w:val="3"/>
          </w:tcPr>
          <w:p>
            <w:pPr>
              <w:jc w:val="right"/>
              <w:ind w:right="240"/>
              <w:spacing w:after="0"/>
              <w:rPr>
                <w:sz w:val="20"/>
                <w:szCs w:val="20"/>
                <w:color w:val="auto"/>
              </w:rPr>
            </w:pPr>
            <w:r>
              <w:rPr>
                <w:rFonts w:ascii="Arial" w:cs="Arial" w:eastAsia="Arial" w:hAnsi="Arial"/>
                <w:sz w:val="18"/>
                <w:szCs w:val="18"/>
                <w:color w:val="auto"/>
              </w:rPr>
              <w:t>(2,659,111)</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(871,132)</w:t>
            </w:r>
          </w:p>
        </w:tc>
      </w:tr>
      <w:tr>
        <w:trPr>
          <w:trHeight w:val="216"/>
        </w:trPr>
        <w:tc>
          <w:tcPr>
            <w:tcW w:w="8480" w:type="dxa"/>
            <w:vAlign w:val="bottom"/>
            <w:shd w:val="clear" w:color="auto" w:fill="CCEEFF"/>
          </w:tcPr>
          <w:p>
            <w:pPr>
              <w:ind w:left="720"/>
              <w:spacing w:after="0"/>
              <w:rPr>
                <w:sz w:val="20"/>
                <w:szCs w:val="20"/>
                <w:color w:val="auto"/>
              </w:rPr>
            </w:pPr>
            <w:r>
              <w:rPr>
                <w:rFonts w:ascii="Arial" w:cs="Arial" w:eastAsia="Arial" w:hAnsi="Arial"/>
                <w:sz w:val="18"/>
                <w:szCs w:val="18"/>
                <w:color w:val="auto"/>
              </w:rPr>
              <w:t>Net accretion of discount and amortization of premium</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6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(2,254,165)</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(1,451,536)</w:t>
            </w:r>
          </w:p>
        </w:tc>
      </w:tr>
      <w:tr>
        <w:trPr>
          <w:trHeight w:val="216"/>
        </w:trPr>
        <w:tc>
          <w:tcPr>
            <w:tcW w:w="8480" w:type="dxa"/>
            <w:vAlign w:val="bottom"/>
          </w:tcPr>
          <w:p>
            <w:pPr>
              <w:ind w:left="720"/>
              <w:spacing w:after="0"/>
              <w:rPr>
                <w:sz w:val="20"/>
                <w:szCs w:val="20"/>
                <w:color w:val="auto"/>
              </w:rPr>
            </w:pPr>
            <w:r>
              <w:rPr>
                <w:rFonts w:ascii="Arial" w:cs="Arial" w:eastAsia="Arial" w:hAnsi="Arial"/>
                <w:sz w:val="18"/>
                <w:szCs w:val="18"/>
                <w:color w:val="auto"/>
              </w:rPr>
              <w:t>Purchases of investments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gridSpan w:val="3"/>
          </w:tcPr>
          <w:p>
            <w:pPr>
              <w:jc w:val="right"/>
              <w:ind w:right="240"/>
              <w:spacing w:after="0"/>
              <w:rPr>
                <w:sz w:val="20"/>
                <w:szCs w:val="20"/>
                <w:color w:val="auto"/>
              </w:rPr>
            </w:pPr>
            <w:r>
              <w:rPr>
                <w:rFonts w:ascii="Arial" w:cs="Arial" w:eastAsia="Arial" w:hAnsi="Arial"/>
                <w:sz w:val="18"/>
                <w:szCs w:val="18"/>
                <w:color w:val="auto"/>
                <w:w w:val="89"/>
              </w:rPr>
              <w:t>(227,964,735)</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w w:val="90"/>
              </w:rPr>
              <w:t>(168,396,168)</w:t>
            </w:r>
          </w:p>
        </w:tc>
      </w:tr>
      <w:tr>
        <w:trPr>
          <w:trHeight w:val="216"/>
        </w:trPr>
        <w:tc>
          <w:tcPr>
            <w:tcW w:w="8480" w:type="dxa"/>
            <w:vAlign w:val="bottom"/>
            <w:shd w:val="clear" w:color="auto" w:fill="CCEEFF"/>
          </w:tcPr>
          <w:p>
            <w:pPr>
              <w:ind w:left="720"/>
              <w:spacing w:after="0"/>
              <w:rPr>
                <w:sz w:val="20"/>
                <w:szCs w:val="20"/>
                <w:color w:val="auto"/>
              </w:rPr>
            </w:pPr>
            <w:r>
              <w:rPr>
                <w:rFonts w:ascii="Arial" w:cs="Arial" w:eastAsia="Arial" w:hAnsi="Arial"/>
                <w:sz w:val="18"/>
                <w:szCs w:val="18"/>
                <w:color w:val="auto"/>
              </w:rPr>
              <w:t>Payment-in-kind income</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6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(2,216,279)</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(4,138,861)</w:t>
            </w:r>
          </w:p>
        </w:tc>
      </w:tr>
      <w:tr>
        <w:trPr>
          <w:trHeight w:val="216"/>
        </w:trPr>
        <w:tc>
          <w:tcPr>
            <w:tcW w:w="8480" w:type="dxa"/>
            <w:vAlign w:val="bottom"/>
          </w:tcPr>
          <w:p>
            <w:pPr>
              <w:ind w:left="720"/>
              <w:spacing w:after="0"/>
              <w:rPr>
                <w:sz w:val="20"/>
                <w:szCs w:val="20"/>
                <w:color w:val="auto"/>
              </w:rPr>
            </w:pPr>
            <w:r>
              <w:rPr>
                <w:rFonts w:ascii="Arial" w:cs="Arial" w:eastAsia="Arial" w:hAnsi="Arial"/>
                <w:sz w:val="18"/>
                <w:szCs w:val="18"/>
                <w:color w:val="auto"/>
              </w:rPr>
              <w:t>Proceeds from dispositions of investments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w w:val="93"/>
              </w:rPr>
              <w:t>143,957,646</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110,832,747</w:t>
            </w:r>
          </w:p>
        </w:tc>
      </w:tr>
      <w:tr>
        <w:trPr>
          <w:trHeight w:val="216"/>
        </w:trPr>
        <w:tc>
          <w:tcPr>
            <w:tcW w:w="8480" w:type="dxa"/>
            <w:vAlign w:val="bottom"/>
            <w:shd w:val="clear" w:color="auto" w:fill="CCEEFF"/>
          </w:tcPr>
          <w:p>
            <w:pPr>
              <w:ind w:left="720"/>
              <w:spacing w:after="0"/>
              <w:rPr>
                <w:sz w:val="20"/>
                <w:szCs w:val="20"/>
                <w:color w:val="auto"/>
              </w:rPr>
            </w:pPr>
            <w:r>
              <w:rPr>
                <w:rFonts w:ascii="Arial" w:cs="Arial" w:eastAsia="Arial" w:hAnsi="Arial"/>
                <w:sz w:val="18"/>
                <w:szCs w:val="18"/>
                <w:color w:val="auto"/>
              </w:rPr>
              <w:t>Decrease in interest receivable</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2,209,037</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4,113,599</w:t>
            </w:r>
          </w:p>
        </w:tc>
      </w:tr>
      <w:tr>
        <w:trPr>
          <w:trHeight w:val="216"/>
        </w:trPr>
        <w:tc>
          <w:tcPr>
            <w:tcW w:w="8480" w:type="dxa"/>
            <w:vAlign w:val="bottom"/>
          </w:tcPr>
          <w:p>
            <w:pPr>
              <w:ind w:left="720"/>
              <w:spacing w:after="0"/>
              <w:rPr>
                <w:sz w:val="20"/>
                <w:szCs w:val="20"/>
                <w:color w:val="auto"/>
              </w:rPr>
            </w:pPr>
            <w:r>
              <w:rPr>
                <w:rFonts w:ascii="Arial" w:cs="Arial" w:eastAsia="Arial" w:hAnsi="Arial"/>
                <w:sz w:val="18"/>
                <w:szCs w:val="18"/>
                <w:color w:val="auto"/>
              </w:rPr>
              <w:t>(Increase) decrease in prepaid expenses and other assets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gridSpan w:val="3"/>
          </w:tcPr>
          <w:p>
            <w:pPr>
              <w:jc w:val="right"/>
              <w:ind w:right="240"/>
              <w:spacing w:after="0"/>
              <w:rPr>
                <w:sz w:val="20"/>
                <w:szCs w:val="20"/>
                <w:color w:val="auto"/>
              </w:rPr>
            </w:pPr>
            <w:r>
              <w:rPr>
                <w:rFonts w:ascii="Arial" w:cs="Arial" w:eastAsia="Arial" w:hAnsi="Arial"/>
                <w:sz w:val="18"/>
                <w:szCs w:val="18"/>
                <w:color w:val="auto"/>
              </w:rPr>
              <w:t>(845,805)</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364,301</w:t>
            </w:r>
          </w:p>
        </w:tc>
      </w:tr>
      <w:tr>
        <w:trPr>
          <w:trHeight w:val="216"/>
        </w:trPr>
        <w:tc>
          <w:tcPr>
            <w:tcW w:w="8480" w:type="dxa"/>
            <w:vAlign w:val="bottom"/>
            <w:shd w:val="clear" w:color="auto" w:fill="CCEEFF"/>
          </w:tcPr>
          <w:p>
            <w:pPr>
              <w:ind w:left="720"/>
              <w:spacing w:after="0"/>
              <w:rPr>
                <w:sz w:val="20"/>
                <w:szCs w:val="20"/>
                <w:color w:val="auto"/>
              </w:rPr>
            </w:pPr>
            <w:r>
              <w:rPr>
                <w:rFonts w:ascii="Arial" w:cs="Arial" w:eastAsia="Arial" w:hAnsi="Arial"/>
                <w:sz w:val="18"/>
                <w:szCs w:val="18"/>
                <w:color w:val="auto"/>
              </w:rPr>
              <w:t>(Decrease) increase in payable for investments purchased</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6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w w:val="97"/>
              </w:rPr>
              <w:t>(38,094,704)</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1,357,840</w:t>
            </w:r>
          </w:p>
        </w:tc>
      </w:tr>
      <w:tr>
        <w:trPr>
          <w:trHeight w:val="216"/>
        </w:trPr>
        <w:tc>
          <w:tcPr>
            <w:tcW w:w="8480" w:type="dxa"/>
            <w:vAlign w:val="bottom"/>
          </w:tcPr>
          <w:p>
            <w:pPr>
              <w:ind w:left="720"/>
              <w:spacing w:after="0"/>
              <w:rPr>
                <w:sz w:val="20"/>
                <w:szCs w:val="20"/>
                <w:color w:val="auto"/>
              </w:rPr>
            </w:pPr>
            <w:r>
              <w:rPr>
                <w:rFonts w:ascii="Arial" w:cs="Arial" w:eastAsia="Arial" w:hAnsi="Arial"/>
                <w:sz w:val="18"/>
                <w:szCs w:val="18"/>
                <w:color w:val="auto"/>
              </w:rPr>
              <w:t>Increase in interest payable on debt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1,439,922</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1,596,384</w:t>
            </w:r>
          </w:p>
        </w:tc>
      </w:tr>
      <w:tr>
        <w:trPr>
          <w:trHeight w:val="216"/>
        </w:trPr>
        <w:tc>
          <w:tcPr>
            <w:tcW w:w="8480" w:type="dxa"/>
            <w:vAlign w:val="bottom"/>
            <w:shd w:val="clear" w:color="auto" w:fill="CCEEFF"/>
          </w:tcPr>
          <w:p>
            <w:pPr>
              <w:ind w:left="720"/>
              <w:spacing w:after="0"/>
              <w:rPr>
                <w:sz w:val="20"/>
                <w:szCs w:val="20"/>
                <w:color w:val="auto"/>
              </w:rPr>
            </w:pPr>
            <w:r>
              <w:rPr>
                <w:rFonts w:ascii="Arial" w:cs="Arial" w:eastAsia="Arial" w:hAnsi="Arial"/>
                <w:sz w:val="18"/>
                <w:szCs w:val="18"/>
                <w:color w:val="auto"/>
              </w:rPr>
              <w:t>Increase in management fee payable</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327,503</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336,698</w:t>
            </w:r>
          </w:p>
        </w:tc>
      </w:tr>
      <w:tr>
        <w:trPr>
          <w:trHeight w:val="216"/>
        </w:trPr>
        <w:tc>
          <w:tcPr>
            <w:tcW w:w="8480" w:type="dxa"/>
            <w:vAlign w:val="bottom"/>
          </w:tcPr>
          <w:p>
            <w:pPr>
              <w:ind w:left="720"/>
              <w:spacing w:after="0"/>
              <w:rPr>
                <w:sz w:val="20"/>
                <w:szCs w:val="20"/>
                <w:color w:val="auto"/>
              </w:rPr>
            </w:pPr>
            <w:r>
              <w:rPr>
                <w:rFonts w:ascii="Arial" w:cs="Arial" w:eastAsia="Arial" w:hAnsi="Arial"/>
                <w:sz w:val="18"/>
                <w:szCs w:val="18"/>
                <w:color w:val="auto"/>
              </w:rPr>
              <w:t>Increase in performance-based incentive fee payable</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213,898</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338,265</w:t>
            </w:r>
          </w:p>
        </w:tc>
      </w:tr>
      <w:tr>
        <w:trPr>
          <w:trHeight w:val="216"/>
        </w:trPr>
        <w:tc>
          <w:tcPr>
            <w:tcW w:w="8480" w:type="dxa"/>
            <w:vAlign w:val="bottom"/>
            <w:shd w:val="clear" w:color="auto" w:fill="CCEEFF"/>
          </w:tcPr>
          <w:p>
            <w:pPr>
              <w:ind w:left="720"/>
              <w:spacing w:after="0"/>
              <w:rPr>
                <w:sz w:val="20"/>
                <w:szCs w:val="20"/>
                <w:color w:val="auto"/>
              </w:rPr>
            </w:pPr>
            <w:r>
              <w:rPr>
                <w:rFonts w:ascii="Arial" w:cs="Arial" w:eastAsia="Arial" w:hAnsi="Arial"/>
                <w:sz w:val="18"/>
                <w:szCs w:val="18"/>
                <w:color w:val="auto"/>
              </w:rPr>
              <w:t>Increase in accrued other expenses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1,218,062</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1,097,717</w:t>
            </w:r>
          </w:p>
        </w:tc>
      </w:tr>
      <w:tr>
        <w:trPr>
          <w:trHeight w:val="230"/>
        </w:trPr>
        <w:tc>
          <w:tcPr>
            <w:tcW w:w="8480" w:type="dxa"/>
            <w:vAlign w:val="bottom"/>
          </w:tcPr>
          <w:p>
            <w:pPr>
              <w:ind w:left="1080"/>
              <w:spacing w:after="0"/>
              <w:rPr>
                <w:sz w:val="20"/>
                <w:szCs w:val="20"/>
                <w:color w:val="auto"/>
              </w:rPr>
            </w:pPr>
            <w:r>
              <w:rPr>
                <w:rFonts w:ascii="Arial" w:cs="Arial" w:eastAsia="Arial" w:hAnsi="Arial"/>
                <w:sz w:val="18"/>
                <w:szCs w:val="18"/>
                <w:color w:val="auto"/>
              </w:rPr>
              <w:t>Net cash used for operating activities</w:t>
            </w:r>
          </w:p>
        </w:tc>
        <w:tc>
          <w:tcPr>
            <w:tcW w:w="2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(104,054,503</w:t>
            </w:r>
          </w:p>
        </w:tc>
        <w:tc>
          <w:tcPr>
            <w:tcW w:w="300" w:type="dxa"/>
            <w:vAlign w:val="bottom"/>
            <w:gridSpan w:val="2"/>
          </w:tcPr>
          <w:p>
            <w:pPr>
              <w:jc w:val="right"/>
              <w:ind w:right="240"/>
              <w:spacing w:after="0"/>
              <w:rPr>
                <w:sz w:val="20"/>
                <w:szCs w:val="20"/>
                <w:color w:val="auto"/>
              </w:rPr>
            </w:pPr>
            <w:r>
              <w:rPr>
                <w:rFonts w:ascii="Arial" w:cs="Arial" w:eastAsia="Arial" w:hAnsi="Arial"/>
                <w:sz w:val="16"/>
                <w:szCs w:val="16"/>
                <w:color w:val="auto"/>
                <w:w w:val="74"/>
              </w:rPr>
              <w:t>)</w:t>
            </w:r>
          </w:p>
        </w:tc>
        <w:tc>
          <w:tcPr>
            <w:tcW w:w="2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(35,767,998)</w:t>
            </w:r>
          </w:p>
        </w:tc>
        <w:tc>
          <w:tcPr>
            <w:tcW w:w="100" w:type="dxa"/>
            <w:vAlign w:val="bottom"/>
          </w:tcPr>
          <w:p>
            <w:pPr>
              <w:spacing w:after="0"/>
              <w:rPr>
                <w:sz w:val="20"/>
                <w:szCs w:val="20"/>
                <w:color w:val="auto"/>
              </w:rPr>
            </w:pPr>
          </w:p>
        </w:tc>
      </w:tr>
      <w:tr>
        <w:trPr>
          <w:trHeight w:val="216"/>
        </w:trPr>
        <w:tc>
          <w:tcPr>
            <w:tcW w:w="84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480" w:type="dxa"/>
            <w:vAlign w:val="bottom"/>
          </w:tcPr>
          <w:p>
            <w:pPr>
              <w:ind w:left="720"/>
              <w:spacing w:after="0"/>
              <w:rPr>
                <w:sz w:val="20"/>
                <w:szCs w:val="20"/>
                <w:color w:val="auto"/>
              </w:rPr>
            </w:pPr>
            <w:r>
              <w:rPr>
                <w:rFonts w:ascii="Arial" w:cs="Arial" w:eastAsia="Arial" w:hAnsi="Arial"/>
                <w:sz w:val="18"/>
                <w:szCs w:val="18"/>
                <w:color w:val="auto"/>
              </w:rPr>
              <w:t>Public offerings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gridSpan w:val="3"/>
          </w:tcPr>
          <w:p>
            <w:pPr>
              <w:jc w:val="right"/>
              <w:ind w:right="4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7,574,000</w:t>
            </w:r>
          </w:p>
        </w:tc>
      </w:tr>
      <w:tr>
        <w:trPr>
          <w:trHeight w:val="216"/>
        </w:trPr>
        <w:tc>
          <w:tcPr>
            <w:tcW w:w="8480" w:type="dxa"/>
            <w:vAlign w:val="bottom"/>
            <w:shd w:val="clear" w:color="auto" w:fill="CCEEFF"/>
          </w:tcPr>
          <w:p>
            <w:pPr>
              <w:ind w:left="720"/>
              <w:spacing w:after="0"/>
              <w:rPr>
                <w:sz w:val="20"/>
                <w:szCs w:val="20"/>
                <w:color w:val="auto"/>
              </w:rPr>
            </w:pPr>
            <w:r>
              <w:rPr>
                <w:rFonts w:ascii="Arial" w:cs="Arial" w:eastAsia="Arial" w:hAnsi="Arial"/>
                <w:sz w:val="18"/>
                <w:szCs w:val="18"/>
                <w:color w:val="auto"/>
              </w:rPr>
              <w:t>Offering costs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6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(265,090)</w:t>
            </w:r>
          </w:p>
        </w:tc>
      </w:tr>
      <w:tr>
        <w:trPr>
          <w:trHeight w:val="216"/>
        </w:trPr>
        <w:tc>
          <w:tcPr>
            <w:tcW w:w="8480" w:type="dxa"/>
            <w:vAlign w:val="bottom"/>
          </w:tcPr>
          <w:p>
            <w:pPr>
              <w:ind w:left="720"/>
              <w:spacing w:after="0"/>
              <w:rPr>
                <w:sz w:val="20"/>
                <w:szCs w:val="20"/>
                <w:color w:val="auto"/>
              </w:rPr>
            </w:pPr>
            <w:r>
              <w:rPr>
                <w:rFonts w:ascii="Arial" w:cs="Arial" w:eastAsia="Arial" w:hAnsi="Arial"/>
                <w:sz w:val="18"/>
                <w:szCs w:val="18"/>
                <w:color w:val="auto"/>
              </w:rPr>
              <w:t>Distributions paid, net of dividends reinvested</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gridSpan w:val="3"/>
          </w:tcPr>
          <w:p>
            <w:pPr>
              <w:jc w:val="right"/>
              <w:ind w:right="240"/>
              <w:spacing w:after="0"/>
              <w:rPr>
                <w:sz w:val="20"/>
                <w:szCs w:val="20"/>
                <w:color w:val="auto"/>
              </w:rPr>
            </w:pPr>
            <w:r>
              <w:rPr>
                <w:rFonts w:ascii="Arial" w:cs="Arial" w:eastAsia="Arial" w:hAnsi="Arial"/>
                <w:sz w:val="18"/>
                <w:szCs w:val="18"/>
                <w:color w:val="auto"/>
                <w:w w:val="97"/>
              </w:rPr>
              <w:t>(18,082,691)</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w w:val="99"/>
              </w:rPr>
              <w:t>(14,308,848)</w:t>
            </w:r>
          </w:p>
        </w:tc>
      </w:tr>
      <w:tr>
        <w:trPr>
          <w:trHeight w:val="216"/>
        </w:trPr>
        <w:tc>
          <w:tcPr>
            <w:tcW w:w="8480" w:type="dxa"/>
            <w:vAlign w:val="bottom"/>
            <w:shd w:val="clear" w:color="auto" w:fill="CCEEFF"/>
          </w:tcPr>
          <w:p>
            <w:pPr>
              <w:ind w:left="720"/>
              <w:spacing w:after="0"/>
              <w:rPr>
                <w:sz w:val="20"/>
                <w:szCs w:val="20"/>
                <w:color w:val="auto"/>
              </w:rPr>
            </w:pPr>
            <w:r>
              <w:rPr>
                <w:rFonts w:ascii="Arial" w:cs="Arial" w:eastAsia="Arial" w:hAnsi="Arial"/>
                <w:sz w:val="18"/>
                <w:szCs w:val="18"/>
                <w:color w:val="auto"/>
              </w:rPr>
              <w:t>Borrowings under Credit Facility (See Note 10)</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3"/>
              </w:rPr>
              <w:t>400,000,000</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376,300,000</w:t>
            </w:r>
          </w:p>
        </w:tc>
      </w:tr>
      <w:tr>
        <w:trPr>
          <w:trHeight w:val="223"/>
        </w:trPr>
        <w:tc>
          <w:tcPr>
            <w:tcW w:w="8480" w:type="dxa"/>
            <w:vAlign w:val="bottom"/>
          </w:tcPr>
          <w:p>
            <w:pPr>
              <w:ind w:left="720"/>
              <w:spacing w:after="0"/>
              <w:rPr>
                <w:sz w:val="20"/>
                <w:szCs w:val="20"/>
                <w:color w:val="auto"/>
              </w:rPr>
            </w:pPr>
            <w:r>
              <w:rPr>
                <w:rFonts w:ascii="Arial" w:cs="Arial" w:eastAsia="Arial" w:hAnsi="Arial"/>
                <w:sz w:val="18"/>
                <w:szCs w:val="18"/>
                <w:color w:val="auto"/>
              </w:rPr>
              <w:t>Repayments under Credit Facility (See Note 10)</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60" w:type="dxa"/>
            <w:vAlign w:val="bottom"/>
            <w:gridSpan w:val="3"/>
          </w:tcPr>
          <w:p>
            <w:pPr>
              <w:jc w:val="right"/>
              <w:ind w:right="240"/>
              <w:spacing w:after="0"/>
              <w:rPr>
                <w:sz w:val="20"/>
                <w:szCs w:val="20"/>
                <w:color w:val="auto"/>
              </w:rPr>
            </w:pPr>
            <w:r>
              <w:rPr>
                <w:rFonts w:ascii="Arial" w:cs="Arial" w:eastAsia="Arial" w:hAnsi="Arial"/>
                <w:sz w:val="18"/>
                <w:szCs w:val="18"/>
                <w:color w:val="auto"/>
                <w:w w:val="89"/>
              </w:rPr>
              <w:t>(305,500,000)</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w w:val="90"/>
              </w:rPr>
              <w:t>(309,800,000)</w:t>
            </w:r>
          </w:p>
        </w:tc>
      </w:tr>
      <w:tr>
        <w:trPr>
          <w:trHeight w:val="216"/>
        </w:trPr>
        <w:tc>
          <w:tcPr>
            <w:tcW w:w="8480" w:type="dxa"/>
            <w:vAlign w:val="bottom"/>
            <w:shd w:val="clear" w:color="auto" w:fill="CCEEFF"/>
          </w:tcPr>
          <w:p>
            <w:pPr>
              <w:ind w:left="1080"/>
              <w:spacing w:after="0"/>
              <w:rPr>
                <w:sz w:val="20"/>
                <w:szCs w:val="20"/>
                <w:color w:val="auto"/>
              </w:rPr>
            </w:pPr>
            <w:r>
              <w:rPr>
                <w:rFonts w:ascii="Arial" w:cs="Arial" w:eastAsia="Arial" w:hAnsi="Arial"/>
                <w:sz w:val="18"/>
                <w:szCs w:val="18"/>
                <w:color w:val="auto"/>
              </w:rPr>
              <w:t>Net cash provided by financing activities</w:t>
            </w:r>
          </w:p>
        </w:tc>
        <w:tc>
          <w:tcPr>
            <w:tcW w:w="20" w:type="dxa"/>
            <w:vAlign w:val="bottom"/>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76,417,309</w:t>
            </w: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59,500,062</w:t>
            </w:r>
          </w:p>
        </w:tc>
        <w:tc>
          <w:tcPr>
            <w:tcW w:w="100" w:type="dxa"/>
            <w:vAlign w:val="bottom"/>
            <w:shd w:val="clear" w:color="auto" w:fill="CCEEFF"/>
          </w:tcPr>
          <w:p>
            <w:pPr>
              <w:spacing w:after="0"/>
              <w:rPr>
                <w:sz w:val="18"/>
                <w:szCs w:val="18"/>
                <w:color w:val="auto"/>
              </w:rPr>
            </w:pPr>
          </w:p>
        </w:tc>
      </w:tr>
      <w:tr>
        <w:trPr>
          <w:trHeight w:val="223"/>
        </w:trPr>
        <w:tc>
          <w:tcPr>
            <w:tcW w:w="8480" w:type="dxa"/>
            <w:vAlign w:val="bottom"/>
          </w:tcPr>
          <w:p>
            <w:pPr>
              <w:spacing w:after="0"/>
              <w:rPr>
                <w:sz w:val="20"/>
                <w:szCs w:val="20"/>
                <w:color w:val="auto"/>
              </w:rPr>
            </w:pPr>
            <w:r>
              <w:rPr>
                <w:rFonts w:ascii="Arial" w:cs="Arial" w:eastAsia="Arial" w:hAnsi="Arial"/>
                <w:sz w:val="18"/>
                <w:szCs w:val="18"/>
                <w:b w:val="1"/>
                <w:bCs w:val="1"/>
                <w:color w:val="auto"/>
              </w:rPr>
              <w:t>Net (decrease) increase in cash equivalents</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w w:val="92"/>
              </w:rPr>
              <w:t>(27,637,194)</w:t>
            </w: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23,732,064</w:t>
            </w:r>
          </w:p>
        </w:tc>
        <w:tc>
          <w:tcPr>
            <w:tcW w:w="100" w:type="dxa"/>
            <w:vAlign w:val="bottom"/>
          </w:tcPr>
          <w:p>
            <w:pPr>
              <w:spacing w:after="0"/>
              <w:rPr>
                <w:sz w:val="19"/>
                <w:szCs w:val="19"/>
                <w:color w:val="auto"/>
              </w:rPr>
            </w:pPr>
          </w:p>
        </w:tc>
      </w:tr>
      <w:tr>
        <w:trPr>
          <w:trHeight w:val="216"/>
        </w:trPr>
        <w:tc>
          <w:tcPr>
            <w:tcW w:w="84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and cash equivalents, beginning of period</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58,440,829</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7,559,453</w:t>
            </w:r>
          </w:p>
        </w:tc>
      </w:tr>
      <w:tr>
        <w:trPr>
          <w:trHeight w:val="223"/>
        </w:trPr>
        <w:tc>
          <w:tcPr>
            <w:tcW w:w="8480" w:type="dxa"/>
            <w:vAlign w:val="bottom"/>
          </w:tcPr>
          <w:p>
            <w:pPr>
              <w:spacing w:after="0"/>
              <w:rPr>
                <w:sz w:val="20"/>
                <w:szCs w:val="20"/>
                <w:color w:val="auto"/>
              </w:rPr>
            </w:pPr>
            <w:r>
              <w:rPr>
                <w:rFonts w:ascii="Arial" w:cs="Arial" w:eastAsia="Arial" w:hAnsi="Arial"/>
                <w:sz w:val="18"/>
                <w:szCs w:val="18"/>
                <w:b w:val="1"/>
                <w:bCs w:val="1"/>
                <w:color w:val="auto"/>
              </w:rPr>
              <w:t>Cash and cash equivalents, end of period</w:t>
            </w:r>
          </w:p>
        </w:tc>
        <w:tc>
          <w:tcPr>
            <w:tcW w:w="2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30,803,635</w:t>
            </w: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31,291,517</w:t>
            </w:r>
          </w:p>
        </w:tc>
        <w:tc>
          <w:tcPr>
            <w:tcW w:w="100" w:type="dxa"/>
            <w:vAlign w:val="bottom"/>
          </w:tcPr>
          <w:p>
            <w:pPr>
              <w:spacing w:after="0"/>
              <w:rPr>
                <w:sz w:val="19"/>
                <w:szCs w:val="19"/>
                <w:color w:val="auto"/>
              </w:rPr>
            </w:pPr>
          </w:p>
        </w:tc>
      </w:tr>
      <w:tr>
        <w:trPr>
          <w:trHeight w:val="20"/>
        </w:trPr>
        <w:tc>
          <w:tcPr>
            <w:tcW w:w="8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02"/>
        </w:trPr>
        <w:tc>
          <w:tcPr>
            <w:tcW w:w="84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960" w:type="dxa"/>
            <w:vAlign w:val="bottom"/>
          </w:tcPr>
          <w:p>
            <w:pPr>
              <w:spacing w:after="0"/>
              <w:rPr>
                <w:sz w:val="8"/>
                <w:szCs w:val="8"/>
                <w:color w:val="auto"/>
              </w:rPr>
            </w:pPr>
          </w:p>
        </w:tc>
        <w:tc>
          <w:tcPr>
            <w:tcW w:w="20" w:type="dxa"/>
            <w:vAlign w:val="bottom"/>
          </w:tcPr>
          <w:p>
            <w:pPr>
              <w:spacing w:after="0"/>
              <w:rPr>
                <w:sz w:val="8"/>
                <w:szCs w:val="8"/>
                <w:color w:val="auto"/>
              </w:rPr>
            </w:pPr>
          </w:p>
        </w:tc>
        <w:tc>
          <w:tcPr>
            <w:tcW w:w="2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980" w:type="dxa"/>
            <w:vAlign w:val="bottom"/>
          </w:tcPr>
          <w:p>
            <w:pPr>
              <w:spacing w:after="0"/>
              <w:rPr>
                <w:sz w:val="8"/>
                <w:szCs w:val="8"/>
                <w:color w:val="auto"/>
              </w:rPr>
            </w:pPr>
          </w:p>
        </w:tc>
        <w:tc>
          <w:tcPr>
            <w:tcW w:w="100" w:type="dxa"/>
            <w:vAlign w:val="bottom"/>
          </w:tcPr>
          <w:p>
            <w:pPr>
              <w:spacing w:after="0"/>
              <w:rPr>
                <w:sz w:val="8"/>
                <w:szCs w:val="8"/>
                <w:color w:val="auto"/>
              </w:rPr>
            </w:pPr>
          </w:p>
        </w:tc>
      </w:tr>
      <w:tr>
        <w:trPr>
          <w:trHeight w:val="216"/>
        </w:trPr>
        <w:tc>
          <w:tcPr>
            <w:tcW w:w="84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Supplemental disclosure of cash flow information and non-cash financing activity:</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480" w:type="dxa"/>
            <w:vAlign w:val="bottom"/>
          </w:tcPr>
          <w:p>
            <w:pPr>
              <w:ind w:left="360"/>
              <w:spacing w:after="0"/>
              <w:rPr>
                <w:sz w:val="20"/>
                <w:szCs w:val="20"/>
                <w:color w:val="auto"/>
              </w:rPr>
            </w:pPr>
            <w:r>
              <w:rPr>
                <w:rFonts w:ascii="Arial" w:cs="Arial" w:eastAsia="Arial" w:hAnsi="Arial"/>
                <w:sz w:val="18"/>
                <w:szCs w:val="18"/>
                <w:color w:val="auto"/>
              </w:rPr>
              <w:t>Interest paid</w:t>
            </w:r>
          </w:p>
        </w:tc>
        <w:tc>
          <w:tcPr>
            <w:tcW w:w="100" w:type="dxa"/>
            <w:vAlign w:val="bottom"/>
            <w:gridSpan w:val="2"/>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3,007,330</w:t>
            </w:r>
          </w:p>
        </w:tc>
        <w:tc>
          <w:tcPr>
            <w:tcW w:w="280" w:type="dxa"/>
            <w:vAlign w:val="bottom"/>
          </w:tcPr>
          <w:p>
            <w:pPr>
              <w:spacing w:after="0"/>
              <w:rPr>
                <w:sz w:val="18"/>
                <w:szCs w:val="18"/>
                <w:color w:val="auto"/>
              </w:rPr>
            </w:pP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1,378,858</w:t>
            </w:r>
          </w:p>
        </w:tc>
      </w:tr>
      <w:tr>
        <w:trPr>
          <w:trHeight w:val="27"/>
        </w:trPr>
        <w:tc>
          <w:tcPr>
            <w:tcW w:w="84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84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Dividends reinvested</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537,121</w:t>
            </w:r>
          </w:p>
        </w:tc>
        <w:tc>
          <w:tcPr>
            <w:tcW w:w="28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1,515,213</w:t>
            </w:r>
          </w:p>
        </w:tc>
      </w:tr>
      <w:tr>
        <w:trPr>
          <w:trHeight w:val="223"/>
        </w:trPr>
        <w:tc>
          <w:tcPr>
            <w:tcW w:w="8480" w:type="dxa"/>
            <w:vAlign w:val="bottom"/>
          </w:tcPr>
          <w:p>
            <w:pPr>
              <w:ind w:left="360"/>
              <w:spacing w:after="0"/>
              <w:rPr>
                <w:sz w:val="20"/>
                <w:szCs w:val="20"/>
                <w:color w:val="auto"/>
              </w:rPr>
            </w:pPr>
            <w:r>
              <w:rPr>
                <w:rFonts w:ascii="Arial" w:cs="Arial" w:eastAsia="Arial" w:hAnsi="Arial"/>
                <w:sz w:val="18"/>
                <w:szCs w:val="18"/>
                <w:color w:val="auto"/>
              </w:rPr>
              <w:t>Conversions and non-cash exchanges</w:t>
            </w:r>
          </w:p>
        </w:tc>
        <w:tc>
          <w:tcPr>
            <w:tcW w:w="20" w:type="dxa"/>
            <w:vAlign w:val="bottom"/>
            <w:tcBorders>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51,577,498</w:t>
            </w:r>
          </w:p>
        </w:tc>
        <w:tc>
          <w:tcPr>
            <w:tcW w:w="20" w:type="dxa"/>
            <w:vAlign w:val="bottom"/>
            <w:tcBorders>
              <w:bottom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41,353,789</w:t>
            </w:r>
          </w:p>
        </w:tc>
        <w:tc>
          <w:tcPr>
            <w:tcW w:w="100" w:type="dxa"/>
            <w:vAlign w:val="bottom"/>
          </w:tcPr>
          <w:p>
            <w:pPr>
              <w:spacing w:after="0"/>
              <w:rPr>
                <w:sz w:val="19"/>
                <w:szCs w:val="19"/>
                <w:color w:val="auto"/>
              </w:rPr>
            </w:pPr>
          </w:p>
        </w:tc>
      </w:tr>
    </w:tbl>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240"/>
          </w:cols>
          <w:pgMar w:left="320" w:top="459" w:right="3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PENNANTPARK INVESTMENT CORPORATION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SCHEDULE OF INVESTMENTS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2013</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7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40" w:type="dxa"/>
            <w:vAlign w:val="bottom"/>
          </w:tcPr>
          <w:p>
            <w:pPr>
              <w:jc w:val="center"/>
              <w:spacing w:after="0"/>
              <w:rPr>
                <w:sz w:val="20"/>
                <w:szCs w:val="20"/>
                <w:color w:val="auto"/>
              </w:rPr>
            </w:pPr>
            <w:r>
              <w:rPr>
                <w:rFonts w:ascii="Arial" w:cs="Arial" w:eastAsia="Arial" w:hAnsi="Arial"/>
                <w:sz w:val="14"/>
                <w:szCs w:val="14"/>
                <w:b w:val="1"/>
                <w:bCs w:val="1"/>
                <w:color w:val="auto"/>
                <w:w w:val="89"/>
              </w:rPr>
              <w:t>Basis Point</w:t>
            </w:r>
          </w:p>
        </w:tc>
        <w:tc>
          <w:tcPr>
            <w:tcW w:w="2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74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940" w:type="dxa"/>
            <w:vAlign w:val="bottom"/>
            <w:vMerge w:val="restart"/>
          </w:tcPr>
          <w:p>
            <w:pPr>
              <w:jc w:val="right"/>
              <w:ind w:right="248"/>
              <w:spacing w:after="0"/>
              <w:rPr>
                <w:sz w:val="20"/>
                <w:szCs w:val="20"/>
                <w:color w:val="auto"/>
              </w:rPr>
            </w:pPr>
            <w:r>
              <w:rPr>
                <w:rFonts w:ascii="Arial" w:cs="Arial" w:eastAsia="Arial" w:hAnsi="Arial"/>
                <w:sz w:val="14"/>
                <w:szCs w:val="14"/>
                <w:b w:val="1"/>
                <w:bCs w:val="1"/>
                <w:color w:val="auto"/>
              </w:rPr>
              <w:t>Current</w:t>
            </w:r>
          </w:p>
        </w:tc>
        <w:tc>
          <w:tcPr>
            <w:tcW w:w="7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Spread</w:t>
            </w:r>
          </w:p>
        </w:tc>
        <w:tc>
          <w:tcPr>
            <w:tcW w:w="240" w:type="dxa"/>
            <w:vAlign w:val="bottom"/>
          </w:tcPr>
          <w:p>
            <w:pPr>
              <w:spacing w:after="0"/>
              <w:rPr>
                <w:sz w:val="12"/>
                <w:szCs w:val="12"/>
                <w:color w:val="auto"/>
              </w:rPr>
            </w:pPr>
          </w:p>
        </w:tc>
        <w:tc>
          <w:tcPr>
            <w:tcW w:w="820" w:type="dxa"/>
            <w:vAlign w:val="bottom"/>
            <w:vMerge w:val="restart"/>
          </w:tcPr>
          <w:p>
            <w:pPr>
              <w:jc w:val="right"/>
              <w:ind w:right="208"/>
              <w:spacing w:after="0"/>
              <w:rPr>
                <w:sz w:val="20"/>
                <w:szCs w:val="20"/>
                <w:color w:val="auto"/>
              </w:rPr>
            </w:pPr>
            <w:r>
              <w:rPr>
                <w:rFonts w:ascii="Arial" w:cs="Arial" w:eastAsia="Arial" w:hAnsi="Arial"/>
                <w:sz w:val="14"/>
                <w:szCs w:val="14"/>
                <w:b w:val="1"/>
                <w:bCs w:val="1"/>
                <w:color w:val="auto"/>
              </w:rPr>
              <w:t>Par /</w:t>
            </w: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740" w:type="dxa"/>
            <w:vAlign w:val="bottom"/>
            <w:vMerge w:val="restart"/>
          </w:tcPr>
          <w:p>
            <w:pPr>
              <w:spacing w:after="0"/>
              <w:rPr>
                <w:sz w:val="20"/>
                <w:szCs w:val="20"/>
                <w:color w:val="auto"/>
              </w:rPr>
            </w:pPr>
            <w:r>
              <w:rPr>
                <w:rFonts w:ascii="Arial" w:cs="Arial" w:eastAsia="Arial" w:hAnsi="Arial"/>
                <w:sz w:val="14"/>
                <w:szCs w:val="14"/>
                <w:b w:val="1"/>
                <w:bCs w:val="1"/>
                <w:color w:val="auto"/>
              </w:rPr>
              <w:t>Issuer Name</w:t>
            </w:r>
          </w:p>
        </w:tc>
        <w:tc>
          <w:tcPr>
            <w:tcW w:w="1240" w:type="dxa"/>
            <w:vAlign w:val="bottom"/>
            <w:vMerge w:val="restart"/>
          </w:tcPr>
          <w:p>
            <w:pPr>
              <w:ind w:left="580"/>
              <w:spacing w:after="0"/>
              <w:rPr>
                <w:sz w:val="20"/>
                <w:szCs w:val="20"/>
                <w:color w:val="auto"/>
              </w:rPr>
            </w:pPr>
            <w:r>
              <w:rPr>
                <w:rFonts w:ascii="Arial" w:cs="Arial" w:eastAsia="Arial" w:hAnsi="Arial"/>
                <w:sz w:val="14"/>
                <w:szCs w:val="14"/>
                <w:b w:val="1"/>
                <w:bCs w:val="1"/>
                <w:color w:val="auto"/>
              </w:rPr>
              <w:t>Maturity</w:t>
            </w:r>
          </w:p>
        </w:tc>
        <w:tc>
          <w:tcPr>
            <w:tcW w:w="14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7"/>
              </w:rPr>
              <w:t>Industry</w:t>
            </w:r>
          </w:p>
        </w:tc>
        <w:tc>
          <w:tcPr>
            <w:tcW w:w="940" w:type="dxa"/>
            <w:vAlign w:val="bottom"/>
            <w:vMerge w:val="continue"/>
          </w:tcPr>
          <w:p>
            <w:pPr>
              <w:spacing w:after="0"/>
              <w:rPr>
                <w:sz w:val="12"/>
                <w:szCs w:val="12"/>
                <w:color w:val="auto"/>
              </w:rPr>
            </w:pPr>
          </w:p>
        </w:tc>
        <w:tc>
          <w:tcPr>
            <w:tcW w:w="7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Above</w:t>
            </w:r>
          </w:p>
        </w:tc>
        <w:tc>
          <w:tcPr>
            <w:tcW w:w="240" w:type="dxa"/>
            <w:vAlign w:val="bottom"/>
          </w:tcPr>
          <w:p>
            <w:pPr>
              <w:spacing w:after="0"/>
              <w:rPr>
                <w:sz w:val="12"/>
                <w:szCs w:val="12"/>
                <w:color w:val="auto"/>
              </w:rPr>
            </w:pPr>
          </w:p>
        </w:tc>
        <w:tc>
          <w:tcPr>
            <w:tcW w:w="82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gridSpan w:val="3"/>
            <w:vMerge w:val="restart"/>
          </w:tcPr>
          <w:p>
            <w:pPr>
              <w:ind w:left="260"/>
              <w:spacing w:after="0"/>
              <w:rPr>
                <w:sz w:val="20"/>
                <w:szCs w:val="20"/>
                <w:color w:val="auto"/>
              </w:rPr>
            </w:pPr>
            <w:r>
              <w:rPr>
                <w:rFonts w:ascii="Arial" w:cs="Arial" w:eastAsia="Arial" w:hAnsi="Arial"/>
                <w:sz w:val="14"/>
                <w:szCs w:val="14"/>
                <w:b w:val="1"/>
                <w:bCs w:val="1"/>
                <w:color w:val="auto"/>
              </w:rPr>
              <w:t>Cost</w:t>
            </w:r>
          </w:p>
        </w:tc>
        <w:tc>
          <w:tcPr>
            <w:tcW w:w="9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 xml:space="preserve">Fair Value </w:t>
            </w:r>
            <w:r>
              <w:rPr>
                <w:rFonts w:ascii="Arial" w:cs="Arial" w:eastAsia="Arial" w:hAnsi="Arial"/>
                <w:sz w:val="12"/>
                <w:szCs w:val="12"/>
                <w:b w:val="1"/>
                <w:bCs w:val="1"/>
                <w:color w:val="auto"/>
              </w:rPr>
              <w:t>(3)</w:t>
            </w:r>
          </w:p>
        </w:tc>
        <w:tc>
          <w:tcPr>
            <w:tcW w:w="0" w:type="dxa"/>
            <w:vAlign w:val="bottom"/>
          </w:tcPr>
          <w:p>
            <w:pPr>
              <w:spacing w:after="0"/>
              <w:rPr>
                <w:sz w:val="1"/>
                <w:szCs w:val="1"/>
                <w:color w:val="auto"/>
              </w:rPr>
            </w:pPr>
          </w:p>
        </w:tc>
      </w:tr>
      <w:tr>
        <w:trPr>
          <w:trHeight w:val="171"/>
        </w:trPr>
        <w:tc>
          <w:tcPr>
            <w:tcW w:w="3740" w:type="dxa"/>
            <w:vAlign w:val="bottom"/>
            <w:vMerge w:val="continue"/>
          </w:tcPr>
          <w:p>
            <w:pPr>
              <w:spacing w:after="0"/>
              <w:rPr>
                <w:sz w:val="14"/>
                <w:szCs w:val="14"/>
                <w:color w:val="auto"/>
              </w:rPr>
            </w:pPr>
          </w:p>
        </w:tc>
        <w:tc>
          <w:tcPr>
            <w:tcW w:w="1240" w:type="dxa"/>
            <w:vAlign w:val="bottom"/>
            <w:vMerge w:val="continue"/>
          </w:tcPr>
          <w:p>
            <w:pPr>
              <w:spacing w:after="0"/>
              <w:rPr>
                <w:sz w:val="14"/>
                <w:szCs w:val="14"/>
                <w:color w:val="auto"/>
              </w:rPr>
            </w:pPr>
          </w:p>
        </w:tc>
        <w:tc>
          <w:tcPr>
            <w:tcW w:w="1480" w:type="dxa"/>
            <w:vAlign w:val="bottom"/>
            <w:vMerge w:val="continue"/>
          </w:tcPr>
          <w:p>
            <w:pPr>
              <w:spacing w:after="0"/>
              <w:rPr>
                <w:sz w:val="14"/>
                <w:szCs w:val="14"/>
                <w:color w:val="auto"/>
              </w:rPr>
            </w:pPr>
          </w:p>
        </w:tc>
        <w:tc>
          <w:tcPr>
            <w:tcW w:w="940" w:type="dxa"/>
            <w:vAlign w:val="bottom"/>
          </w:tcPr>
          <w:p>
            <w:pPr>
              <w:jc w:val="right"/>
              <w:ind w:right="268"/>
              <w:spacing w:after="0"/>
              <w:rPr>
                <w:sz w:val="20"/>
                <w:szCs w:val="20"/>
                <w:color w:val="auto"/>
              </w:rPr>
            </w:pPr>
            <w:r>
              <w:rPr>
                <w:rFonts w:ascii="Arial" w:cs="Arial" w:eastAsia="Arial" w:hAnsi="Arial"/>
                <w:sz w:val="14"/>
                <w:szCs w:val="14"/>
                <w:b w:val="1"/>
                <w:bCs w:val="1"/>
                <w:color w:val="auto"/>
              </w:rPr>
              <w:t>Coupon</w:t>
            </w:r>
          </w:p>
        </w:tc>
        <w:tc>
          <w:tcPr>
            <w:tcW w:w="740" w:type="dxa"/>
            <w:vAlign w:val="bottom"/>
          </w:tcPr>
          <w:p>
            <w:pPr>
              <w:jc w:val="center"/>
              <w:spacing w:after="0"/>
              <w:rPr>
                <w:sz w:val="20"/>
                <w:szCs w:val="20"/>
                <w:color w:val="auto"/>
              </w:rPr>
            </w:pPr>
            <w:r>
              <w:rPr>
                <w:rFonts w:ascii="Arial" w:cs="Arial" w:eastAsia="Arial" w:hAnsi="Arial"/>
                <w:sz w:val="14"/>
                <w:szCs w:val="14"/>
                <w:b w:val="1"/>
                <w:bCs w:val="1"/>
                <w:color w:val="auto"/>
                <w:w w:val="94"/>
              </w:rPr>
              <w:t xml:space="preserve">Index </w:t>
            </w:r>
            <w:r>
              <w:rPr>
                <w:rFonts w:ascii="Arial" w:cs="Arial" w:eastAsia="Arial" w:hAnsi="Arial"/>
                <w:sz w:val="12"/>
                <w:szCs w:val="12"/>
                <w:b w:val="1"/>
                <w:bCs w:val="1"/>
                <w:color w:val="auto"/>
                <w:w w:val="94"/>
              </w:rPr>
              <w:t>(4)</w:t>
            </w:r>
          </w:p>
        </w:tc>
        <w:tc>
          <w:tcPr>
            <w:tcW w:w="240" w:type="dxa"/>
            <w:vAlign w:val="bottom"/>
          </w:tcPr>
          <w:p>
            <w:pPr>
              <w:spacing w:after="0"/>
              <w:rPr>
                <w:sz w:val="14"/>
                <w:szCs w:val="14"/>
                <w:color w:val="auto"/>
              </w:rPr>
            </w:pPr>
          </w:p>
        </w:tc>
        <w:tc>
          <w:tcPr>
            <w:tcW w:w="820" w:type="dxa"/>
            <w:vAlign w:val="bottom"/>
          </w:tcPr>
          <w:p>
            <w:pPr>
              <w:jc w:val="right"/>
              <w:ind w:right="168"/>
              <w:spacing w:after="0"/>
              <w:rPr>
                <w:sz w:val="20"/>
                <w:szCs w:val="20"/>
                <w:color w:val="auto"/>
              </w:rPr>
            </w:pPr>
            <w:r>
              <w:rPr>
                <w:rFonts w:ascii="Arial" w:cs="Arial" w:eastAsia="Arial" w:hAnsi="Arial"/>
                <w:sz w:val="14"/>
                <w:szCs w:val="14"/>
                <w:b w:val="1"/>
                <w:bCs w:val="1"/>
                <w:color w:val="auto"/>
              </w:rPr>
              <w:t>Shares</w:t>
            </w:r>
          </w:p>
        </w:tc>
        <w:tc>
          <w:tcPr>
            <w:tcW w:w="80" w:type="dxa"/>
            <w:vAlign w:val="bottom"/>
          </w:tcPr>
          <w:p>
            <w:pPr>
              <w:spacing w:after="0"/>
              <w:rPr>
                <w:sz w:val="14"/>
                <w:szCs w:val="14"/>
                <w:color w:val="auto"/>
              </w:rPr>
            </w:pPr>
          </w:p>
        </w:tc>
        <w:tc>
          <w:tcPr>
            <w:tcW w:w="980" w:type="dxa"/>
            <w:vAlign w:val="bottom"/>
            <w:gridSpan w:val="3"/>
            <w:vMerge w:val="continue"/>
          </w:tcPr>
          <w:p>
            <w:pPr>
              <w:spacing w:after="0"/>
              <w:rPr>
                <w:sz w:val="14"/>
                <w:szCs w:val="14"/>
                <w:color w:val="auto"/>
              </w:rPr>
            </w:pPr>
          </w:p>
        </w:tc>
        <w:tc>
          <w:tcPr>
            <w:tcW w:w="9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460" w:type="dxa"/>
            <w:vAlign w:val="bottom"/>
            <w:tcBorders>
              <w:top w:val="single" w:sz="8" w:color="auto"/>
            </w:tcBorders>
            <w:gridSpan w:val="3"/>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 xml:space="preserve">Investments in Non-Controlled, Non-Affiliated Portfolio Companies — 146.9% </w:t>
            </w:r>
            <w:r>
              <w:rPr>
                <w:rFonts w:ascii="Arial" w:cs="Arial" w:eastAsia="Arial" w:hAnsi="Arial"/>
                <w:sz w:val="12"/>
                <w:szCs w:val="12"/>
                <w:b w:val="1"/>
                <w:bCs w:val="1"/>
                <w:color w:val="auto"/>
              </w:rPr>
              <w:t>(1), (2)</w:t>
            </w:r>
          </w:p>
        </w:tc>
        <w:tc>
          <w:tcPr>
            <w:tcW w:w="940" w:type="dxa"/>
            <w:vAlign w:val="bottom"/>
            <w:tcBorders>
              <w:top w:val="single" w:sz="8" w:color="auto"/>
            </w:tcBorders>
            <w:shd w:val="clear" w:color="auto" w:fill="CCEEFF"/>
          </w:tcPr>
          <w:p>
            <w:pPr>
              <w:spacing w:after="0"/>
              <w:rPr>
                <w:sz w:val="12"/>
                <w:szCs w:val="12"/>
                <w:color w:val="auto"/>
              </w:rPr>
            </w:pPr>
          </w:p>
        </w:tc>
        <w:tc>
          <w:tcPr>
            <w:tcW w:w="740" w:type="dxa"/>
            <w:vAlign w:val="bottom"/>
            <w:tcBorders>
              <w:top w:val="single" w:sz="8" w:color="auto"/>
            </w:tcBorders>
            <w:shd w:val="clear" w:color="auto" w:fill="CCEEFF"/>
          </w:tcPr>
          <w:p>
            <w:pPr>
              <w:spacing w:after="0"/>
              <w:rPr>
                <w:sz w:val="12"/>
                <w:szCs w:val="12"/>
                <w:color w:val="auto"/>
              </w:rPr>
            </w:pPr>
          </w:p>
        </w:tc>
        <w:tc>
          <w:tcPr>
            <w:tcW w:w="240" w:type="dxa"/>
            <w:vAlign w:val="bottom"/>
            <w:tcBorders>
              <w:top w:val="single" w:sz="8" w:color="auto"/>
            </w:tcBorders>
            <w:shd w:val="clear" w:color="auto" w:fill="CCEEFF"/>
          </w:tcPr>
          <w:p>
            <w:pPr>
              <w:spacing w:after="0"/>
              <w:rPr>
                <w:sz w:val="12"/>
                <w:szCs w:val="12"/>
                <w:color w:val="auto"/>
              </w:rPr>
            </w:pPr>
          </w:p>
        </w:tc>
        <w:tc>
          <w:tcPr>
            <w:tcW w:w="82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820" w:type="dxa"/>
            <w:vAlign w:val="bottom"/>
            <w:tcBorders>
              <w:top w:val="single" w:sz="8" w:color="auto"/>
            </w:tcBorders>
            <w:shd w:val="clear" w:color="auto" w:fill="CCEEFF"/>
          </w:tcPr>
          <w:p>
            <w:pPr>
              <w:spacing w:after="0"/>
              <w:rPr>
                <w:sz w:val="12"/>
                <w:szCs w:val="12"/>
                <w:color w:val="auto"/>
              </w:rPr>
            </w:pPr>
          </w:p>
        </w:tc>
        <w:tc>
          <w:tcPr>
            <w:tcW w:w="20" w:type="dxa"/>
            <w:vAlign w:val="bottom"/>
            <w:tcBorders>
              <w:top w:val="single" w:sz="8" w:color="auto"/>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840" w:type="dxa"/>
            <w:vAlign w:val="bottom"/>
            <w:tcBorders>
              <w:top w:val="single" w:sz="8" w:color="auto"/>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740" w:type="dxa"/>
            <w:vAlign w:val="bottom"/>
          </w:tcPr>
          <w:p>
            <w:pPr>
              <w:spacing w:after="0" w:line="149" w:lineRule="exact"/>
              <w:rPr>
                <w:sz w:val="20"/>
                <w:szCs w:val="20"/>
                <w:color w:val="auto"/>
              </w:rPr>
            </w:pPr>
            <w:r>
              <w:rPr>
                <w:rFonts w:ascii="Arial" w:cs="Arial" w:eastAsia="Arial" w:hAnsi="Arial"/>
                <w:sz w:val="14"/>
                <w:szCs w:val="14"/>
                <w:b w:val="1"/>
                <w:bCs w:val="1"/>
                <w:color w:val="auto"/>
              </w:rPr>
              <w:t>First Lien Secured Debt—38.3%</w:t>
            </w:r>
          </w:p>
        </w:tc>
        <w:tc>
          <w:tcPr>
            <w:tcW w:w="124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7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Aircell Business Aviation Services LLC</w:t>
            </w:r>
          </w:p>
        </w:tc>
        <w:tc>
          <w:tcPr>
            <w:tcW w:w="1240" w:type="dxa"/>
            <w:vAlign w:val="bottom"/>
            <w:shd w:val="clear" w:color="auto" w:fill="CCEEFF"/>
          </w:tcPr>
          <w:p>
            <w:pPr>
              <w:ind w:left="540"/>
              <w:spacing w:after="0" w:line="149" w:lineRule="exact"/>
              <w:rPr>
                <w:sz w:val="20"/>
                <w:szCs w:val="20"/>
                <w:color w:val="auto"/>
              </w:rPr>
            </w:pPr>
            <w:r>
              <w:rPr>
                <w:rFonts w:ascii="Arial" w:cs="Arial" w:eastAsia="Arial" w:hAnsi="Arial"/>
                <w:sz w:val="14"/>
                <w:szCs w:val="14"/>
                <w:color w:val="auto"/>
                <w:w w:val="96"/>
              </w:rPr>
              <w:t>06/21/2017</w:t>
            </w:r>
          </w:p>
        </w:tc>
        <w:tc>
          <w:tcPr>
            <w:tcW w:w="148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3"/>
              </w:rPr>
              <w:t>Communications</w:t>
            </w:r>
          </w:p>
        </w:tc>
        <w:tc>
          <w:tcPr>
            <w:tcW w:w="940" w:type="dxa"/>
            <w:vAlign w:val="bottom"/>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rPr>
              <w:t>11.25%</w:t>
            </w: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L+975</w:t>
            </w:r>
          </w:p>
        </w:tc>
        <w:tc>
          <w:tcPr>
            <w:tcW w:w="240" w:type="dxa"/>
            <w:vAlign w:val="bottom"/>
            <w:shd w:val="clear" w:color="auto" w:fill="CCEEFF"/>
          </w:tcPr>
          <w:p>
            <w:pPr>
              <w:jc w:val="right"/>
              <w:ind w:right="19"/>
              <w:spacing w:after="0"/>
              <w:rPr>
                <w:sz w:val="20"/>
                <w:szCs w:val="20"/>
                <w:color w:val="auto"/>
              </w:rPr>
            </w:pPr>
            <w:r>
              <w:rPr>
                <w:rFonts w:ascii="Arial" w:cs="Arial" w:eastAsia="Arial" w:hAnsi="Arial"/>
                <w:sz w:val="12"/>
                <w:szCs w:val="12"/>
                <w:color w:val="auto"/>
                <w:w w:val="95"/>
              </w:rPr>
              <w:t>(8)</w:t>
            </w:r>
          </w:p>
        </w:tc>
        <w:tc>
          <w:tcPr>
            <w:tcW w:w="820" w:type="dxa"/>
            <w:vAlign w:val="bottom"/>
            <w:shd w:val="clear" w:color="auto" w:fill="CCEEFF"/>
          </w:tcPr>
          <w:p>
            <w:pPr>
              <w:jc w:val="right"/>
              <w:ind w:right="28"/>
              <w:spacing w:after="0" w:line="149" w:lineRule="exact"/>
              <w:rPr>
                <w:sz w:val="20"/>
                <w:szCs w:val="20"/>
                <w:color w:val="auto"/>
              </w:rPr>
            </w:pPr>
            <w:r>
              <w:rPr>
                <w:rFonts w:ascii="Arial" w:cs="Arial" w:eastAsia="Arial" w:hAnsi="Arial"/>
                <w:sz w:val="14"/>
                <w:szCs w:val="14"/>
                <w:color w:val="auto"/>
                <w:w w:val="99"/>
              </w:rPr>
              <w:t>23,759,966</w:t>
            </w:r>
          </w:p>
        </w:tc>
        <w:tc>
          <w:tcPr>
            <w:tcW w:w="920" w:type="dxa"/>
            <w:vAlign w:val="bottom"/>
            <w:gridSpan w:val="3"/>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  22,918,525</w:t>
            </w:r>
          </w:p>
        </w:tc>
        <w:tc>
          <w:tcPr>
            <w:tcW w:w="14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w w:val="95"/>
              </w:rPr>
              <w:t>$  25,660,763</w:t>
            </w:r>
          </w:p>
        </w:tc>
        <w:tc>
          <w:tcPr>
            <w:tcW w:w="0" w:type="dxa"/>
            <w:vAlign w:val="bottom"/>
          </w:tcPr>
          <w:p>
            <w:pPr>
              <w:spacing w:after="0"/>
              <w:rPr>
                <w:sz w:val="1"/>
                <w:szCs w:val="1"/>
                <w:color w:val="auto"/>
              </w:rPr>
            </w:pPr>
          </w:p>
        </w:tc>
      </w:tr>
      <w:tr>
        <w:trPr>
          <w:trHeight w:val="130"/>
        </w:trPr>
        <w:tc>
          <w:tcPr>
            <w:tcW w:w="3740" w:type="dxa"/>
            <w:vAlign w:val="bottom"/>
          </w:tcPr>
          <w:p>
            <w:pPr>
              <w:spacing w:after="0" w:line="130" w:lineRule="exact"/>
              <w:rPr>
                <w:sz w:val="20"/>
                <w:szCs w:val="20"/>
                <w:color w:val="auto"/>
              </w:rPr>
            </w:pPr>
            <w:r>
              <w:rPr>
                <w:rFonts w:ascii="Arial" w:cs="Arial" w:eastAsia="Arial" w:hAnsi="Arial"/>
                <w:sz w:val="14"/>
                <w:szCs w:val="14"/>
                <w:color w:val="auto"/>
              </w:rPr>
              <w:t>AKA Diversified Holdings, Inc.</w:t>
            </w:r>
          </w:p>
        </w:tc>
        <w:tc>
          <w:tcPr>
            <w:tcW w:w="1240" w:type="dxa"/>
            <w:vAlign w:val="bottom"/>
          </w:tcPr>
          <w:p>
            <w:pPr>
              <w:ind w:left="540"/>
              <w:spacing w:after="0" w:line="130" w:lineRule="exact"/>
              <w:rPr>
                <w:sz w:val="20"/>
                <w:szCs w:val="20"/>
                <w:color w:val="auto"/>
              </w:rPr>
            </w:pPr>
            <w:r>
              <w:rPr>
                <w:rFonts w:ascii="Arial" w:cs="Arial" w:eastAsia="Arial" w:hAnsi="Arial"/>
                <w:sz w:val="14"/>
                <w:szCs w:val="14"/>
                <w:color w:val="auto"/>
                <w:w w:val="96"/>
              </w:rPr>
              <w:t>12/21/2016</w:t>
            </w:r>
          </w:p>
        </w:tc>
        <w:tc>
          <w:tcPr>
            <w:tcW w:w="1480" w:type="dxa"/>
            <w:vAlign w:val="bottom"/>
          </w:tcPr>
          <w:p>
            <w:pPr>
              <w:jc w:val="center"/>
              <w:spacing w:after="0" w:line="130" w:lineRule="exact"/>
              <w:rPr>
                <w:sz w:val="20"/>
                <w:szCs w:val="20"/>
                <w:color w:val="auto"/>
              </w:rPr>
            </w:pPr>
            <w:r>
              <w:rPr>
                <w:rFonts w:ascii="Arial" w:cs="Arial" w:eastAsia="Arial" w:hAnsi="Arial"/>
                <w:sz w:val="14"/>
                <w:szCs w:val="14"/>
                <w:color w:val="auto"/>
                <w:w w:val="94"/>
              </w:rPr>
              <w:t>Retail</w:t>
            </w:r>
          </w:p>
        </w:tc>
        <w:tc>
          <w:tcPr>
            <w:tcW w:w="940" w:type="dxa"/>
            <w:vAlign w:val="bottom"/>
          </w:tcPr>
          <w:p>
            <w:pPr>
              <w:jc w:val="right"/>
              <w:ind w:right="48"/>
              <w:spacing w:after="0" w:line="130" w:lineRule="exact"/>
              <w:rPr>
                <w:sz w:val="20"/>
                <w:szCs w:val="20"/>
                <w:color w:val="auto"/>
              </w:rPr>
            </w:pPr>
            <w:r>
              <w:rPr>
                <w:rFonts w:ascii="Arial" w:cs="Arial" w:eastAsia="Arial" w:hAnsi="Arial"/>
                <w:sz w:val="14"/>
                <w:szCs w:val="14"/>
                <w:color w:val="auto"/>
              </w:rPr>
              <w:t>12.50%</w:t>
            </w:r>
          </w:p>
        </w:tc>
        <w:tc>
          <w:tcPr>
            <w:tcW w:w="740" w:type="dxa"/>
            <w:vAlign w:val="bottom"/>
          </w:tcPr>
          <w:p>
            <w:pPr>
              <w:jc w:val="right"/>
              <w:spacing w:after="0" w:line="130" w:lineRule="exact"/>
              <w:rPr>
                <w:sz w:val="20"/>
                <w:szCs w:val="20"/>
                <w:color w:val="auto"/>
              </w:rPr>
            </w:pPr>
            <w:r>
              <w:rPr>
                <w:rFonts w:ascii="Arial" w:cs="Arial" w:eastAsia="Arial" w:hAnsi="Arial"/>
                <w:sz w:val="14"/>
                <w:szCs w:val="14"/>
                <w:color w:val="auto"/>
              </w:rPr>
              <w:t>L+1,225</w:t>
            </w:r>
          </w:p>
        </w:tc>
        <w:tc>
          <w:tcPr>
            <w:tcW w:w="240" w:type="dxa"/>
            <w:vAlign w:val="bottom"/>
          </w:tcPr>
          <w:p>
            <w:pPr>
              <w:spacing w:after="0"/>
              <w:rPr>
                <w:sz w:val="11"/>
                <w:szCs w:val="11"/>
                <w:color w:val="auto"/>
              </w:rPr>
            </w:pPr>
          </w:p>
        </w:tc>
        <w:tc>
          <w:tcPr>
            <w:tcW w:w="820" w:type="dxa"/>
            <w:vAlign w:val="bottom"/>
          </w:tcPr>
          <w:p>
            <w:pPr>
              <w:jc w:val="right"/>
              <w:ind w:right="28"/>
              <w:spacing w:after="0" w:line="130" w:lineRule="exact"/>
              <w:rPr>
                <w:sz w:val="20"/>
                <w:szCs w:val="20"/>
                <w:color w:val="auto"/>
              </w:rPr>
            </w:pPr>
            <w:r>
              <w:rPr>
                <w:rFonts w:ascii="Arial" w:cs="Arial" w:eastAsia="Arial" w:hAnsi="Arial"/>
                <w:sz w:val="14"/>
                <w:szCs w:val="14"/>
                <w:color w:val="auto"/>
                <w:w w:val="99"/>
              </w:rPr>
              <w:t>15,473,511</w:t>
            </w:r>
          </w:p>
        </w:tc>
        <w:tc>
          <w:tcPr>
            <w:tcW w:w="920" w:type="dxa"/>
            <w:vAlign w:val="bottom"/>
            <w:gridSpan w:val="3"/>
          </w:tcPr>
          <w:p>
            <w:pPr>
              <w:jc w:val="right"/>
              <w:ind w:right="20"/>
              <w:spacing w:after="0" w:line="130" w:lineRule="exact"/>
              <w:rPr>
                <w:sz w:val="20"/>
                <w:szCs w:val="20"/>
                <w:color w:val="auto"/>
              </w:rPr>
            </w:pPr>
            <w:r>
              <w:rPr>
                <w:rFonts w:ascii="Arial" w:cs="Arial" w:eastAsia="Arial" w:hAnsi="Arial"/>
                <w:sz w:val="14"/>
                <w:szCs w:val="14"/>
                <w:color w:val="auto"/>
              </w:rPr>
              <w:t>15,216,343</w:t>
            </w:r>
          </w:p>
        </w:tc>
        <w:tc>
          <w:tcPr>
            <w:tcW w:w="140" w:type="dxa"/>
            <w:vAlign w:val="bottom"/>
          </w:tcPr>
          <w:p>
            <w:pPr>
              <w:spacing w:after="0"/>
              <w:rPr>
                <w:sz w:val="11"/>
                <w:szCs w:val="11"/>
                <w:color w:val="auto"/>
              </w:rPr>
            </w:pPr>
          </w:p>
        </w:tc>
        <w:tc>
          <w:tcPr>
            <w:tcW w:w="980" w:type="dxa"/>
            <w:vAlign w:val="bottom"/>
            <w:gridSpan w:val="2"/>
          </w:tcPr>
          <w:p>
            <w:pPr>
              <w:jc w:val="right"/>
              <w:ind w:right="140"/>
              <w:spacing w:after="0" w:line="130" w:lineRule="exact"/>
              <w:rPr>
                <w:sz w:val="20"/>
                <w:szCs w:val="20"/>
                <w:color w:val="auto"/>
              </w:rPr>
            </w:pPr>
            <w:r>
              <w:rPr>
                <w:rFonts w:ascii="Arial" w:cs="Arial" w:eastAsia="Arial" w:hAnsi="Arial"/>
                <w:sz w:val="14"/>
                <w:szCs w:val="14"/>
                <w:color w:val="auto"/>
              </w:rPr>
              <w:t>15,487,928</w:t>
            </w:r>
          </w:p>
        </w:tc>
        <w:tc>
          <w:tcPr>
            <w:tcW w:w="0" w:type="dxa"/>
            <w:vAlign w:val="bottom"/>
          </w:tcPr>
          <w:p>
            <w:pPr>
              <w:spacing w:after="0"/>
              <w:rPr>
                <w:sz w:val="1"/>
                <w:szCs w:val="1"/>
                <w:color w:val="auto"/>
              </w:rPr>
            </w:pPr>
          </w:p>
        </w:tc>
      </w:tr>
      <w:tr>
        <w:trPr>
          <w:trHeight w:val="181"/>
        </w:trPr>
        <w:tc>
          <w:tcPr>
            <w:tcW w:w="37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(PIK 1.50%)</w:t>
            </w:r>
          </w:p>
        </w:tc>
        <w:tc>
          <w:tcPr>
            <w:tcW w:w="7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0"/>
        </w:trPr>
        <w:tc>
          <w:tcPr>
            <w:tcW w:w="374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AP Gaming I, LLC</w:t>
            </w:r>
          </w:p>
        </w:tc>
        <w:tc>
          <w:tcPr>
            <w:tcW w:w="1240" w:type="dxa"/>
            <w:vAlign w:val="bottom"/>
            <w:shd w:val="clear" w:color="auto" w:fill="CCEEFF"/>
          </w:tcPr>
          <w:p>
            <w:pPr>
              <w:ind w:left="540"/>
              <w:spacing w:after="0" w:line="130" w:lineRule="exact"/>
              <w:rPr>
                <w:sz w:val="20"/>
                <w:szCs w:val="20"/>
                <w:color w:val="auto"/>
              </w:rPr>
            </w:pPr>
            <w:r>
              <w:rPr>
                <w:rFonts w:ascii="Arial" w:cs="Arial" w:eastAsia="Arial" w:hAnsi="Arial"/>
                <w:sz w:val="14"/>
                <w:szCs w:val="14"/>
                <w:color w:val="auto"/>
                <w:w w:val="96"/>
              </w:rPr>
              <w:t>12/21/2020</w:t>
            </w:r>
          </w:p>
        </w:tc>
        <w:tc>
          <w:tcPr>
            <w:tcW w:w="1480" w:type="dxa"/>
            <w:vAlign w:val="bottom"/>
            <w:shd w:val="clear" w:color="auto" w:fill="CCEEFF"/>
          </w:tcPr>
          <w:p>
            <w:pPr>
              <w:jc w:val="center"/>
              <w:spacing w:after="0" w:line="130" w:lineRule="exact"/>
              <w:rPr>
                <w:sz w:val="20"/>
                <w:szCs w:val="20"/>
                <w:color w:val="auto"/>
              </w:rPr>
            </w:pPr>
            <w:r>
              <w:rPr>
                <w:rFonts w:ascii="Arial" w:cs="Arial" w:eastAsia="Arial" w:hAnsi="Arial"/>
                <w:sz w:val="14"/>
                <w:szCs w:val="14"/>
                <w:color w:val="auto"/>
                <w:w w:val="95"/>
              </w:rPr>
              <w:t>Hotels, Motels, Inns</w:t>
            </w:r>
          </w:p>
        </w:tc>
        <w:tc>
          <w:tcPr>
            <w:tcW w:w="940" w:type="dxa"/>
            <w:vAlign w:val="bottom"/>
            <w:shd w:val="clear" w:color="auto" w:fill="CCEEFF"/>
          </w:tcPr>
          <w:p>
            <w:pPr>
              <w:jc w:val="right"/>
              <w:ind w:right="48"/>
              <w:spacing w:after="0" w:line="130" w:lineRule="exact"/>
              <w:rPr>
                <w:sz w:val="20"/>
                <w:szCs w:val="20"/>
                <w:color w:val="auto"/>
              </w:rPr>
            </w:pPr>
            <w:r>
              <w:rPr>
                <w:rFonts w:ascii="Arial" w:cs="Arial" w:eastAsia="Arial" w:hAnsi="Arial"/>
                <w:sz w:val="14"/>
                <w:szCs w:val="14"/>
                <w:color w:val="auto"/>
              </w:rPr>
              <w:t>9.25%</w:t>
            </w:r>
          </w:p>
        </w:tc>
        <w:tc>
          <w:tcPr>
            <w:tcW w:w="740" w:type="dxa"/>
            <w:vAlign w:val="bottom"/>
            <w:shd w:val="clear" w:color="auto" w:fill="CCEEFF"/>
          </w:tcPr>
          <w:p>
            <w:pPr>
              <w:jc w:val="right"/>
              <w:spacing w:after="0" w:line="130" w:lineRule="exact"/>
              <w:rPr>
                <w:sz w:val="20"/>
                <w:szCs w:val="20"/>
                <w:color w:val="auto"/>
              </w:rPr>
            </w:pPr>
            <w:r>
              <w:rPr>
                <w:rFonts w:ascii="Arial" w:cs="Arial" w:eastAsia="Arial" w:hAnsi="Arial"/>
                <w:sz w:val="14"/>
                <w:szCs w:val="14"/>
                <w:color w:val="auto"/>
              </w:rPr>
              <w:t>L+825</w:t>
            </w:r>
          </w:p>
        </w:tc>
        <w:tc>
          <w:tcPr>
            <w:tcW w:w="240" w:type="dxa"/>
            <w:vAlign w:val="bottom"/>
            <w:shd w:val="clear" w:color="auto" w:fill="CCEEFF"/>
          </w:tcPr>
          <w:p>
            <w:pPr>
              <w:jc w:val="right"/>
              <w:ind w:right="19"/>
              <w:spacing w:after="0" w:line="130" w:lineRule="exact"/>
              <w:rPr>
                <w:sz w:val="20"/>
                <w:szCs w:val="20"/>
                <w:color w:val="auto"/>
              </w:rPr>
            </w:pPr>
            <w:r>
              <w:rPr>
                <w:rFonts w:ascii="Arial" w:cs="Arial" w:eastAsia="Arial" w:hAnsi="Arial"/>
                <w:sz w:val="12"/>
                <w:szCs w:val="12"/>
                <w:color w:val="auto"/>
                <w:w w:val="95"/>
              </w:rPr>
              <w:t>(8)</w:t>
            </w:r>
          </w:p>
        </w:tc>
        <w:tc>
          <w:tcPr>
            <w:tcW w:w="820" w:type="dxa"/>
            <w:vAlign w:val="bottom"/>
            <w:shd w:val="clear" w:color="auto" w:fill="CCEEFF"/>
          </w:tcPr>
          <w:p>
            <w:pPr>
              <w:jc w:val="right"/>
              <w:ind w:right="28"/>
              <w:spacing w:after="0" w:line="130" w:lineRule="exact"/>
              <w:rPr>
                <w:sz w:val="20"/>
                <w:szCs w:val="20"/>
                <w:color w:val="auto"/>
              </w:rPr>
            </w:pPr>
            <w:r>
              <w:rPr>
                <w:rFonts w:ascii="Arial" w:cs="Arial" w:eastAsia="Arial" w:hAnsi="Arial"/>
                <w:sz w:val="14"/>
                <w:szCs w:val="14"/>
                <w:color w:val="auto"/>
              </w:rPr>
              <w:t>5,250,000</w:t>
            </w:r>
          </w:p>
        </w:tc>
        <w:tc>
          <w:tcPr>
            <w:tcW w:w="920" w:type="dxa"/>
            <w:vAlign w:val="bottom"/>
            <w:gridSpan w:val="3"/>
            <w:shd w:val="clear" w:color="auto" w:fill="CCEEFF"/>
          </w:tcPr>
          <w:p>
            <w:pPr>
              <w:jc w:val="right"/>
              <w:ind w:right="20"/>
              <w:spacing w:after="0" w:line="130" w:lineRule="exact"/>
              <w:rPr>
                <w:sz w:val="20"/>
                <w:szCs w:val="20"/>
                <w:color w:val="auto"/>
              </w:rPr>
            </w:pPr>
            <w:r>
              <w:rPr>
                <w:rFonts w:ascii="Arial" w:cs="Arial" w:eastAsia="Arial" w:hAnsi="Arial"/>
                <w:sz w:val="14"/>
                <w:szCs w:val="14"/>
                <w:color w:val="auto"/>
              </w:rPr>
              <w:t>5,092,500</w:t>
            </w:r>
          </w:p>
        </w:tc>
        <w:tc>
          <w:tcPr>
            <w:tcW w:w="140" w:type="dxa"/>
            <w:vAlign w:val="bottom"/>
            <w:shd w:val="clear" w:color="auto" w:fill="CCEEFF"/>
          </w:tcPr>
          <w:p>
            <w:pPr>
              <w:spacing w:after="0"/>
              <w:rPr>
                <w:sz w:val="11"/>
                <w:szCs w:val="11"/>
                <w:color w:val="auto"/>
              </w:rPr>
            </w:pPr>
          </w:p>
        </w:tc>
        <w:tc>
          <w:tcPr>
            <w:tcW w:w="980" w:type="dxa"/>
            <w:vAlign w:val="bottom"/>
            <w:gridSpan w:val="2"/>
            <w:shd w:val="clear" w:color="auto" w:fill="CCEEFF"/>
          </w:tcPr>
          <w:p>
            <w:pPr>
              <w:jc w:val="right"/>
              <w:ind w:right="140"/>
              <w:spacing w:after="0" w:line="130" w:lineRule="exact"/>
              <w:rPr>
                <w:sz w:val="20"/>
                <w:szCs w:val="20"/>
                <w:color w:val="auto"/>
              </w:rPr>
            </w:pPr>
            <w:r>
              <w:rPr>
                <w:rFonts w:ascii="Arial" w:cs="Arial" w:eastAsia="Arial" w:hAnsi="Arial"/>
                <w:sz w:val="14"/>
                <w:szCs w:val="14"/>
                <w:color w:val="auto"/>
              </w:rPr>
              <w:t>5,118,750</w:t>
            </w:r>
          </w:p>
        </w:tc>
        <w:tc>
          <w:tcPr>
            <w:tcW w:w="0" w:type="dxa"/>
            <w:vAlign w:val="bottom"/>
          </w:tcPr>
          <w:p>
            <w:pPr>
              <w:spacing w:after="0"/>
              <w:rPr>
                <w:sz w:val="1"/>
                <w:szCs w:val="1"/>
                <w:color w:val="auto"/>
              </w:rPr>
            </w:pPr>
          </w:p>
        </w:tc>
      </w:tr>
      <w:tr>
        <w:trPr>
          <w:trHeight w:val="167"/>
        </w:trPr>
        <w:tc>
          <w:tcPr>
            <w:tcW w:w="374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c>
          <w:tcPr>
            <w:tcW w:w="14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1"/>
              </w:rPr>
              <w:t>and Gaming</w:t>
            </w:r>
          </w:p>
        </w:tc>
        <w:tc>
          <w:tcPr>
            <w:tcW w:w="94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3740" w:type="dxa"/>
            <w:vAlign w:val="bottom"/>
          </w:tcPr>
          <w:p>
            <w:pPr>
              <w:spacing w:after="0" w:line="149" w:lineRule="exact"/>
              <w:rPr>
                <w:sz w:val="20"/>
                <w:szCs w:val="20"/>
                <w:color w:val="auto"/>
              </w:rPr>
            </w:pPr>
            <w:r>
              <w:rPr>
                <w:rFonts w:ascii="Arial" w:cs="Arial" w:eastAsia="Arial" w:hAnsi="Arial"/>
                <w:sz w:val="14"/>
                <w:szCs w:val="14"/>
                <w:color w:val="auto"/>
              </w:rPr>
              <w:t xml:space="preserve">CEVA Group PLC </w:t>
            </w:r>
            <w:r>
              <w:rPr>
                <w:rFonts w:ascii="Arial" w:cs="Arial" w:eastAsia="Arial" w:hAnsi="Arial"/>
                <w:sz w:val="12"/>
                <w:szCs w:val="12"/>
                <w:color w:val="auto"/>
              </w:rPr>
              <w:t>(5), (10)</w:t>
            </w:r>
          </w:p>
        </w:tc>
        <w:tc>
          <w:tcPr>
            <w:tcW w:w="1240" w:type="dxa"/>
            <w:vAlign w:val="bottom"/>
          </w:tcPr>
          <w:p>
            <w:pPr>
              <w:ind w:left="540"/>
              <w:spacing w:after="0" w:line="149" w:lineRule="exact"/>
              <w:rPr>
                <w:sz w:val="20"/>
                <w:szCs w:val="20"/>
                <w:color w:val="auto"/>
              </w:rPr>
            </w:pPr>
            <w:r>
              <w:rPr>
                <w:rFonts w:ascii="Arial" w:cs="Arial" w:eastAsia="Arial" w:hAnsi="Arial"/>
                <w:sz w:val="14"/>
                <w:szCs w:val="14"/>
                <w:color w:val="auto"/>
                <w:w w:val="96"/>
              </w:rPr>
              <w:t>10/01/2016</w:t>
            </w:r>
          </w:p>
        </w:tc>
        <w:tc>
          <w:tcPr>
            <w:tcW w:w="1480" w:type="dxa"/>
            <w:vAlign w:val="bottom"/>
          </w:tcPr>
          <w:p>
            <w:pPr>
              <w:jc w:val="center"/>
              <w:spacing w:after="0" w:line="149" w:lineRule="exact"/>
              <w:rPr>
                <w:sz w:val="20"/>
                <w:szCs w:val="20"/>
                <w:color w:val="auto"/>
              </w:rPr>
            </w:pPr>
            <w:r>
              <w:rPr>
                <w:rFonts w:ascii="Arial" w:cs="Arial" w:eastAsia="Arial" w:hAnsi="Arial"/>
                <w:sz w:val="14"/>
                <w:szCs w:val="14"/>
                <w:color w:val="auto"/>
                <w:w w:val="92"/>
              </w:rPr>
              <w:t>Cargo Transport</w:t>
            </w:r>
          </w:p>
        </w:tc>
        <w:tc>
          <w:tcPr>
            <w:tcW w:w="940" w:type="dxa"/>
            <w:vAlign w:val="bottom"/>
          </w:tcPr>
          <w:p>
            <w:pPr>
              <w:jc w:val="right"/>
              <w:ind w:right="48"/>
              <w:spacing w:after="0" w:line="149" w:lineRule="exact"/>
              <w:rPr>
                <w:sz w:val="20"/>
                <w:szCs w:val="20"/>
                <w:color w:val="auto"/>
              </w:rPr>
            </w:pPr>
            <w:r>
              <w:rPr>
                <w:rFonts w:ascii="Arial" w:cs="Arial" w:eastAsia="Arial" w:hAnsi="Arial"/>
                <w:sz w:val="14"/>
                <w:szCs w:val="14"/>
                <w:color w:val="auto"/>
              </w:rPr>
              <w:t>11.63%</w:t>
            </w: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2"/>
                <w:szCs w:val="12"/>
                <w:color w:val="auto"/>
              </w:rPr>
            </w:pPr>
          </w:p>
        </w:tc>
        <w:tc>
          <w:tcPr>
            <w:tcW w:w="820" w:type="dxa"/>
            <w:vAlign w:val="bottom"/>
          </w:tcPr>
          <w:p>
            <w:pPr>
              <w:jc w:val="right"/>
              <w:ind w:right="28"/>
              <w:spacing w:after="0" w:line="149" w:lineRule="exact"/>
              <w:rPr>
                <w:sz w:val="20"/>
                <w:szCs w:val="20"/>
                <w:color w:val="auto"/>
              </w:rPr>
            </w:pPr>
            <w:r>
              <w:rPr>
                <w:rFonts w:ascii="Arial" w:cs="Arial" w:eastAsia="Arial" w:hAnsi="Arial"/>
                <w:sz w:val="14"/>
                <w:szCs w:val="14"/>
                <w:color w:val="auto"/>
              </w:rPr>
              <w:t>4,000,000</w:t>
            </w:r>
          </w:p>
        </w:tc>
        <w:tc>
          <w:tcPr>
            <w:tcW w:w="920" w:type="dxa"/>
            <w:vAlign w:val="bottom"/>
            <w:gridSpan w:val="3"/>
          </w:tcPr>
          <w:p>
            <w:pPr>
              <w:jc w:val="right"/>
              <w:ind w:right="20"/>
              <w:spacing w:after="0" w:line="149" w:lineRule="exact"/>
              <w:rPr>
                <w:sz w:val="20"/>
                <w:szCs w:val="20"/>
                <w:color w:val="auto"/>
              </w:rPr>
            </w:pPr>
            <w:r>
              <w:rPr>
                <w:rFonts w:ascii="Arial" w:cs="Arial" w:eastAsia="Arial" w:hAnsi="Arial"/>
                <w:sz w:val="14"/>
                <w:szCs w:val="14"/>
                <w:color w:val="auto"/>
              </w:rPr>
              <w:t>3,943,221</w:t>
            </w:r>
          </w:p>
        </w:tc>
        <w:tc>
          <w:tcPr>
            <w:tcW w:w="140" w:type="dxa"/>
            <w:vAlign w:val="bottom"/>
          </w:tcPr>
          <w:p>
            <w:pPr>
              <w:spacing w:after="0"/>
              <w:rPr>
                <w:sz w:val="12"/>
                <w:szCs w:val="12"/>
                <w:color w:val="auto"/>
              </w:rPr>
            </w:pPr>
          </w:p>
        </w:tc>
        <w:tc>
          <w:tcPr>
            <w:tcW w:w="98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4,180,000</w:t>
            </w:r>
          </w:p>
        </w:tc>
        <w:tc>
          <w:tcPr>
            <w:tcW w:w="0" w:type="dxa"/>
            <w:vAlign w:val="bottom"/>
          </w:tcPr>
          <w:p>
            <w:pPr>
              <w:spacing w:after="0"/>
              <w:rPr>
                <w:sz w:val="1"/>
                <w:szCs w:val="1"/>
                <w:color w:val="auto"/>
              </w:rPr>
            </w:pPr>
          </w:p>
        </w:tc>
      </w:tr>
      <w:tr>
        <w:trPr>
          <w:trHeight w:val="148"/>
        </w:trPr>
        <w:tc>
          <w:tcPr>
            <w:tcW w:w="37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 xml:space="preserve">Columbus International, Inc. </w:t>
            </w:r>
            <w:r>
              <w:rPr>
                <w:rFonts w:ascii="Arial" w:cs="Arial" w:eastAsia="Arial" w:hAnsi="Arial"/>
                <w:sz w:val="12"/>
                <w:szCs w:val="12"/>
                <w:color w:val="auto"/>
              </w:rPr>
              <w:t>(5), (10)</w:t>
            </w:r>
          </w:p>
        </w:tc>
        <w:tc>
          <w:tcPr>
            <w:tcW w:w="1240" w:type="dxa"/>
            <w:vAlign w:val="bottom"/>
            <w:shd w:val="clear" w:color="auto" w:fill="CCEEFF"/>
          </w:tcPr>
          <w:p>
            <w:pPr>
              <w:ind w:left="540"/>
              <w:spacing w:after="0" w:line="149" w:lineRule="exact"/>
              <w:rPr>
                <w:sz w:val="20"/>
                <w:szCs w:val="20"/>
                <w:color w:val="auto"/>
              </w:rPr>
            </w:pPr>
            <w:r>
              <w:rPr>
                <w:rFonts w:ascii="Arial" w:cs="Arial" w:eastAsia="Arial" w:hAnsi="Arial"/>
                <w:sz w:val="14"/>
                <w:szCs w:val="14"/>
                <w:color w:val="auto"/>
                <w:w w:val="96"/>
              </w:rPr>
              <w:t>11/20/2014</w:t>
            </w:r>
          </w:p>
        </w:tc>
        <w:tc>
          <w:tcPr>
            <w:tcW w:w="148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3"/>
              </w:rPr>
              <w:t>Communications</w:t>
            </w:r>
          </w:p>
        </w:tc>
        <w:tc>
          <w:tcPr>
            <w:tcW w:w="940" w:type="dxa"/>
            <w:vAlign w:val="bottom"/>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rPr>
              <w:t>11.50%</w:t>
            </w: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2"/>
                <w:szCs w:val="12"/>
                <w:color w:val="auto"/>
              </w:rPr>
            </w:pPr>
          </w:p>
        </w:tc>
        <w:tc>
          <w:tcPr>
            <w:tcW w:w="820" w:type="dxa"/>
            <w:vAlign w:val="bottom"/>
            <w:shd w:val="clear" w:color="auto" w:fill="CCEEFF"/>
          </w:tcPr>
          <w:p>
            <w:pPr>
              <w:jc w:val="right"/>
              <w:ind w:right="28"/>
              <w:spacing w:after="0" w:line="149" w:lineRule="exact"/>
              <w:rPr>
                <w:sz w:val="20"/>
                <w:szCs w:val="20"/>
                <w:color w:val="auto"/>
              </w:rPr>
            </w:pPr>
            <w:r>
              <w:rPr>
                <w:rFonts w:ascii="Arial" w:cs="Arial" w:eastAsia="Arial" w:hAnsi="Arial"/>
                <w:sz w:val="14"/>
                <w:szCs w:val="14"/>
                <w:color w:val="auto"/>
                <w:w w:val="99"/>
              </w:rPr>
              <w:t>10,000,000</w:t>
            </w:r>
          </w:p>
        </w:tc>
        <w:tc>
          <w:tcPr>
            <w:tcW w:w="920" w:type="dxa"/>
            <w:vAlign w:val="bottom"/>
            <w:gridSpan w:val="3"/>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10,000,000</w:t>
            </w:r>
          </w:p>
        </w:tc>
        <w:tc>
          <w:tcPr>
            <w:tcW w:w="14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10,775,000</w:t>
            </w:r>
          </w:p>
        </w:tc>
        <w:tc>
          <w:tcPr>
            <w:tcW w:w="0" w:type="dxa"/>
            <w:vAlign w:val="bottom"/>
          </w:tcPr>
          <w:p>
            <w:pPr>
              <w:spacing w:after="0"/>
              <w:rPr>
                <w:sz w:val="1"/>
                <w:szCs w:val="1"/>
                <w:color w:val="auto"/>
              </w:rPr>
            </w:pPr>
          </w:p>
        </w:tc>
      </w:tr>
      <w:tr>
        <w:trPr>
          <w:trHeight w:val="148"/>
        </w:trPr>
        <w:tc>
          <w:tcPr>
            <w:tcW w:w="3740" w:type="dxa"/>
            <w:vAlign w:val="bottom"/>
          </w:tcPr>
          <w:p>
            <w:pPr>
              <w:spacing w:after="0" w:line="149" w:lineRule="exact"/>
              <w:rPr>
                <w:sz w:val="20"/>
                <w:szCs w:val="20"/>
                <w:color w:val="auto"/>
              </w:rPr>
            </w:pPr>
            <w:r>
              <w:rPr>
                <w:rFonts w:ascii="Arial" w:cs="Arial" w:eastAsia="Arial" w:hAnsi="Arial"/>
                <w:sz w:val="14"/>
                <w:szCs w:val="14"/>
                <w:color w:val="auto"/>
              </w:rPr>
              <w:t>Cydcor LLC</w:t>
            </w:r>
          </w:p>
        </w:tc>
        <w:tc>
          <w:tcPr>
            <w:tcW w:w="1240" w:type="dxa"/>
            <w:vAlign w:val="bottom"/>
          </w:tcPr>
          <w:p>
            <w:pPr>
              <w:ind w:left="540"/>
              <w:spacing w:after="0" w:line="149" w:lineRule="exact"/>
              <w:rPr>
                <w:sz w:val="20"/>
                <w:szCs w:val="20"/>
                <w:color w:val="auto"/>
              </w:rPr>
            </w:pPr>
            <w:r>
              <w:rPr>
                <w:rFonts w:ascii="Arial" w:cs="Arial" w:eastAsia="Arial" w:hAnsi="Arial"/>
                <w:sz w:val="14"/>
                <w:szCs w:val="14"/>
                <w:color w:val="auto"/>
                <w:w w:val="96"/>
              </w:rPr>
              <w:t>06/12/2017</w:t>
            </w:r>
          </w:p>
        </w:tc>
        <w:tc>
          <w:tcPr>
            <w:tcW w:w="1480" w:type="dxa"/>
            <w:vAlign w:val="bottom"/>
          </w:tcPr>
          <w:p>
            <w:pPr>
              <w:jc w:val="center"/>
              <w:spacing w:after="0" w:line="149" w:lineRule="exact"/>
              <w:rPr>
                <w:sz w:val="20"/>
                <w:szCs w:val="20"/>
                <w:color w:val="auto"/>
              </w:rPr>
            </w:pPr>
            <w:r>
              <w:rPr>
                <w:rFonts w:ascii="Arial" w:cs="Arial" w:eastAsia="Arial" w:hAnsi="Arial"/>
                <w:sz w:val="14"/>
                <w:szCs w:val="14"/>
                <w:color w:val="auto"/>
                <w:w w:val="89"/>
              </w:rPr>
              <w:t>Business Services</w:t>
            </w:r>
          </w:p>
        </w:tc>
        <w:tc>
          <w:tcPr>
            <w:tcW w:w="940" w:type="dxa"/>
            <w:vAlign w:val="bottom"/>
          </w:tcPr>
          <w:p>
            <w:pPr>
              <w:jc w:val="right"/>
              <w:ind w:right="48"/>
              <w:spacing w:after="0" w:line="149" w:lineRule="exact"/>
              <w:rPr>
                <w:sz w:val="20"/>
                <w:szCs w:val="20"/>
                <w:color w:val="auto"/>
              </w:rPr>
            </w:pPr>
            <w:r>
              <w:rPr>
                <w:rFonts w:ascii="Arial" w:cs="Arial" w:eastAsia="Arial" w:hAnsi="Arial"/>
                <w:sz w:val="14"/>
                <w:szCs w:val="14"/>
                <w:color w:val="auto"/>
              </w:rPr>
              <w:t>9.75%</w:t>
            </w: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L+725</w:t>
            </w:r>
          </w:p>
        </w:tc>
        <w:tc>
          <w:tcPr>
            <w:tcW w:w="240" w:type="dxa"/>
            <w:vAlign w:val="bottom"/>
          </w:tcPr>
          <w:p>
            <w:pPr>
              <w:jc w:val="right"/>
              <w:ind w:right="19"/>
              <w:spacing w:after="0"/>
              <w:rPr>
                <w:sz w:val="20"/>
                <w:szCs w:val="20"/>
                <w:color w:val="auto"/>
              </w:rPr>
            </w:pPr>
            <w:r>
              <w:rPr>
                <w:rFonts w:ascii="Arial" w:cs="Arial" w:eastAsia="Arial" w:hAnsi="Arial"/>
                <w:sz w:val="12"/>
                <w:szCs w:val="12"/>
                <w:color w:val="auto"/>
                <w:w w:val="95"/>
              </w:rPr>
              <w:t>(8)</w:t>
            </w:r>
          </w:p>
        </w:tc>
        <w:tc>
          <w:tcPr>
            <w:tcW w:w="820" w:type="dxa"/>
            <w:vAlign w:val="bottom"/>
          </w:tcPr>
          <w:p>
            <w:pPr>
              <w:jc w:val="right"/>
              <w:ind w:right="28"/>
              <w:spacing w:after="0" w:line="149" w:lineRule="exact"/>
              <w:rPr>
                <w:sz w:val="20"/>
                <w:szCs w:val="20"/>
                <w:color w:val="auto"/>
              </w:rPr>
            </w:pPr>
            <w:r>
              <w:rPr>
                <w:rFonts w:ascii="Arial" w:cs="Arial" w:eastAsia="Arial" w:hAnsi="Arial"/>
                <w:sz w:val="14"/>
                <w:szCs w:val="14"/>
                <w:color w:val="auto"/>
              </w:rPr>
              <w:t>7,185,935</w:t>
            </w:r>
          </w:p>
        </w:tc>
        <w:tc>
          <w:tcPr>
            <w:tcW w:w="920" w:type="dxa"/>
            <w:vAlign w:val="bottom"/>
            <w:gridSpan w:val="3"/>
          </w:tcPr>
          <w:p>
            <w:pPr>
              <w:jc w:val="right"/>
              <w:ind w:right="20"/>
              <w:spacing w:after="0" w:line="149" w:lineRule="exact"/>
              <w:rPr>
                <w:sz w:val="20"/>
                <w:szCs w:val="20"/>
                <w:color w:val="auto"/>
              </w:rPr>
            </w:pPr>
            <w:r>
              <w:rPr>
                <w:rFonts w:ascii="Arial" w:cs="Arial" w:eastAsia="Arial" w:hAnsi="Arial"/>
                <w:sz w:val="14"/>
                <w:szCs w:val="14"/>
                <w:color w:val="auto"/>
              </w:rPr>
              <w:t>7,185,934</w:t>
            </w:r>
          </w:p>
        </w:tc>
        <w:tc>
          <w:tcPr>
            <w:tcW w:w="140" w:type="dxa"/>
            <w:vAlign w:val="bottom"/>
          </w:tcPr>
          <w:p>
            <w:pPr>
              <w:spacing w:after="0"/>
              <w:rPr>
                <w:sz w:val="12"/>
                <w:szCs w:val="12"/>
                <w:color w:val="auto"/>
              </w:rPr>
            </w:pPr>
          </w:p>
        </w:tc>
        <w:tc>
          <w:tcPr>
            <w:tcW w:w="98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7,242,101</w:t>
            </w:r>
          </w:p>
        </w:tc>
        <w:tc>
          <w:tcPr>
            <w:tcW w:w="0" w:type="dxa"/>
            <w:vAlign w:val="bottom"/>
          </w:tcPr>
          <w:p>
            <w:pPr>
              <w:spacing w:after="0"/>
              <w:rPr>
                <w:sz w:val="1"/>
                <w:szCs w:val="1"/>
                <w:color w:val="auto"/>
              </w:rPr>
            </w:pPr>
          </w:p>
        </w:tc>
      </w:tr>
      <w:tr>
        <w:trPr>
          <w:trHeight w:val="149"/>
        </w:trPr>
        <w:tc>
          <w:tcPr>
            <w:tcW w:w="37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 xml:space="preserve">IDQ Holdings, Inc. </w:t>
            </w:r>
            <w:r>
              <w:rPr>
                <w:rFonts w:ascii="Arial" w:cs="Arial" w:eastAsia="Arial" w:hAnsi="Arial"/>
                <w:sz w:val="12"/>
                <w:szCs w:val="12"/>
                <w:color w:val="auto"/>
              </w:rPr>
              <w:t>(5)</w:t>
            </w:r>
          </w:p>
        </w:tc>
        <w:tc>
          <w:tcPr>
            <w:tcW w:w="1240" w:type="dxa"/>
            <w:vAlign w:val="bottom"/>
            <w:shd w:val="clear" w:color="auto" w:fill="CCEEFF"/>
          </w:tcPr>
          <w:p>
            <w:pPr>
              <w:ind w:left="540"/>
              <w:spacing w:after="0" w:line="149" w:lineRule="exact"/>
              <w:rPr>
                <w:sz w:val="20"/>
                <w:szCs w:val="20"/>
                <w:color w:val="auto"/>
              </w:rPr>
            </w:pPr>
            <w:r>
              <w:rPr>
                <w:rFonts w:ascii="Arial" w:cs="Arial" w:eastAsia="Arial" w:hAnsi="Arial"/>
                <w:sz w:val="14"/>
                <w:szCs w:val="14"/>
                <w:color w:val="auto"/>
                <w:w w:val="96"/>
              </w:rPr>
              <w:t>03/30/2017</w:t>
            </w:r>
          </w:p>
        </w:tc>
        <w:tc>
          <w:tcPr>
            <w:tcW w:w="148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5"/>
              </w:rPr>
              <w:t>Auto Sector</w:t>
            </w:r>
          </w:p>
        </w:tc>
        <w:tc>
          <w:tcPr>
            <w:tcW w:w="940" w:type="dxa"/>
            <w:vAlign w:val="bottom"/>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rPr>
              <w:t>11.50%</w:t>
            </w: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2"/>
                <w:szCs w:val="12"/>
                <w:color w:val="auto"/>
              </w:rPr>
            </w:pPr>
          </w:p>
        </w:tc>
        <w:tc>
          <w:tcPr>
            <w:tcW w:w="820" w:type="dxa"/>
            <w:vAlign w:val="bottom"/>
            <w:shd w:val="clear" w:color="auto" w:fill="CCEEFF"/>
          </w:tcPr>
          <w:p>
            <w:pPr>
              <w:jc w:val="right"/>
              <w:ind w:right="28"/>
              <w:spacing w:after="0" w:line="149" w:lineRule="exact"/>
              <w:rPr>
                <w:sz w:val="20"/>
                <w:szCs w:val="20"/>
                <w:color w:val="auto"/>
              </w:rPr>
            </w:pPr>
            <w:r>
              <w:rPr>
                <w:rFonts w:ascii="Arial" w:cs="Arial" w:eastAsia="Arial" w:hAnsi="Arial"/>
                <w:sz w:val="14"/>
                <w:szCs w:val="14"/>
                <w:color w:val="auto"/>
                <w:w w:val="99"/>
              </w:rPr>
              <w:t>11,500,000</w:t>
            </w:r>
          </w:p>
        </w:tc>
        <w:tc>
          <w:tcPr>
            <w:tcW w:w="920" w:type="dxa"/>
            <w:vAlign w:val="bottom"/>
            <w:gridSpan w:val="3"/>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11,336,576</w:t>
            </w:r>
          </w:p>
        </w:tc>
        <w:tc>
          <w:tcPr>
            <w:tcW w:w="14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11,960,000</w:t>
            </w:r>
          </w:p>
        </w:tc>
        <w:tc>
          <w:tcPr>
            <w:tcW w:w="0" w:type="dxa"/>
            <w:vAlign w:val="bottom"/>
          </w:tcPr>
          <w:p>
            <w:pPr>
              <w:spacing w:after="0"/>
              <w:rPr>
                <w:sz w:val="1"/>
                <w:szCs w:val="1"/>
                <w:color w:val="auto"/>
              </w:rPr>
            </w:pPr>
          </w:p>
        </w:tc>
      </w:tr>
      <w:tr>
        <w:trPr>
          <w:trHeight w:val="130"/>
        </w:trPr>
        <w:tc>
          <w:tcPr>
            <w:tcW w:w="3740" w:type="dxa"/>
            <w:vAlign w:val="bottom"/>
          </w:tcPr>
          <w:p>
            <w:pPr>
              <w:spacing w:after="0" w:line="130" w:lineRule="exact"/>
              <w:rPr>
                <w:sz w:val="20"/>
                <w:szCs w:val="20"/>
                <w:color w:val="auto"/>
              </w:rPr>
            </w:pPr>
            <w:r>
              <w:rPr>
                <w:rFonts w:ascii="Arial" w:cs="Arial" w:eastAsia="Arial" w:hAnsi="Arial"/>
                <w:sz w:val="14"/>
                <w:szCs w:val="14"/>
                <w:color w:val="auto"/>
              </w:rPr>
              <w:t>InfuSystem Holdings, Inc.</w:t>
            </w:r>
          </w:p>
        </w:tc>
        <w:tc>
          <w:tcPr>
            <w:tcW w:w="1240" w:type="dxa"/>
            <w:vAlign w:val="bottom"/>
          </w:tcPr>
          <w:p>
            <w:pPr>
              <w:ind w:left="540"/>
              <w:spacing w:after="0" w:line="130" w:lineRule="exact"/>
              <w:rPr>
                <w:sz w:val="20"/>
                <w:szCs w:val="20"/>
                <w:color w:val="auto"/>
              </w:rPr>
            </w:pPr>
            <w:r>
              <w:rPr>
                <w:rFonts w:ascii="Arial" w:cs="Arial" w:eastAsia="Arial" w:hAnsi="Arial"/>
                <w:sz w:val="14"/>
                <w:szCs w:val="14"/>
                <w:color w:val="auto"/>
                <w:w w:val="96"/>
              </w:rPr>
              <w:t>11/30/2016</w:t>
            </w:r>
          </w:p>
        </w:tc>
        <w:tc>
          <w:tcPr>
            <w:tcW w:w="1480" w:type="dxa"/>
            <w:vAlign w:val="bottom"/>
          </w:tcPr>
          <w:p>
            <w:pPr>
              <w:jc w:val="center"/>
              <w:spacing w:after="0" w:line="130" w:lineRule="exact"/>
              <w:rPr>
                <w:sz w:val="20"/>
                <w:szCs w:val="20"/>
                <w:color w:val="auto"/>
              </w:rPr>
            </w:pPr>
            <w:r>
              <w:rPr>
                <w:rFonts w:ascii="Arial" w:cs="Arial" w:eastAsia="Arial" w:hAnsi="Arial"/>
                <w:sz w:val="14"/>
                <w:szCs w:val="14"/>
                <w:color w:val="auto"/>
                <w:w w:val="92"/>
              </w:rPr>
              <w:t>Healthcare, Education</w:t>
            </w:r>
          </w:p>
        </w:tc>
        <w:tc>
          <w:tcPr>
            <w:tcW w:w="940" w:type="dxa"/>
            <w:vAlign w:val="bottom"/>
          </w:tcPr>
          <w:p>
            <w:pPr>
              <w:jc w:val="right"/>
              <w:ind w:right="48"/>
              <w:spacing w:after="0" w:line="130" w:lineRule="exact"/>
              <w:rPr>
                <w:sz w:val="20"/>
                <w:szCs w:val="20"/>
                <w:color w:val="auto"/>
              </w:rPr>
            </w:pPr>
            <w:r>
              <w:rPr>
                <w:rFonts w:ascii="Arial" w:cs="Arial" w:eastAsia="Arial" w:hAnsi="Arial"/>
                <w:sz w:val="14"/>
                <w:szCs w:val="14"/>
                <w:color w:val="auto"/>
              </w:rPr>
              <w:t>11.61%</w:t>
            </w:r>
          </w:p>
        </w:tc>
        <w:tc>
          <w:tcPr>
            <w:tcW w:w="740" w:type="dxa"/>
            <w:vAlign w:val="bottom"/>
          </w:tcPr>
          <w:p>
            <w:pPr>
              <w:jc w:val="right"/>
              <w:spacing w:after="0" w:line="130" w:lineRule="exact"/>
              <w:rPr>
                <w:sz w:val="20"/>
                <w:szCs w:val="20"/>
                <w:color w:val="auto"/>
              </w:rPr>
            </w:pPr>
            <w:r>
              <w:rPr>
                <w:rFonts w:ascii="Arial" w:cs="Arial" w:eastAsia="Arial" w:hAnsi="Arial"/>
                <w:sz w:val="14"/>
                <w:szCs w:val="14"/>
                <w:color w:val="auto"/>
              </w:rPr>
              <w:t>P+625</w:t>
            </w:r>
          </w:p>
        </w:tc>
        <w:tc>
          <w:tcPr>
            <w:tcW w:w="240" w:type="dxa"/>
            <w:vAlign w:val="bottom"/>
          </w:tcPr>
          <w:p>
            <w:pPr>
              <w:jc w:val="right"/>
              <w:ind w:right="19"/>
              <w:spacing w:after="0" w:line="130" w:lineRule="exact"/>
              <w:rPr>
                <w:sz w:val="20"/>
                <w:szCs w:val="20"/>
                <w:color w:val="auto"/>
              </w:rPr>
            </w:pPr>
            <w:r>
              <w:rPr>
                <w:rFonts w:ascii="Arial" w:cs="Arial" w:eastAsia="Arial" w:hAnsi="Arial"/>
                <w:sz w:val="12"/>
                <w:szCs w:val="12"/>
                <w:color w:val="auto"/>
                <w:w w:val="95"/>
              </w:rPr>
              <w:t>(8)</w:t>
            </w:r>
          </w:p>
        </w:tc>
        <w:tc>
          <w:tcPr>
            <w:tcW w:w="820" w:type="dxa"/>
            <w:vAlign w:val="bottom"/>
          </w:tcPr>
          <w:p>
            <w:pPr>
              <w:jc w:val="right"/>
              <w:ind w:right="28"/>
              <w:spacing w:after="0" w:line="130" w:lineRule="exact"/>
              <w:rPr>
                <w:sz w:val="20"/>
                <w:szCs w:val="20"/>
                <w:color w:val="auto"/>
              </w:rPr>
            </w:pPr>
            <w:r>
              <w:rPr>
                <w:rFonts w:ascii="Arial" w:cs="Arial" w:eastAsia="Arial" w:hAnsi="Arial"/>
                <w:sz w:val="14"/>
                <w:szCs w:val="14"/>
                <w:color w:val="auto"/>
                <w:w w:val="99"/>
              </w:rPr>
              <w:t>11,600,000</w:t>
            </w:r>
          </w:p>
        </w:tc>
        <w:tc>
          <w:tcPr>
            <w:tcW w:w="920" w:type="dxa"/>
            <w:vAlign w:val="bottom"/>
            <w:gridSpan w:val="3"/>
          </w:tcPr>
          <w:p>
            <w:pPr>
              <w:jc w:val="right"/>
              <w:ind w:right="20"/>
              <w:spacing w:after="0" w:line="130" w:lineRule="exact"/>
              <w:rPr>
                <w:sz w:val="20"/>
                <w:szCs w:val="20"/>
                <w:color w:val="auto"/>
              </w:rPr>
            </w:pPr>
            <w:r>
              <w:rPr>
                <w:rFonts w:ascii="Arial" w:cs="Arial" w:eastAsia="Arial" w:hAnsi="Arial"/>
                <w:sz w:val="14"/>
                <w:szCs w:val="14"/>
                <w:color w:val="auto"/>
              </w:rPr>
              <w:t>11,600,000</w:t>
            </w:r>
          </w:p>
        </w:tc>
        <w:tc>
          <w:tcPr>
            <w:tcW w:w="140" w:type="dxa"/>
            <w:vAlign w:val="bottom"/>
          </w:tcPr>
          <w:p>
            <w:pPr>
              <w:spacing w:after="0"/>
              <w:rPr>
                <w:sz w:val="11"/>
                <w:szCs w:val="11"/>
                <w:color w:val="auto"/>
              </w:rPr>
            </w:pPr>
          </w:p>
        </w:tc>
        <w:tc>
          <w:tcPr>
            <w:tcW w:w="980" w:type="dxa"/>
            <w:vAlign w:val="bottom"/>
            <w:gridSpan w:val="2"/>
          </w:tcPr>
          <w:p>
            <w:pPr>
              <w:jc w:val="right"/>
              <w:ind w:right="140"/>
              <w:spacing w:after="0" w:line="130" w:lineRule="exact"/>
              <w:rPr>
                <w:sz w:val="20"/>
                <w:szCs w:val="20"/>
                <w:color w:val="auto"/>
              </w:rPr>
            </w:pPr>
            <w:r>
              <w:rPr>
                <w:rFonts w:ascii="Arial" w:cs="Arial" w:eastAsia="Arial" w:hAnsi="Arial"/>
                <w:sz w:val="14"/>
                <w:szCs w:val="14"/>
                <w:color w:val="auto"/>
              </w:rPr>
              <w:t>11,864,868</w:t>
            </w:r>
          </w:p>
        </w:tc>
        <w:tc>
          <w:tcPr>
            <w:tcW w:w="0" w:type="dxa"/>
            <w:vAlign w:val="bottom"/>
          </w:tcPr>
          <w:p>
            <w:pPr>
              <w:spacing w:after="0"/>
              <w:rPr>
                <w:sz w:val="1"/>
                <w:szCs w:val="1"/>
                <w:color w:val="auto"/>
              </w:rPr>
            </w:pPr>
          </w:p>
        </w:tc>
      </w:tr>
      <w:tr>
        <w:trPr>
          <w:trHeight w:val="167"/>
        </w:trPr>
        <w:tc>
          <w:tcPr>
            <w:tcW w:w="37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480" w:type="dxa"/>
            <w:vAlign w:val="bottom"/>
          </w:tcPr>
          <w:p>
            <w:pPr>
              <w:jc w:val="center"/>
              <w:spacing w:after="0"/>
              <w:rPr>
                <w:sz w:val="20"/>
                <w:szCs w:val="20"/>
                <w:color w:val="auto"/>
              </w:rPr>
            </w:pPr>
            <w:r>
              <w:rPr>
                <w:rFonts w:ascii="Arial" w:cs="Arial" w:eastAsia="Arial" w:hAnsi="Arial"/>
                <w:sz w:val="14"/>
                <w:szCs w:val="14"/>
                <w:color w:val="auto"/>
                <w:w w:val="92"/>
              </w:rPr>
              <w:t>and Childcare</w:t>
            </w:r>
          </w:p>
        </w:tc>
        <w:tc>
          <w:tcPr>
            <w:tcW w:w="9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37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Instant Web, Inc.</w:t>
            </w:r>
          </w:p>
        </w:tc>
        <w:tc>
          <w:tcPr>
            <w:tcW w:w="1240" w:type="dxa"/>
            <w:vAlign w:val="bottom"/>
            <w:shd w:val="clear" w:color="auto" w:fill="CCEEFF"/>
          </w:tcPr>
          <w:p>
            <w:pPr>
              <w:ind w:left="540"/>
              <w:spacing w:after="0" w:line="149" w:lineRule="exact"/>
              <w:rPr>
                <w:sz w:val="20"/>
                <w:szCs w:val="20"/>
                <w:color w:val="auto"/>
              </w:rPr>
            </w:pPr>
            <w:r>
              <w:rPr>
                <w:rFonts w:ascii="Arial" w:cs="Arial" w:eastAsia="Arial" w:hAnsi="Arial"/>
                <w:sz w:val="14"/>
                <w:szCs w:val="14"/>
                <w:color w:val="auto"/>
                <w:w w:val="96"/>
              </w:rPr>
              <w:t>08/07/2014</w:t>
            </w:r>
          </w:p>
        </w:tc>
        <w:tc>
          <w:tcPr>
            <w:tcW w:w="148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4"/>
              </w:rPr>
              <w:t>Printing and Publishing</w:t>
            </w:r>
          </w:p>
        </w:tc>
        <w:tc>
          <w:tcPr>
            <w:tcW w:w="940" w:type="dxa"/>
            <w:vAlign w:val="bottom"/>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rPr>
              <w:t>14.50%</w:t>
            </w: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L+950</w:t>
            </w:r>
          </w:p>
        </w:tc>
        <w:tc>
          <w:tcPr>
            <w:tcW w:w="240" w:type="dxa"/>
            <w:vAlign w:val="bottom"/>
            <w:shd w:val="clear" w:color="auto" w:fill="CCEEFF"/>
          </w:tcPr>
          <w:p>
            <w:pPr>
              <w:jc w:val="right"/>
              <w:ind w:right="19"/>
              <w:spacing w:after="0"/>
              <w:rPr>
                <w:sz w:val="20"/>
                <w:szCs w:val="20"/>
                <w:color w:val="auto"/>
              </w:rPr>
            </w:pPr>
            <w:r>
              <w:rPr>
                <w:rFonts w:ascii="Arial" w:cs="Arial" w:eastAsia="Arial" w:hAnsi="Arial"/>
                <w:sz w:val="12"/>
                <w:szCs w:val="12"/>
                <w:color w:val="auto"/>
                <w:w w:val="95"/>
              </w:rPr>
              <w:t>(8)</w:t>
            </w:r>
          </w:p>
        </w:tc>
        <w:tc>
          <w:tcPr>
            <w:tcW w:w="820" w:type="dxa"/>
            <w:vAlign w:val="bottom"/>
            <w:shd w:val="clear" w:color="auto" w:fill="CCEEFF"/>
          </w:tcPr>
          <w:p>
            <w:pPr>
              <w:jc w:val="right"/>
              <w:ind w:right="28"/>
              <w:spacing w:after="0" w:line="149" w:lineRule="exact"/>
              <w:rPr>
                <w:sz w:val="20"/>
                <w:szCs w:val="20"/>
                <w:color w:val="auto"/>
              </w:rPr>
            </w:pPr>
            <w:r>
              <w:rPr>
                <w:rFonts w:ascii="Arial" w:cs="Arial" w:eastAsia="Arial" w:hAnsi="Arial"/>
                <w:sz w:val="14"/>
                <w:szCs w:val="14"/>
                <w:color w:val="auto"/>
                <w:w w:val="99"/>
              </w:rPr>
              <w:t>23,872,262</w:t>
            </w:r>
          </w:p>
        </w:tc>
        <w:tc>
          <w:tcPr>
            <w:tcW w:w="920" w:type="dxa"/>
            <w:vAlign w:val="bottom"/>
            <w:gridSpan w:val="3"/>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23,768,582</w:t>
            </w:r>
          </w:p>
        </w:tc>
        <w:tc>
          <w:tcPr>
            <w:tcW w:w="14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23,633,539</w:t>
            </w:r>
          </w:p>
        </w:tc>
        <w:tc>
          <w:tcPr>
            <w:tcW w:w="0" w:type="dxa"/>
            <w:vAlign w:val="bottom"/>
          </w:tcPr>
          <w:p>
            <w:pPr>
              <w:spacing w:after="0"/>
              <w:rPr>
                <w:sz w:val="1"/>
                <w:szCs w:val="1"/>
                <w:color w:val="auto"/>
              </w:rPr>
            </w:pPr>
          </w:p>
        </w:tc>
      </w:tr>
      <w:tr>
        <w:trPr>
          <w:trHeight w:val="148"/>
        </w:trPr>
        <w:tc>
          <w:tcPr>
            <w:tcW w:w="3740" w:type="dxa"/>
            <w:vAlign w:val="bottom"/>
          </w:tcPr>
          <w:p>
            <w:pPr>
              <w:spacing w:after="0" w:line="149" w:lineRule="exact"/>
              <w:rPr>
                <w:sz w:val="20"/>
                <w:szCs w:val="20"/>
                <w:color w:val="auto"/>
              </w:rPr>
            </w:pPr>
            <w:r>
              <w:rPr>
                <w:rFonts w:ascii="Arial" w:cs="Arial" w:eastAsia="Arial" w:hAnsi="Arial"/>
                <w:sz w:val="14"/>
                <w:szCs w:val="14"/>
                <w:color w:val="auto"/>
              </w:rPr>
              <w:t>Instant Web, Inc.</w:t>
            </w:r>
          </w:p>
        </w:tc>
        <w:tc>
          <w:tcPr>
            <w:tcW w:w="1240" w:type="dxa"/>
            <w:vAlign w:val="bottom"/>
          </w:tcPr>
          <w:p>
            <w:pPr>
              <w:ind w:left="540"/>
              <w:spacing w:after="0" w:line="149" w:lineRule="exact"/>
              <w:rPr>
                <w:sz w:val="20"/>
                <w:szCs w:val="20"/>
                <w:color w:val="auto"/>
              </w:rPr>
            </w:pPr>
            <w:r>
              <w:rPr>
                <w:rFonts w:ascii="Arial" w:cs="Arial" w:eastAsia="Arial" w:hAnsi="Arial"/>
                <w:sz w:val="14"/>
                <w:szCs w:val="14"/>
                <w:color w:val="auto"/>
                <w:w w:val="96"/>
              </w:rPr>
              <w:t>08/07/2014</w:t>
            </w:r>
          </w:p>
        </w:tc>
        <w:tc>
          <w:tcPr>
            <w:tcW w:w="1480" w:type="dxa"/>
            <w:vAlign w:val="bottom"/>
          </w:tcPr>
          <w:p>
            <w:pPr>
              <w:jc w:val="center"/>
              <w:spacing w:after="0" w:line="149" w:lineRule="exact"/>
              <w:rPr>
                <w:sz w:val="20"/>
                <w:szCs w:val="20"/>
                <w:color w:val="auto"/>
              </w:rPr>
            </w:pPr>
            <w:r>
              <w:rPr>
                <w:rFonts w:ascii="Arial" w:cs="Arial" w:eastAsia="Arial" w:hAnsi="Arial"/>
                <w:sz w:val="14"/>
                <w:szCs w:val="14"/>
                <w:color w:val="auto"/>
                <w:w w:val="94"/>
              </w:rPr>
              <w:t>Printing and Publishing</w:t>
            </w:r>
          </w:p>
        </w:tc>
        <w:tc>
          <w:tcPr>
            <w:tcW w:w="940" w:type="dxa"/>
            <w:vAlign w:val="bottom"/>
          </w:tcPr>
          <w:p>
            <w:pPr>
              <w:jc w:val="right"/>
              <w:ind w:right="48"/>
              <w:spacing w:after="0" w:line="149" w:lineRule="exact"/>
              <w:rPr>
                <w:sz w:val="20"/>
                <w:szCs w:val="20"/>
                <w:color w:val="auto"/>
              </w:rPr>
            </w:pPr>
            <w:r>
              <w:rPr>
                <w:rFonts w:ascii="Arial" w:cs="Arial" w:eastAsia="Arial" w:hAnsi="Arial"/>
                <w:sz w:val="14"/>
                <w:szCs w:val="14"/>
                <w:color w:val="auto"/>
              </w:rPr>
              <w:t>3.62%</w:t>
            </w: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L+338</w:t>
            </w:r>
          </w:p>
        </w:tc>
        <w:tc>
          <w:tcPr>
            <w:tcW w:w="240" w:type="dxa"/>
            <w:vAlign w:val="bottom"/>
          </w:tcPr>
          <w:p>
            <w:pPr>
              <w:spacing w:after="0"/>
              <w:rPr>
                <w:sz w:val="12"/>
                <w:szCs w:val="12"/>
                <w:color w:val="auto"/>
              </w:rPr>
            </w:pPr>
          </w:p>
        </w:tc>
        <w:tc>
          <w:tcPr>
            <w:tcW w:w="820" w:type="dxa"/>
            <w:vAlign w:val="bottom"/>
          </w:tcPr>
          <w:p>
            <w:pPr>
              <w:jc w:val="right"/>
              <w:ind w:right="28"/>
              <w:spacing w:after="0" w:line="149" w:lineRule="exact"/>
              <w:rPr>
                <w:sz w:val="20"/>
                <w:szCs w:val="20"/>
                <w:color w:val="auto"/>
              </w:rPr>
            </w:pPr>
            <w:r>
              <w:rPr>
                <w:rFonts w:ascii="Arial" w:cs="Arial" w:eastAsia="Arial" w:hAnsi="Arial"/>
                <w:sz w:val="14"/>
                <w:szCs w:val="14"/>
                <w:color w:val="auto"/>
                <w:w w:val="99"/>
              </w:rPr>
              <w:t>20,331,551</w:t>
            </w:r>
          </w:p>
        </w:tc>
        <w:tc>
          <w:tcPr>
            <w:tcW w:w="920" w:type="dxa"/>
            <w:vAlign w:val="bottom"/>
            <w:gridSpan w:val="3"/>
          </w:tcPr>
          <w:p>
            <w:pPr>
              <w:jc w:val="right"/>
              <w:ind w:right="20"/>
              <w:spacing w:after="0" w:line="149" w:lineRule="exact"/>
              <w:rPr>
                <w:sz w:val="20"/>
                <w:szCs w:val="20"/>
                <w:color w:val="auto"/>
              </w:rPr>
            </w:pPr>
            <w:r>
              <w:rPr>
                <w:rFonts w:ascii="Arial" w:cs="Arial" w:eastAsia="Arial" w:hAnsi="Arial"/>
                <w:sz w:val="14"/>
                <w:szCs w:val="14"/>
                <w:color w:val="auto"/>
              </w:rPr>
              <w:t>16,954,817</w:t>
            </w:r>
          </w:p>
        </w:tc>
        <w:tc>
          <w:tcPr>
            <w:tcW w:w="140" w:type="dxa"/>
            <w:vAlign w:val="bottom"/>
          </w:tcPr>
          <w:p>
            <w:pPr>
              <w:spacing w:after="0"/>
              <w:rPr>
                <w:sz w:val="12"/>
                <w:szCs w:val="12"/>
                <w:color w:val="auto"/>
              </w:rPr>
            </w:pPr>
          </w:p>
        </w:tc>
        <w:tc>
          <w:tcPr>
            <w:tcW w:w="98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18,400,053</w:t>
            </w:r>
          </w:p>
        </w:tc>
        <w:tc>
          <w:tcPr>
            <w:tcW w:w="0" w:type="dxa"/>
            <w:vAlign w:val="bottom"/>
          </w:tcPr>
          <w:p>
            <w:pPr>
              <w:spacing w:after="0"/>
              <w:rPr>
                <w:sz w:val="1"/>
                <w:szCs w:val="1"/>
                <w:color w:val="auto"/>
              </w:rPr>
            </w:pPr>
          </w:p>
        </w:tc>
      </w:tr>
      <w:tr>
        <w:trPr>
          <w:trHeight w:val="130"/>
        </w:trPr>
        <w:tc>
          <w:tcPr>
            <w:tcW w:w="374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Interactive Health Solutions, Inc.</w:t>
            </w:r>
          </w:p>
        </w:tc>
        <w:tc>
          <w:tcPr>
            <w:tcW w:w="1240" w:type="dxa"/>
            <w:vAlign w:val="bottom"/>
            <w:shd w:val="clear" w:color="auto" w:fill="CCEEFF"/>
          </w:tcPr>
          <w:p>
            <w:pPr>
              <w:ind w:left="540"/>
              <w:spacing w:after="0" w:line="130" w:lineRule="exact"/>
              <w:rPr>
                <w:sz w:val="20"/>
                <w:szCs w:val="20"/>
                <w:color w:val="auto"/>
              </w:rPr>
            </w:pPr>
            <w:r>
              <w:rPr>
                <w:rFonts w:ascii="Arial" w:cs="Arial" w:eastAsia="Arial" w:hAnsi="Arial"/>
                <w:sz w:val="14"/>
                <w:szCs w:val="14"/>
                <w:color w:val="auto"/>
                <w:w w:val="96"/>
              </w:rPr>
              <w:t>10/04/2016</w:t>
            </w:r>
          </w:p>
        </w:tc>
        <w:tc>
          <w:tcPr>
            <w:tcW w:w="1480" w:type="dxa"/>
            <w:vAlign w:val="bottom"/>
            <w:shd w:val="clear" w:color="auto" w:fill="CCEEFF"/>
          </w:tcPr>
          <w:p>
            <w:pPr>
              <w:jc w:val="center"/>
              <w:spacing w:after="0" w:line="130" w:lineRule="exact"/>
              <w:rPr>
                <w:sz w:val="20"/>
                <w:szCs w:val="20"/>
                <w:color w:val="auto"/>
              </w:rPr>
            </w:pPr>
            <w:r>
              <w:rPr>
                <w:rFonts w:ascii="Arial" w:cs="Arial" w:eastAsia="Arial" w:hAnsi="Arial"/>
                <w:sz w:val="14"/>
                <w:szCs w:val="14"/>
                <w:color w:val="auto"/>
                <w:w w:val="92"/>
              </w:rPr>
              <w:t>Healthcare, Education</w:t>
            </w:r>
          </w:p>
        </w:tc>
        <w:tc>
          <w:tcPr>
            <w:tcW w:w="940" w:type="dxa"/>
            <w:vAlign w:val="bottom"/>
            <w:shd w:val="clear" w:color="auto" w:fill="CCEEFF"/>
          </w:tcPr>
          <w:p>
            <w:pPr>
              <w:jc w:val="right"/>
              <w:ind w:right="48"/>
              <w:spacing w:after="0" w:line="130" w:lineRule="exact"/>
              <w:rPr>
                <w:sz w:val="20"/>
                <w:szCs w:val="20"/>
                <w:color w:val="auto"/>
              </w:rPr>
            </w:pPr>
            <w:r>
              <w:rPr>
                <w:rFonts w:ascii="Arial" w:cs="Arial" w:eastAsia="Arial" w:hAnsi="Arial"/>
                <w:sz w:val="14"/>
                <w:szCs w:val="14"/>
                <w:color w:val="auto"/>
              </w:rPr>
              <w:t>11.50%</w:t>
            </w:r>
          </w:p>
        </w:tc>
        <w:tc>
          <w:tcPr>
            <w:tcW w:w="740" w:type="dxa"/>
            <w:vAlign w:val="bottom"/>
            <w:shd w:val="clear" w:color="auto" w:fill="CCEEFF"/>
          </w:tcPr>
          <w:p>
            <w:pPr>
              <w:jc w:val="right"/>
              <w:spacing w:after="0" w:line="130" w:lineRule="exact"/>
              <w:rPr>
                <w:sz w:val="20"/>
                <w:szCs w:val="20"/>
                <w:color w:val="auto"/>
              </w:rPr>
            </w:pPr>
            <w:r>
              <w:rPr>
                <w:rFonts w:ascii="Arial" w:cs="Arial" w:eastAsia="Arial" w:hAnsi="Arial"/>
                <w:sz w:val="14"/>
                <w:szCs w:val="14"/>
                <w:color w:val="auto"/>
              </w:rPr>
              <w:t>L+950</w:t>
            </w:r>
          </w:p>
        </w:tc>
        <w:tc>
          <w:tcPr>
            <w:tcW w:w="240" w:type="dxa"/>
            <w:vAlign w:val="bottom"/>
            <w:shd w:val="clear" w:color="auto" w:fill="CCEEFF"/>
          </w:tcPr>
          <w:p>
            <w:pPr>
              <w:jc w:val="right"/>
              <w:ind w:right="19"/>
              <w:spacing w:after="0" w:line="130" w:lineRule="exact"/>
              <w:rPr>
                <w:sz w:val="20"/>
                <w:szCs w:val="20"/>
                <w:color w:val="auto"/>
              </w:rPr>
            </w:pPr>
            <w:r>
              <w:rPr>
                <w:rFonts w:ascii="Arial" w:cs="Arial" w:eastAsia="Arial" w:hAnsi="Arial"/>
                <w:sz w:val="12"/>
                <w:szCs w:val="12"/>
                <w:color w:val="auto"/>
                <w:w w:val="95"/>
              </w:rPr>
              <w:t>(8)</w:t>
            </w:r>
          </w:p>
        </w:tc>
        <w:tc>
          <w:tcPr>
            <w:tcW w:w="820" w:type="dxa"/>
            <w:vAlign w:val="bottom"/>
            <w:shd w:val="clear" w:color="auto" w:fill="CCEEFF"/>
          </w:tcPr>
          <w:p>
            <w:pPr>
              <w:jc w:val="right"/>
              <w:ind w:right="28"/>
              <w:spacing w:after="0" w:line="130" w:lineRule="exact"/>
              <w:rPr>
                <w:sz w:val="20"/>
                <w:szCs w:val="20"/>
                <w:color w:val="auto"/>
              </w:rPr>
            </w:pPr>
            <w:r>
              <w:rPr>
                <w:rFonts w:ascii="Arial" w:cs="Arial" w:eastAsia="Arial" w:hAnsi="Arial"/>
                <w:sz w:val="14"/>
                <w:szCs w:val="14"/>
                <w:color w:val="auto"/>
                <w:w w:val="99"/>
              </w:rPr>
              <w:t>17,812,500</w:t>
            </w:r>
          </w:p>
        </w:tc>
        <w:tc>
          <w:tcPr>
            <w:tcW w:w="920" w:type="dxa"/>
            <w:vAlign w:val="bottom"/>
            <w:gridSpan w:val="3"/>
            <w:shd w:val="clear" w:color="auto" w:fill="CCEEFF"/>
          </w:tcPr>
          <w:p>
            <w:pPr>
              <w:jc w:val="right"/>
              <w:ind w:right="20"/>
              <w:spacing w:after="0" w:line="130" w:lineRule="exact"/>
              <w:rPr>
                <w:sz w:val="20"/>
                <w:szCs w:val="20"/>
                <w:color w:val="auto"/>
              </w:rPr>
            </w:pPr>
            <w:r>
              <w:rPr>
                <w:rFonts w:ascii="Arial" w:cs="Arial" w:eastAsia="Arial" w:hAnsi="Arial"/>
                <w:sz w:val="14"/>
                <w:szCs w:val="14"/>
                <w:color w:val="auto"/>
              </w:rPr>
              <w:t>17,542,365</w:t>
            </w:r>
          </w:p>
        </w:tc>
        <w:tc>
          <w:tcPr>
            <w:tcW w:w="140" w:type="dxa"/>
            <w:vAlign w:val="bottom"/>
            <w:shd w:val="clear" w:color="auto" w:fill="CCEEFF"/>
          </w:tcPr>
          <w:p>
            <w:pPr>
              <w:spacing w:after="0"/>
              <w:rPr>
                <w:sz w:val="11"/>
                <w:szCs w:val="11"/>
                <w:color w:val="auto"/>
              </w:rPr>
            </w:pPr>
          </w:p>
        </w:tc>
        <w:tc>
          <w:tcPr>
            <w:tcW w:w="980" w:type="dxa"/>
            <w:vAlign w:val="bottom"/>
            <w:gridSpan w:val="2"/>
            <w:shd w:val="clear" w:color="auto" w:fill="CCEEFF"/>
          </w:tcPr>
          <w:p>
            <w:pPr>
              <w:jc w:val="right"/>
              <w:ind w:right="140"/>
              <w:spacing w:after="0" w:line="130" w:lineRule="exact"/>
              <w:rPr>
                <w:sz w:val="20"/>
                <w:szCs w:val="20"/>
                <w:color w:val="auto"/>
              </w:rPr>
            </w:pPr>
            <w:r>
              <w:rPr>
                <w:rFonts w:ascii="Arial" w:cs="Arial" w:eastAsia="Arial" w:hAnsi="Arial"/>
                <w:sz w:val="14"/>
                <w:szCs w:val="14"/>
                <w:color w:val="auto"/>
              </w:rPr>
              <w:t>17,812,500</w:t>
            </w:r>
          </w:p>
        </w:tc>
        <w:tc>
          <w:tcPr>
            <w:tcW w:w="0" w:type="dxa"/>
            <w:vAlign w:val="bottom"/>
          </w:tcPr>
          <w:p>
            <w:pPr>
              <w:spacing w:after="0"/>
              <w:rPr>
                <w:sz w:val="1"/>
                <w:szCs w:val="1"/>
                <w:color w:val="auto"/>
              </w:rPr>
            </w:pPr>
          </w:p>
        </w:tc>
      </w:tr>
      <w:tr>
        <w:trPr>
          <w:trHeight w:val="167"/>
        </w:trPr>
        <w:tc>
          <w:tcPr>
            <w:tcW w:w="374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c>
          <w:tcPr>
            <w:tcW w:w="14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2"/>
              </w:rPr>
              <w:t>and Childcare</w:t>
            </w:r>
          </w:p>
        </w:tc>
        <w:tc>
          <w:tcPr>
            <w:tcW w:w="94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3740" w:type="dxa"/>
            <w:vAlign w:val="bottom"/>
          </w:tcPr>
          <w:p>
            <w:pPr>
              <w:spacing w:after="0" w:line="130" w:lineRule="exact"/>
              <w:rPr>
                <w:sz w:val="20"/>
                <w:szCs w:val="20"/>
                <w:color w:val="auto"/>
              </w:rPr>
            </w:pPr>
            <w:r>
              <w:rPr>
                <w:rFonts w:ascii="Arial" w:cs="Arial" w:eastAsia="Arial" w:hAnsi="Arial"/>
                <w:sz w:val="14"/>
                <w:szCs w:val="14"/>
                <w:color w:val="auto"/>
              </w:rPr>
              <w:t>Jackson Hewitt Tax Service Inc.</w:t>
            </w:r>
          </w:p>
        </w:tc>
        <w:tc>
          <w:tcPr>
            <w:tcW w:w="1240" w:type="dxa"/>
            <w:vAlign w:val="bottom"/>
          </w:tcPr>
          <w:p>
            <w:pPr>
              <w:ind w:left="540"/>
              <w:spacing w:after="0" w:line="130" w:lineRule="exact"/>
              <w:rPr>
                <w:sz w:val="20"/>
                <w:szCs w:val="20"/>
                <w:color w:val="auto"/>
              </w:rPr>
            </w:pPr>
            <w:r>
              <w:rPr>
                <w:rFonts w:ascii="Arial" w:cs="Arial" w:eastAsia="Arial" w:hAnsi="Arial"/>
                <w:sz w:val="14"/>
                <w:szCs w:val="14"/>
                <w:color w:val="auto"/>
                <w:w w:val="96"/>
              </w:rPr>
              <w:t>10/16/2017</w:t>
            </w:r>
          </w:p>
        </w:tc>
        <w:tc>
          <w:tcPr>
            <w:tcW w:w="1480" w:type="dxa"/>
            <w:vAlign w:val="bottom"/>
          </w:tcPr>
          <w:p>
            <w:pPr>
              <w:jc w:val="center"/>
              <w:spacing w:after="0" w:line="130" w:lineRule="exact"/>
              <w:rPr>
                <w:sz w:val="20"/>
                <w:szCs w:val="20"/>
                <w:color w:val="auto"/>
              </w:rPr>
            </w:pPr>
            <w:r>
              <w:rPr>
                <w:rFonts w:ascii="Arial" w:cs="Arial" w:eastAsia="Arial" w:hAnsi="Arial"/>
                <w:sz w:val="14"/>
                <w:szCs w:val="14"/>
                <w:color w:val="auto"/>
                <w:w w:val="89"/>
              </w:rPr>
              <w:t>Personal, Food and</w:t>
            </w:r>
          </w:p>
        </w:tc>
        <w:tc>
          <w:tcPr>
            <w:tcW w:w="940" w:type="dxa"/>
            <w:vAlign w:val="bottom"/>
          </w:tcPr>
          <w:p>
            <w:pPr>
              <w:jc w:val="right"/>
              <w:ind w:right="48"/>
              <w:spacing w:after="0" w:line="130" w:lineRule="exact"/>
              <w:rPr>
                <w:sz w:val="20"/>
                <w:szCs w:val="20"/>
                <w:color w:val="auto"/>
              </w:rPr>
            </w:pPr>
            <w:r>
              <w:rPr>
                <w:rFonts w:ascii="Arial" w:cs="Arial" w:eastAsia="Arial" w:hAnsi="Arial"/>
                <w:sz w:val="14"/>
                <w:szCs w:val="14"/>
                <w:color w:val="auto"/>
              </w:rPr>
              <w:t>10.00%</w:t>
            </w:r>
          </w:p>
        </w:tc>
        <w:tc>
          <w:tcPr>
            <w:tcW w:w="740" w:type="dxa"/>
            <w:vAlign w:val="bottom"/>
          </w:tcPr>
          <w:p>
            <w:pPr>
              <w:jc w:val="right"/>
              <w:spacing w:after="0" w:line="130" w:lineRule="exact"/>
              <w:rPr>
                <w:sz w:val="20"/>
                <w:szCs w:val="20"/>
                <w:color w:val="auto"/>
              </w:rPr>
            </w:pPr>
            <w:r>
              <w:rPr>
                <w:rFonts w:ascii="Arial" w:cs="Arial" w:eastAsia="Arial" w:hAnsi="Arial"/>
                <w:sz w:val="14"/>
                <w:szCs w:val="14"/>
                <w:color w:val="auto"/>
              </w:rPr>
              <w:t>L+850</w:t>
            </w:r>
          </w:p>
        </w:tc>
        <w:tc>
          <w:tcPr>
            <w:tcW w:w="240" w:type="dxa"/>
            <w:vAlign w:val="bottom"/>
          </w:tcPr>
          <w:p>
            <w:pPr>
              <w:jc w:val="right"/>
              <w:ind w:right="19"/>
              <w:spacing w:after="0" w:line="130" w:lineRule="exact"/>
              <w:rPr>
                <w:sz w:val="20"/>
                <w:szCs w:val="20"/>
                <w:color w:val="auto"/>
              </w:rPr>
            </w:pPr>
            <w:r>
              <w:rPr>
                <w:rFonts w:ascii="Arial" w:cs="Arial" w:eastAsia="Arial" w:hAnsi="Arial"/>
                <w:sz w:val="12"/>
                <w:szCs w:val="12"/>
                <w:color w:val="auto"/>
                <w:w w:val="95"/>
              </w:rPr>
              <w:t>(8)</w:t>
            </w:r>
          </w:p>
        </w:tc>
        <w:tc>
          <w:tcPr>
            <w:tcW w:w="820" w:type="dxa"/>
            <w:vAlign w:val="bottom"/>
          </w:tcPr>
          <w:p>
            <w:pPr>
              <w:jc w:val="right"/>
              <w:ind w:right="28"/>
              <w:spacing w:after="0" w:line="130" w:lineRule="exact"/>
              <w:rPr>
                <w:sz w:val="20"/>
                <w:szCs w:val="20"/>
                <w:color w:val="auto"/>
              </w:rPr>
            </w:pPr>
            <w:r>
              <w:rPr>
                <w:rFonts w:ascii="Arial" w:cs="Arial" w:eastAsia="Arial" w:hAnsi="Arial"/>
                <w:sz w:val="14"/>
                <w:szCs w:val="14"/>
                <w:color w:val="auto"/>
              </w:rPr>
              <w:t>8,355,469</w:t>
            </w:r>
          </w:p>
        </w:tc>
        <w:tc>
          <w:tcPr>
            <w:tcW w:w="920" w:type="dxa"/>
            <w:vAlign w:val="bottom"/>
            <w:gridSpan w:val="3"/>
          </w:tcPr>
          <w:p>
            <w:pPr>
              <w:jc w:val="right"/>
              <w:ind w:right="20"/>
              <w:spacing w:after="0" w:line="130" w:lineRule="exact"/>
              <w:rPr>
                <w:sz w:val="20"/>
                <w:szCs w:val="20"/>
                <w:color w:val="auto"/>
              </w:rPr>
            </w:pPr>
            <w:r>
              <w:rPr>
                <w:rFonts w:ascii="Arial" w:cs="Arial" w:eastAsia="Arial" w:hAnsi="Arial"/>
                <w:sz w:val="14"/>
                <w:szCs w:val="14"/>
                <w:color w:val="auto"/>
              </w:rPr>
              <w:t>8,349,808</w:t>
            </w:r>
          </w:p>
        </w:tc>
        <w:tc>
          <w:tcPr>
            <w:tcW w:w="140" w:type="dxa"/>
            <w:vAlign w:val="bottom"/>
          </w:tcPr>
          <w:p>
            <w:pPr>
              <w:spacing w:after="0"/>
              <w:rPr>
                <w:sz w:val="11"/>
                <w:szCs w:val="11"/>
                <w:color w:val="auto"/>
              </w:rPr>
            </w:pPr>
          </w:p>
        </w:tc>
        <w:tc>
          <w:tcPr>
            <w:tcW w:w="980" w:type="dxa"/>
            <w:vAlign w:val="bottom"/>
            <w:gridSpan w:val="2"/>
          </w:tcPr>
          <w:p>
            <w:pPr>
              <w:jc w:val="right"/>
              <w:ind w:right="140"/>
              <w:spacing w:after="0" w:line="130" w:lineRule="exact"/>
              <w:rPr>
                <w:sz w:val="20"/>
                <w:szCs w:val="20"/>
                <w:color w:val="auto"/>
              </w:rPr>
            </w:pPr>
            <w:r>
              <w:rPr>
                <w:rFonts w:ascii="Arial" w:cs="Arial" w:eastAsia="Arial" w:hAnsi="Arial"/>
                <w:sz w:val="14"/>
                <w:szCs w:val="14"/>
                <w:color w:val="auto"/>
              </w:rPr>
              <w:t>8,271,914</w:t>
            </w:r>
          </w:p>
        </w:tc>
        <w:tc>
          <w:tcPr>
            <w:tcW w:w="0" w:type="dxa"/>
            <w:vAlign w:val="bottom"/>
          </w:tcPr>
          <w:p>
            <w:pPr>
              <w:spacing w:after="0"/>
              <w:rPr>
                <w:sz w:val="1"/>
                <w:szCs w:val="1"/>
                <w:color w:val="auto"/>
              </w:rPr>
            </w:pPr>
          </w:p>
        </w:tc>
      </w:tr>
      <w:tr>
        <w:trPr>
          <w:trHeight w:val="167"/>
        </w:trPr>
        <w:tc>
          <w:tcPr>
            <w:tcW w:w="37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480" w:type="dxa"/>
            <w:vAlign w:val="bottom"/>
          </w:tcPr>
          <w:p>
            <w:pPr>
              <w:jc w:val="center"/>
              <w:spacing w:after="0"/>
              <w:rPr>
                <w:sz w:val="20"/>
                <w:szCs w:val="20"/>
                <w:color w:val="auto"/>
              </w:rPr>
            </w:pPr>
            <w:r>
              <w:rPr>
                <w:rFonts w:ascii="Arial" w:cs="Arial" w:eastAsia="Arial" w:hAnsi="Arial"/>
                <w:sz w:val="14"/>
                <w:szCs w:val="14"/>
                <w:color w:val="auto"/>
                <w:w w:val="91"/>
              </w:rPr>
              <w:t>Miscellaneous Services</w:t>
            </w:r>
          </w:p>
        </w:tc>
        <w:tc>
          <w:tcPr>
            <w:tcW w:w="9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374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K2 Pure Solutions NoCal, L.P.</w:t>
            </w:r>
          </w:p>
        </w:tc>
        <w:tc>
          <w:tcPr>
            <w:tcW w:w="1240" w:type="dxa"/>
            <w:vAlign w:val="bottom"/>
            <w:shd w:val="clear" w:color="auto" w:fill="CCEEFF"/>
          </w:tcPr>
          <w:p>
            <w:pPr>
              <w:ind w:left="540"/>
              <w:spacing w:after="0" w:line="130" w:lineRule="exact"/>
              <w:rPr>
                <w:sz w:val="20"/>
                <w:szCs w:val="20"/>
                <w:color w:val="auto"/>
              </w:rPr>
            </w:pPr>
            <w:r>
              <w:rPr>
                <w:rFonts w:ascii="Arial" w:cs="Arial" w:eastAsia="Arial" w:hAnsi="Arial"/>
                <w:sz w:val="14"/>
                <w:szCs w:val="14"/>
                <w:color w:val="auto"/>
                <w:w w:val="96"/>
              </w:rPr>
              <w:t>08/19/2019</w:t>
            </w:r>
          </w:p>
        </w:tc>
        <w:tc>
          <w:tcPr>
            <w:tcW w:w="1480" w:type="dxa"/>
            <w:vAlign w:val="bottom"/>
            <w:shd w:val="clear" w:color="auto" w:fill="CCEEFF"/>
          </w:tcPr>
          <w:p>
            <w:pPr>
              <w:jc w:val="center"/>
              <w:spacing w:after="0" w:line="130" w:lineRule="exact"/>
              <w:rPr>
                <w:sz w:val="20"/>
                <w:szCs w:val="20"/>
                <w:color w:val="auto"/>
              </w:rPr>
            </w:pPr>
            <w:r>
              <w:rPr>
                <w:rFonts w:ascii="Arial" w:cs="Arial" w:eastAsia="Arial" w:hAnsi="Arial"/>
                <w:sz w:val="14"/>
                <w:szCs w:val="14"/>
                <w:color w:val="auto"/>
                <w:w w:val="92"/>
              </w:rPr>
              <w:t>Chemicals, Plastics</w:t>
            </w:r>
          </w:p>
        </w:tc>
        <w:tc>
          <w:tcPr>
            <w:tcW w:w="940" w:type="dxa"/>
            <w:vAlign w:val="bottom"/>
            <w:shd w:val="clear" w:color="auto" w:fill="CCEEFF"/>
          </w:tcPr>
          <w:p>
            <w:pPr>
              <w:jc w:val="right"/>
              <w:ind w:right="48"/>
              <w:spacing w:after="0" w:line="130" w:lineRule="exact"/>
              <w:rPr>
                <w:sz w:val="20"/>
                <w:szCs w:val="20"/>
                <w:color w:val="auto"/>
              </w:rPr>
            </w:pPr>
            <w:r>
              <w:rPr>
                <w:rFonts w:ascii="Arial" w:cs="Arial" w:eastAsia="Arial" w:hAnsi="Arial"/>
                <w:sz w:val="14"/>
                <w:szCs w:val="14"/>
                <w:color w:val="auto"/>
              </w:rPr>
              <w:t>10.00%</w:t>
            </w:r>
          </w:p>
        </w:tc>
        <w:tc>
          <w:tcPr>
            <w:tcW w:w="740" w:type="dxa"/>
            <w:vAlign w:val="bottom"/>
            <w:shd w:val="clear" w:color="auto" w:fill="CCEEFF"/>
          </w:tcPr>
          <w:p>
            <w:pPr>
              <w:jc w:val="right"/>
              <w:spacing w:after="0" w:line="130" w:lineRule="exact"/>
              <w:rPr>
                <w:sz w:val="20"/>
                <w:szCs w:val="20"/>
                <w:color w:val="auto"/>
              </w:rPr>
            </w:pPr>
            <w:r>
              <w:rPr>
                <w:rFonts w:ascii="Arial" w:cs="Arial" w:eastAsia="Arial" w:hAnsi="Arial"/>
                <w:sz w:val="14"/>
                <w:szCs w:val="14"/>
                <w:color w:val="auto"/>
              </w:rPr>
              <w:t>L+900</w:t>
            </w:r>
          </w:p>
        </w:tc>
        <w:tc>
          <w:tcPr>
            <w:tcW w:w="240" w:type="dxa"/>
            <w:vAlign w:val="bottom"/>
            <w:shd w:val="clear" w:color="auto" w:fill="CCEEFF"/>
          </w:tcPr>
          <w:p>
            <w:pPr>
              <w:jc w:val="right"/>
              <w:ind w:right="19"/>
              <w:spacing w:after="0" w:line="130" w:lineRule="exact"/>
              <w:rPr>
                <w:sz w:val="20"/>
                <w:szCs w:val="20"/>
                <w:color w:val="auto"/>
              </w:rPr>
            </w:pPr>
            <w:r>
              <w:rPr>
                <w:rFonts w:ascii="Arial" w:cs="Arial" w:eastAsia="Arial" w:hAnsi="Arial"/>
                <w:sz w:val="12"/>
                <w:szCs w:val="12"/>
                <w:color w:val="auto"/>
                <w:w w:val="95"/>
              </w:rPr>
              <w:t>(8)</w:t>
            </w:r>
          </w:p>
        </w:tc>
        <w:tc>
          <w:tcPr>
            <w:tcW w:w="820" w:type="dxa"/>
            <w:vAlign w:val="bottom"/>
            <w:shd w:val="clear" w:color="auto" w:fill="CCEEFF"/>
          </w:tcPr>
          <w:p>
            <w:pPr>
              <w:jc w:val="right"/>
              <w:ind w:right="28"/>
              <w:spacing w:after="0" w:line="130" w:lineRule="exact"/>
              <w:rPr>
                <w:sz w:val="20"/>
                <w:szCs w:val="20"/>
                <w:color w:val="auto"/>
              </w:rPr>
            </w:pPr>
            <w:r>
              <w:rPr>
                <w:rFonts w:ascii="Arial" w:cs="Arial" w:eastAsia="Arial" w:hAnsi="Arial"/>
                <w:sz w:val="14"/>
                <w:szCs w:val="14"/>
                <w:color w:val="auto"/>
                <w:w w:val="99"/>
              </w:rPr>
              <w:t>22,342,352</w:t>
            </w:r>
          </w:p>
        </w:tc>
        <w:tc>
          <w:tcPr>
            <w:tcW w:w="920" w:type="dxa"/>
            <w:vAlign w:val="bottom"/>
            <w:gridSpan w:val="3"/>
            <w:shd w:val="clear" w:color="auto" w:fill="CCEEFF"/>
          </w:tcPr>
          <w:p>
            <w:pPr>
              <w:jc w:val="right"/>
              <w:ind w:right="20"/>
              <w:spacing w:after="0" w:line="130" w:lineRule="exact"/>
              <w:rPr>
                <w:sz w:val="20"/>
                <w:szCs w:val="20"/>
                <w:color w:val="auto"/>
              </w:rPr>
            </w:pPr>
            <w:r>
              <w:rPr>
                <w:rFonts w:ascii="Arial" w:cs="Arial" w:eastAsia="Arial" w:hAnsi="Arial"/>
                <w:sz w:val="14"/>
                <w:szCs w:val="14"/>
                <w:color w:val="auto"/>
              </w:rPr>
              <w:t>21,916,241</w:t>
            </w:r>
          </w:p>
        </w:tc>
        <w:tc>
          <w:tcPr>
            <w:tcW w:w="140" w:type="dxa"/>
            <w:vAlign w:val="bottom"/>
            <w:shd w:val="clear" w:color="auto" w:fill="CCEEFF"/>
          </w:tcPr>
          <w:p>
            <w:pPr>
              <w:spacing w:after="0"/>
              <w:rPr>
                <w:sz w:val="11"/>
                <w:szCs w:val="11"/>
                <w:color w:val="auto"/>
              </w:rPr>
            </w:pPr>
          </w:p>
        </w:tc>
        <w:tc>
          <w:tcPr>
            <w:tcW w:w="980" w:type="dxa"/>
            <w:vAlign w:val="bottom"/>
            <w:gridSpan w:val="2"/>
            <w:shd w:val="clear" w:color="auto" w:fill="CCEEFF"/>
          </w:tcPr>
          <w:p>
            <w:pPr>
              <w:jc w:val="right"/>
              <w:ind w:right="140"/>
              <w:spacing w:after="0" w:line="130" w:lineRule="exact"/>
              <w:rPr>
                <w:sz w:val="20"/>
                <w:szCs w:val="20"/>
                <w:color w:val="auto"/>
              </w:rPr>
            </w:pPr>
            <w:r>
              <w:rPr>
                <w:rFonts w:ascii="Arial" w:cs="Arial" w:eastAsia="Arial" w:hAnsi="Arial"/>
                <w:sz w:val="14"/>
                <w:szCs w:val="14"/>
                <w:color w:val="auto"/>
              </w:rPr>
              <w:t>22,116,757</w:t>
            </w:r>
          </w:p>
        </w:tc>
        <w:tc>
          <w:tcPr>
            <w:tcW w:w="0" w:type="dxa"/>
            <w:vAlign w:val="bottom"/>
          </w:tcPr>
          <w:p>
            <w:pPr>
              <w:spacing w:after="0"/>
              <w:rPr>
                <w:sz w:val="1"/>
                <w:szCs w:val="1"/>
                <w:color w:val="auto"/>
              </w:rPr>
            </w:pPr>
          </w:p>
        </w:tc>
      </w:tr>
      <w:tr>
        <w:trPr>
          <w:trHeight w:val="167"/>
        </w:trPr>
        <w:tc>
          <w:tcPr>
            <w:tcW w:w="374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c>
          <w:tcPr>
            <w:tcW w:w="14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and Rubber</w:t>
            </w:r>
          </w:p>
        </w:tc>
        <w:tc>
          <w:tcPr>
            <w:tcW w:w="94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740" w:type="dxa"/>
            <w:vAlign w:val="bottom"/>
          </w:tcPr>
          <w:p>
            <w:pPr>
              <w:spacing w:after="0" w:line="149" w:lineRule="exact"/>
              <w:rPr>
                <w:sz w:val="20"/>
                <w:szCs w:val="20"/>
                <w:color w:val="auto"/>
              </w:rPr>
            </w:pPr>
            <w:r>
              <w:rPr>
                <w:rFonts w:ascii="Arial" w:cs="Arial" w:eastAsia="Arial" w:hAnsi="Arial"/>
                <w:sz w:val="14"/>
                <w:szCs w:val="14"/>
                <w:color w:val="auto"/>
              </w:rPr>
              <w:t>Old Guard Risk Services, Inc.</w:t>
            </w:r>
          </w:p>
        </w:tc>
        <w:tc>
          <w:tcPr>
            <w:tcW w:w="1240" w:type="dxa"/>
            <w:vAlign w:val="bottom"/>
          </w:tcPr>
          <w:p>
            <w:pPr>
              <w:ind w:left="540"/>
              <w:spacing w:after="0" w:line="149" w:lineRule="exact"/>
              <w:rPr>
                <w:sz w:val="20"/>
                <w:szCs w:val="20"/>
                <w:color w:val="auto"/>
              </w:rPr>
            </w:pPr>
            <w:r>
              <w:rPr>
                <w:rFonts w:ascii="Arial" w:cs="Arial" w:eastAsia="Arial" w:hAnsi="Arial"/>
                <w:sz w:val="14"/>
                <w:szCs w:val="14"/>
                <w:color w:val="auto"/>
                <w:w w:val="96"/>
              </w:rPr>
              <w:t>11/27/2018</w:t>
            </w:r>
          </w:p>
        </w:tc>
        <w:tc>
          <w:tcPr>
            <w:tcW w:w="1480" w:type="dxa"/>
            <w:vAlign w:val="bottom"/>
          </w:tcPr>
          <w:p>
            <w:pPr>
              <w:jc w:val="center"/>
              <w:spacing w:after="0" w:line="149" w:lineRule="exact"/>
              <w:rPr>
                <w:sz w:val="20"/>
                <w:szCs w:val="20"/>
                <w:color w:val="auto"/>
              </w:rPr>
            </w:pPr>
            <w:r>
              <w:rPr>
                <w:rFonts w:ascii="Arial" w:cs="Arial" w:eastAsia="Arial" w:hAnsi="Arial"/>
                <w:sz w:val="14"/>
                <w:szCs w:val="14"/>
                <w:color w:val="auto"/>
                <w:w w:val="91"/>
              </w:rPr>
              <w:t>Insurance</w:t>
            </w:r>
          </w:p>
        </w:tc>
        <w:tc>
          <w:tcPr>
            <w:tcW w:w="940" w:type="dxa"/>
            <w:vAlign w:val="bottom"/>
          </w:tcPr>
          <w:p>
            <w:pPr>
              <w:jc w:val="right"/>
              <w:ind w:right="48"/>
              <w:spacing w:after="0" w:line="149" w:lineRule="exact"/>
              <w:rPr>
                <w:sz w:val="20"/>
                <w:szCs w:val="20"/>
                <w:color w:val="auto"/>
              </w:rPr>
            </w:pPr>
            <w:r>
              <w:rPr>
                <w:rFonts w:ascii="Arial" w:cs="Arial" w:eastAsia="Arial" w:hAnsi="Arial"/>
                <w:sz w:val="14"/>
                <w:szCs w:val="14"/>
                <w:color w:val="auto"/>
              </w:rPr>
              <w:t>12.50%</w:t>
            </w: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L+1,150</w:t>
            </w:r>
          </w:p>
        </w:tc>
        <w:tc>
          <w:tcPr>
            <w:tcW w:w="240" w:type="dxa"/>
            <w:vAlign w:val="bottom"/>
          </w:tcPr>
          <w:p>
            <w:pPr>
              <w:jc w:val="right"/>
              <w:ind w:right="19"/>
              <w:spacing w:after="0"/>
              <w:rPr>
                <w:sz w:val="20"/>
                <w:szCs w:val="20"/>
                <w:color w:val="auto"/>
              </w:rPr>
            </w:pPr>
            <w:r>
              <w:rPr>
                <w:rFonts w:ascii="Arial" w:cs="Arial" w:eastAsia="Arial" w:hAnsi="Arial"/>
                <w:sz w:val="12"/>
                <w:szCs w:val="12"/>
                <w:color w:val="auto"/>
                <w:w w:val="95"/>
              </w:rPr>
              <w:t>(8)</w:t>
            </w:r>
          </w:p>
        </w:tc>
        <w:tc>
          <w:tcPr>
            <w:tcW w:w="820" w:type="dxa"/>
            <w:vAlign w:val="bottom"/>
          </w:tcPr>
          <w:p>
            <w:pPr>
              <w:jc w:val="right"/>
              <w:ind w:right="28"/>
              <w:spacing w:after="0" w:line="149" w:lineRule="exact"/>
              <w:rPr>
                <w:sz w:val="20"/>
                <w:szCs w:val="20"/>
                <w:color w:val="auto"/>
              </w:rPr>
            </w:pPr>
            <w:r>
              <w:rPr>
                <w:rFonts w:ascii="Arial" w:cs="Arial" w:eastAsia="Arial" w:hAnsi="Arial"/>
                <w:sz w:val="14"/>
                <w:szCs w:val="14"/>
                <w:color w:val="auto"/>
                <w:w w:val="99"/>
              </w:rPr>
              <w:t>31,500,000</w:t>
            </w:r>
          </w:p>
        </w:tc>
        <w:tc>
          <w:tcPr>
            <w:tcW w:w="920" w:type="dxa"/>
            <w:vAlign w:val="bottom"/>
            <w:gridSpan w:val="3"/>
          </w:tcPr>
          <w:p>
            <w:pPr>
              <w:jc w:val="right"/>
              <w:ind w:right="20"/>
              <w:spacing w:after="0" w:line="149" w:lineRule="exact"/>
              <w:rPr>
                <w:sz w:val="20"/>
                <w:szCs w:val="20"/>
                <w:color w:val="auto"/>
              </w:rPr>
            </w:pPr>
            <w:r>
              <w:rPr>
                <w:rFonts w:ascii="Arial" w:cs="Arial" w:eastAsia="Arial" w:hAnsi="Arial"/>
                <w:sz w:val="14"/>
                <w:szCs w:val="14"/>
                <w:color w:val="auto"/>
              </w:rPr>
              <w:t>30,282,188</w:t>
            </w:r>
          </w:p>
        </w:tc>
        <w:tc>
          <w:tcPr>
            <w:tcW w:w="140" w:type="dxa"/>
            <w:vAlign w:val="bottom"/>
          </w:tcPr>
          <w:p>
            <w:pPr>
              <w:spacing w:after="0"/>
              <w:rPr>
                <w:sz w:val="12"/>
                <w:szCs w:val="12"/>
                <w:color w:val="auto"/>
              </w:rPr>
            </w:pPr>
          </w:p>
        </w:tc>
        <w:tc>
          <w:tcPr>
            <w:tcW w:w="98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30,870,000</w:t>
            </w:r>
          </w:p>
        </w:tc>
        <w:tc>
          <w:tcPr>
            <w:tcW w:w="0" w:type="dxa"/>
            <w:vAlign w:val="bottom"/>
          </w:tcPr>
          <w:p>
            <w:pPr>
              <w:spacing w:after="0"/>
              <w:rPr>
                <w:sz w:val="1"/>
                <w:szCs w:val="1"/>
                <w:color w:val="auto"/>
              </w:rPr>
            </w:pPr>
          </w:p>
        </w:tc>
      </w:tr>
      <w:tr>
        <w:trPr>
          <w:trHeight w:val="130"/>
        </w:trPr>
        <w:tc>
          <w:tcPr>
            <w:tcW w:w="374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 xml:space="preserve">Prince Mineral Holding Corp. </w:t>
            </w:r>
            <w:r>
              <w:rPr>
                <w:rFonts w:ascii="Arial" w:cs="Arial" w:eastAsia="Arial" w:hAnsi="Arial"/>
                <w:sz w:val="12"/>
                <w:szCs w:val="12"/>
                <w:color w:val="auto"/>
              </w:rPr>
              <w:t>(5)</w:t>
            </w:r>
          </w:p>
        </w:tc>
        <w:tc>
          <w:tcPr>
            <w:tcW w:w="2720" w:type="dxa"/>
            <w:vAlign w:val="bottom"/>
            <w:gridSpan w:val="2"/>
            <w:shd w:val="clear" w:color="auto" w:fill="CCEEFF"/>
          </w:tcPr>
          <w:p>
            <w:pPr>
              <w:ind w:left="540"/>
              <w:spacing w:after="0" w:line="130" w:lineRule="exact"/>
              <w:rPr>
                <w:sz w:val="20"/>
                <w:szCs w:val="20"/>
                <w:color w:val="auto"/>
              </w:rPr>
            </w:pPr>
            <w:r>
              <w:rPr>
                <w:rFonts w:ascii="Arial" w:cs="Arial" w:eastAsia="Arial" w:hAnsi="Arial"/>
                <w:sz w:val="14"/>
                <w:szCs w:val="14"/>
                <w:color w:val="auto"/>
                <w:w w:val="99"/>
              </w:rPr>
              <w:t>12/16/2019  Mining, Steel, Iron and</w:t>
            </w:r>
          </w:p>
        </w:tc>
        <w:tc>
          <w:tcPr>
            <w:tcW w:w="940" w:type="dxa"/>
            <w:vAlign w:val="bottom"/>
            <w:shd w:val="clear" w:color="auto" w:fill="CCEEFF"/>
          </w:tcPr>
          <w:p>
            <w:pPr>
              <w:jc w:val="right"/>
              <w:ind w:right="48"/>
              <w:spacing w:after="0" w:line="130" w:lineRule="exact"/>
              <w:rPr>
                <w:sz w:val="20"/>
                <w:szCs w:val="20"/>
                <w:color w:val="auto"/>
              </w:rPr>
            </w:pPr>
            <w:r>
              <w:rPr>
                <w:rFonts w:ascii="Arial" w:cs="Arial" w:eastAsia="Arial" w:hAnsi="Arial"/>
                <w:sz w:val="14"/>
                <w:szCs w:val="14"/>
                <w:color w:val="auto"/>
              </w:rPr>
              <w:t>11.50%</w:t>
            </w:r>
          </w:p>
        </w:tc>
        <w:tc>
          <w:tcPr>
            <w:tcW w:w="740" w:type="dxa"/>
            <w:vAlign w:val="bottom"/>
            <w:shd w:val="clear" w:color="auto" w:fill="CCEEFF"/>
          </w:tcPr>
          <w:p>
            <w:pPr>
              <w:jc w:val="right"/>
              <w:spacing w:after="0" w:line="130" w:lineRule="exact"/>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1"/>
                <w:szCs w:val="11"/>
                <w:color w:val="auto"/>
              </w:rPr>
            </w:pPr>
          </w:p>
        </w:tc>
        <w:tc>
          <w:tcPr>
            <w:tcW w:w="820" w:type="dxa"/>
            <w:vAlign w:val="bottom"/>
            <w:shd w:val="clear" w:color="auto" w:fill="CCEEFF"/>
          </w:tcPr>
          <w:p>
            <w:pPr>
              <w:jc w:val="right"/>
              <w:ind w:right="28"/>
              <w:spacing w:after="0" w:line="130" w:lineRule="exact"/>
              <w:rPr>
                <w:sz w:val="20"/>
                <w:szCs w:val="20"/>
                <w:color w:val="auto"/>
              </w:rPr>
            </w:pPr>
            <w:r>
              <w:rPr>
                <w:rFonts w:ascii="Arial" w:cs="Arial" w:eastAsia="Arial" w:hAnsi="Arial"/>
                <w:sz w:val="14"/>
                <w:szCs w:val="14"/>
                <w:color w:val="auto"/>
                <w:w w:val="99"/>
              </w:rPr>
              <w:t>14,250,000</w:t>
            </w:r>
          </w:p>
        </w:tc>
        <w:tc>
          <w:tcPr>
            <w:tcW w:w="920" w:type="dxa"/>
            <w:vAlign w:val="bottom"/>
            <w:gridSpan w:val="3"/>
            <w:shd w:val="clear" w:color="auto" w:fill="CCEEFF"/>
          </w:tcPr>
          <w:p>
            <w:pPr>
              <w:jc w:val="right"/>
              <w:ind w:right="20"/>
              <w:spacing w:after="0" w:line="130" w:lineRule="exact"/>
              <w:rPr>
                <w:sz w:val="20"/>
                <w:szCs w:val="20"/>
                <w:color w:val="auto"/>
              </w:rPr>
            </w:pPr>
            <w:r>
              <w:rPr>
                <w:rFonts w:ascii="Arial" w:cs="Arial" w:eastAsia="Arial" w:hAnsi="Arial"/>
                <w:sz w:val="14"/>
                <w:szCs w:val="14"/>
                <w:color w:val="auto"/>
              </w:rPr>
              <w:t>14,100,483</w:t>
            </w:r>
          </w:p>
        </w:tc>
        <w:tc>
          <w:tcPr>
            <w:tcW w:w="140" w:type="dxa"/>
            <w:vAlign w:val="bottom"/>
            <w:shd w:val="clear" w:color="auto" w:fill="CCEEFF"/>
          </w:tcPr>
          <w:p>
            <w:pPr>
              <w:spacing w:after="0"/>
              <w:rPr>
                <w:sz w:val="11"/>
                <w:szCs w:val="11"/>
                <w:color w:val="auto"/>
              </w:rPr>
            </w:pPr>
          </w:p>
        </w:tc>
        <w:tc>
          <w:tcPr>
            <w:tcW w:w="980" w:type="dxa"/>
            <w:vAlign w:val="bottom"/>
            <w:gridSpan w:val="2"/>
            <w:shd w:val="clear" w:color="auto" w:fill="CCEEFF"/>
          </w:tcPr>
          <w:p>
            <w:pPr>
              <w:jc w:val="right"/>
              <w:ind w:right="140"/>
              <w:spacing w:after="0" w:line="130" w:lineRule="exact"/>
              <w:rPr>
                <w:sz w:val="20"/>
                <w:szCs w:val="20"/>
                <w:color w:val="auto"/>
              </w:rPr>
            </w:pPr>
            <w:r>
              <w:rPr>
                <w:rFonts w:ascii="Arial" w:cs="Arial" w:eastAsia="Arial" w:hAnsi="Arial"/>
                <w:sz w:val="14"/>
                <w:szCs w:val="14"/>
                <w:color w:val="auto"/>
              </w:rPr>
              <w:t>15,853,125</w:t>
            </w:r>
          </w:p>
        </w:tc>
        <w:tc>
          <w:tcPr>
            <w:tcW w:w="0" w:type="dxa"/>
            <w:vAlign w:val="bottom"/>
          </w:tcPr>
          <w:p>
            <w:pPr>
              <w:spacing w:after="0"/>
              <w:rPr>
                <w:sz w:val="1"/>
                <w:szCs w:val="1"/>
                <w:color w:val="auto"/>
              </w:rPr>
            </w:pPr>
          </w:p>
        </w:tc>
      </w:tr>
      <w:tr>
        <w:trPr>
          <w:trHeight w:val="167"/>
        </w:trPr>
        <w:tc>
          <w:tcPr>
            <w:tcW w:w="374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c>
          <w:tcPr>
            <w:tcW w:w="14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3"/>
              </w:rPr>
              <w:t>Non-Precious Metals</w:t>
            </w:r>
          </w:p>
        </w:tc>
        <w:tc>
          <w:tcPr>
            <w:tcW w:w="94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3740" w:type="dxa"/>
            <w:vAlign w:val="bottom"/>
          </w:tcPr>
          <w:p>
            <w:pPr>
              <w:spacing w:after="0" w:line="149" w:lineRule="exact"/>
              <w:rPr>
                <w:sz w:val="20"/>
                <w:szCs w:val="20"/>
                <w:color w:val="auto"/>
              </w:rPr>
            </w:pPr>
            <w:r>
              <w:rPr>
                <w:rFonts w:ascii="Arial" w:cs="Arial" w:eastAsia="Arial" w:hAnsi="Arial"/>
                <w:sz w:val="14"/>
                <w:szCs w:val="14"/>
                <w:color w:val="auto"/>
              </w:rPr>
              <w:t>TRAK Acquisition Corp.</w:t>
            </w:r>
          </w:p>
        </w:tc>
        <w:tc>
          <w:tcPr>
            <w:tcW w:w="1240" w:type="dxa"/>
            <w:vAlign w:val="bottom"/>
          </w:tcPr>
          <w:p>
            <w:pPr>
              <w:ind w:left="540"/>
              <w:spacing w:after="0" w:line="149" w:lineRule="exact"/>
              <w:rPr>
                <w:sz w:val="20"/>
                <w:szCs w:val="20"/>
                <w:color w:val="auto"/>
              </w:rPr>
            </w:pPr>
            <w:r>
              <w:rPr>
                <w:rFonts w:ascii="Arial" w:cs="Arial" w:eastAsia="Arial" w:hAnsi="Arial"/>
                <w:sz w:val="14"/>
                <w:szCs w:val="14"/>
                <w:color w:val="auto"/>
                <w:w w:val="96"/>
              </w:rPr>
              <w:t>04/30/2018</w:t>
            </w:r>
          </w:p>
        </w:tc>
        <w:tc>
          <w:tcPr>
            <w:tcW w:w="1480" w:type="dxa"/>
            <w:vAlign w:val="bottom"/>
          </w:tcPr>
          <w:p>
            <w:pPr>
              <w:jc w:val="center"/>
              <w:spacing w:after="0" w:line="149" w:lineRule="exact"/>
              <w:rPr>
                <w:sz w:val="20"/>
                <w:szCs w:val="20"/>
                <w:color w:val="auto"/>
              </w:rPr>
            </w:pPr>
            <w:r>
              <w:rPr>
                <w:rFonts w:ascii="Arial" w:cs="Arial" w:eastAsia="Arial" w:hAnsi="Arial"/>
                <w:sz w:val="14"/>
                <w:szCs w:val="14"/>
                <w:color w:val="auto"/>
                <w:w w:val="89"/>
              </w:rPr>
              <w:t>Business Services</w:t>
            </w:r>
          </w:p>
        </w:tc>
        <w:tc>
          <w:tcPr>
            <w:tcW w:w="940" w:type="dxa"/>
            <w:vAlign w:val="bottom"/>
          </w:tcPr>
          <w:p>
            <w:pPr>
              <w:jc w:val="right"/>
              <w:ind w:right="48"/>
              <w:spacing w:after="0" w:line="149" w:lineRule="exact"/>
              <w:rPr>
                <w:sz w:val="20"/>
                <w:szCs w:val="20"/>
                <w:color w:val="auto"/>
              </w:rPr>
            </w:pPr>
            <w:r>
              <w:rPr>
                <w:rFonts w:ascii="Arial" w:cs="Arial" w:eastAsia="Arial" w:hAnsi="Arial"/>
                <w:sz w:val="14"/>
                <w:szCs w:val="14"/>
                <w:color w:val="auto"/>
              </w:rPr>
              <w:t>12.00%</w:t>
            </w: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L+1,050</w:t>
            </w:r>
          </w:p>
        </w:tc>
        <w:tc>
          <w:tcPr>
            <w:tcW w:w="240" w:type="dxa"/>
            <w:vAlign w:val="bottom"/>
          </w:tcPr>
          <w:p>
            <w:pPr>
              <w:jc w:val="right"/>
              <w:ind w:right="19"/>
              <w:spacing w:after="0"/>
              <w:rPr>
                <w:sz w:val="20"/>
                <w:szCs w:val="20"/>
                <w:color w:val="auto"/>
              </w:rPr>
            </w:pPr>
            <w:r>
              <w:rPr>
                <w:rFonts w:ascii="Arial" w:cs="Arial" w:eastAsia="Arial" w:hAnsi="Arial"/>
                <w:sz w:val="12"/>
                <w:szCs w:val="12"/>
                <w:color w:val="auto"/>
                <w:w w:val="95"/>
              </w:rPr>
              <w:t>(8)</w:t>
            </w:r>
          </w:p>
        </w:tc>
        <w:tc>
          <w:tcPr>
            <w:tcW w:w="820" w:type="dxa"/>
            <w:vAlign w:val="bottom"/>
          </w:tcPr>
          <w:p>
            <w:pPr>
              <w:jc w:val="right"/>
              <w:ind w:right="28"/>
              <w:spacing w:after="0" w:line="149" w:lineRule="exact"/>
              <w:rPr>
                <w:sz w:val="20"/>
                <w:szCs w:val="20"/>
                <w:color w:val="auto"/>
              </w:rPr>
            </w:pPr>
            <w:r>
              <w:rPr>
                <w:rFonts w:ascii="Arial" w:cs="Arial" w:eastAsia="Arial" w:hAnsi="Arial"/>
                <w:sz w:val="14"/>
                <w:szCs w:val="14"/>
                <w:color w:val="auto"/>
                <w:w w:val="99"/>
              </w:rPr>
              <w:t>33,833,300</w:t>
            </w:r>
          </w:p>
        </w:tc>
        <w:tc>
          <w:tcPr>
            <w:tcW w:w="920" w:type="dxa"/>
            <w:vAlign w:val="bottom"/>
            <w:gridSpan w:val="3"/>
          </w:tcPr>
          <w:p>
            <w:pPr>
              <w:jc w:val="right"/>
              <w:ind w:right="20"/>
              <w:spacing w:after="0" w:line="149" w:lineRule="exact"/>
              <w:rPr>
                <w:sz w:val="20"/>
                <w:szCs w:val="20"/>
                <w:color w:val="auto"/>
              </w:rPr>
            </w:pPr>
            <w:r>
              <w:rPr>
                <w:rFonts w:ascii="Arial" w:cs="Arial" w:eastAsia="Arial" w:hAnsi="Arial"/>
                <w:sz w:val="14"/>
                <w:szCs w:val="14"/>
                <w:color w:val="auto"/>
              </w:rPr>
              <w:t>33,364,161</w:t>
            </w:r>
          </w:p>
        </w:tc>
        <w:tc>
          <w:tcPr>
            <w:tcW w:w="140" w:type="dxa"/>
            <w:vAlign w:val="bottom"/>
          </w:tcPr>
          <w:p>
            <w:pPr>
              <w:spacing w:after="0"/>
              <w:rPr>
                <w:sz w:val="12"/>
                <w:szCs w:val="12"/>
                <w:color w:val="auto"/>
              </w:rPr>
            </w:pPr>
          </w:p>
        </w:tc>
        <w:tc>
          <w:tcPr>
            <w:tcW w:w="98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33,833,300</w:t>
            </w:r>
          </w:p>
        </w:tc>
        <w:tc>
          <w:tcPr>
            <w:tcW w:w="0" w:type="dxa"/>
            <w:vAlign w:val="bottom"/>
          </w:tcPr>
          <w:p>
            <w:pPr>
              <w:spacing w:after="0"/>
              <w:rPr>
                <w:sz w:val="1"/>
                <w:szCs w:val="1"/>
                <w:color w:val="auto"/>
              </w:rPr>
            </w:pPr>
          </w:p>
        </w:tc>
      </w:tr>
      <w:tr>
        <w:trPr>
          <w:trHeight w:val="148"/>
        </w:trPr>
        <w:tc>
          <w:tcPr>
            <w:tcW w:w="37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Worley Claims Services LLC</w:t>
            </w:r>
          </w:p>
        </w:tc>
        <w:tc>
          <w:tcPr>
            <w:tcW w:w="1240" w:type="dxa"/>
            <w:vAlign w:val="bottom"/>
            <w:shd w:val="clear" w:color="auto" w:fill="CCEEFF"/>
          </w:tcPr>
          <w:p>
            <w:pPr>
              <w:ind w:left="540"/>
              <w:spacing w:after="0" w:line="149" w:lineRule="exact"/>
              <w:rPr>
                <w:sz w:val="20"/>
                <w:szCs w:val="20"/>
                <w:color w:val="auto"/>
              </w:rPr>
            </w:pPr>
            <w:r>
              <w:rPr>
                <w:rFonts w:ascii="Arial" w:cs="Arial" w:eastAsia="Arial" w:hAnsi="Arial"/>
                <w:sz w:val="14"/>
                <w:szCs w:val="14"/>
                <w:color w:val="auto"/>
                <w:w w:val="96"/>
              </w:rPr>
              <w:t>07/06/2017</w:t>
            </w:r>
          </w:p>
        </w:tc>
        <w:tc>
          <w:tcPr>
            <w:tcW w:w="148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1"/>
              </w:rPr>
              <w:t>Insurance</w:t>
            </w:r>
          </w:p>
        </w:tc>
        <w:tc>
          <w:tcPr>
            <w:tcW w:w="940" w:type="dxa"/>
            <w:vAlign w:val="bottom"/>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rPr>
              <w:t>12.50%</w:t>
            </w: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L+1,100</w:t>
            </w:r>
          </w:p>
        </w:tc>
        <w:tc>
          <w:tcPr>
            <w:tcW w:w="240" w:type="dxa"/>
            <w:vAlign w:val="bottom"/>
            <w:shd w:val="clear" w:color="auto" w:fill="CCEEFF"/>
          </w:tcPr>
          <w:p>
            <w:pPr>
              <w:jc w:val="right"/>
              <w:ind w:right="19"/>
              <w:spacing w:after="0"/>
              <w:rPr>
                <w:sz w:val="20"/>
                <w:szCs w:val="20"/>
                <w:color w:val="auto"/>
              </w:rPr>
            </w:pPr>
            <w:r>
              <w:rPr>
                <w:rFonts w:ascii="Arial" w:cs="Arial" w:eastAsia="Arial" w:hAnsi="Arial"/>
                <w:sz w:val="12"/>
                <w:szCs w:val="12"/>
                <w:color w:val="auto"/>
                <w:w w:val="95"/>
              </w:rPr>
              <w:t>(8)</w:t>
            </w:r>
          </w:p>
        </w:tc>
        <w:tc>
          <w:tcPr>
            <w:tcW w:w="820" w:type="dxa"/>
            <w:vAlign w:val="bottom"/>
            <w:shd w:val="clear" w:color="auto" w:fill="CCEEFF"/>
          </w:tcPr>
          <w:p>
            <w:pPr>
              <w:jc w:val="right"/>
              <w:ind w:right="28"/>
              <w:spacing w:after="0" w:line="149" w:lineRule="exact"/>
              <w:rPr>
                <w:sz w:val="20"/>
                <w:szCs w:val="20"/>
                <w:color w:val="auto"/>
              </w:rPr>
            </w:pPr>
            <w:r>
              <w:rPr>
                <w:rFonts w:ascii="Arial" w:cs="Arial" w:eastAsia="Arial" w:hAnsi="Arial"/>
                <w:sz w:val="14"/>
                <w:szCs w:val="14"/>
                <w:color w:val="auto"/>
                <w:w w:val="99"/>
              </w:rPr>
              <w:t>12,199,559</w:t>
            </w:r>
          </w:p>
        </w:tc>
        <w:tc>
          <w:tcPr>
            <w:tcW w:w="920" w:type="dxa"/>
            <w:vAlign w:val="bottom"/>
            <w:gridSpan w:val="3"/>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12,199,559</w:t>
            </w:r>
          </w:p>
        </w:tc>
        <w:tc>
          <w:tcPr>
            <w:tcW w:w="14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12,443,550</w:t>
            </w:r>
          </w:p>
        </w:tc>
        <w:tc>
          <w:tcPr>
            <w:tcW w:w="0" w:type="dxa"/>
            <w:vAlign w:val="bottom"/>
          </w:tcPr>
          <w:p>
            <w:pPr>
              <w:spacing w:after="0"/>
              <w:rPr>
                <w:sz w:val="1"/>
                <w:szCs w:val="1"/>
                <w:color w:val="auto"/>
              </w:rPr>
            </w:pPr>
          </w:p>
        </w:tc>
      </w:tr>
      <w:tr>
        <w:trPr>
          <w:trHeight w:val="163"/>
        </w:trPr>
        <w:tc>
          <w:tcPr>
            <w:tcW w:w="3740" w:type="dxa"/>
            <w:vAlign w:val="bottom"/>
          </w:tcPr>
          <w:p>
            <w:pPr>
              <w:spacing w:after="0" w:line="155" w:lineRule="exact"/>
              <w:rPr>
                <w:sz w:val="20"/>
                <w:szCs w:val="20"/>
                <w:color w:val="auto"/>
              </w:rPr>
            </w:pPr>
            <w:r>
              <w:rPr>
                <w:rFonts w:ascii="Arial" w:cs="Arial" w:eastAsia="Arial" w:hAnsi="Arial"/>
                <w:sz w:val="14"/>
                <w:szCs w:val="14"/>
                <w:b w:val="1"/>
                <w:bCs w:val="1"/>
                <w:color w:val="auto"/>
              </w:rPr>
              <w:t>Total First Lien Secured Debt</w:t>
            </w:r>
          </w:p>
        </w:tc>
        <w:tc>
          <w:tcPr>
            <w:tcW w:w="12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265,771,303</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275,524,148</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374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Second Lien Secured Debt—53.4%</w:t>
            </w:r>
          </w:p>
        </w:tc>
        <w:tc>
          <w:tcPr>
            <w:tcW w:w="1240" w:type="dxa"/>
            <w:vAlign w:val="bottom"/>
            <w:shd w:val="clear" w:color="auto" w:fill="CCEEFF"/>
          </w:tcPr>
          <w:p>
            <w:pPr>
              <w:spacing w:after="0"/>
              <w:rPr>
                <w:sz w:val="12"/>
                <w:szCs w:val="12"/>
                <w:color w:val="auto"/>
              </w:rPr>
            </w:pPr>
          </w:p>
        </w:tc>
        <w:tc>
          <w:tcPr>
            <w:tcW w:w="148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3740" w:type="dxa"/>
            <w:vAlign w:val="bottom"/>
          </w:tcPr>
          <w:p>
            <w:pPr>
              <w:spacing w:after="0" w:line="130" w:lineRule="exact"/>
              <w:rPr>
                <w:sz w:val="20"/>
                <w:szCs w:val="20"/>
                <w:color w:val="auto"/>
              </w:rPr>
            </w:pPr>
            <w:r>
              <w:rPr>
                <w:rFonts w:ascii="Arial" w:cs="Arial" w:eastAsia="Arial" w:hAnsi="Arial"/>
                <w:sz w:val="14"/>
                <w:szCs w:val="14"/>
                <w:color w:val="auto"/>
              </w:rPr>
              <w:t xml:space="preserve">American Gilsonite Company </w:t>
            </w:r>
            <w:r>
              <w:rPr>
                <w:rFonts w:ascii="Arial" w:cs="Arial" w:eastAsia="Arial" w:hAnsi="Arial"/>
                <w:sz w:val="12"/>
                <w:szCs w:val="12"/>
                <w:color w:val="auto"/>
              </w:rPr>
              <w:t>(5)</w:t>
            </w:r>
          </w:p>
        </w:tc>
        <w:tc>
          <w:tcPr>
            <w:tcW w:w="1240" w:type="dxa"/>
            <w:vAlign w:val="bottom"/>
          </w:tcPr>
          <w:p>
            <w:pPr>
              <w:ind w:left="540"/>
              <w:spacing w:after="0" w:line="130" w:lineRule="exact"/>
              <w:rPr>
                <w:sz w:val="20"/>
                <w:szCs w:val="20"/>
                <w:color w:val="auto"/>
              </w:rPr>
            </w:pPr>
            <w:r>
              <w:rPr>
                <w:rFonts w:ascii="Arial" w:cs="Arial" w:eastAsia="Arial" w:hAnsi="Arial"/>
                <w:sz w:val="14"/>
                <w:szCs w:val="14"/>
                <w:color w:val="auto"/>
                <w:w w:val="96"/>
              </w:rPr>
              <w:t>09/01/2017</w:t>
            </w:r>
          </w:p>
        </w:tc>
        <w:tc>
          <w:tcPr>
            <w:tcW w:w="1480" w:type="dxa"/>
            <w:vAlign w:val="bottom"/>
          </w:tcPr>
          <w:p>
            <w:pPr>
              <w:jc w:val="center"/>
              <w:spacing w:after="0" w:line="130" w:lineRule="exact"/>
              <w:rPr>
                <w:sz w:val="20"/>
                <w:szCs w:val="20"/>
                <w:color w:val="auto"/>
              </w:rPr>
            </w:pPr>
            <w:r>
              <w:rPr>
                <w:rFonts w:ascii="Arial" w:cs="Arial" w:eastAsia="Arial" w:hAnsi="Arial"/>
                <w:sz w:val="14"/>
                <w:szCs w:val="14"/>
                <w:color w:val="auto"/>
                <w:w w:val="96"/>
              </w:rPr>
              <w:t>Diversified Natural</w:t>
            </w:r>
          </w:p>
        </w:tc>
        <w:tc>
          <w:tcPr>
            <w:tcW w:w="940" w:type="dxa"/>
            <w:vAlign w:val="bottom"/>
          </w:tcPr>
          <w:p>
            <w:pPr>
              <w:jc w:val="right"/>
              <w:ind w:right="48"/>
              <w:spacing w:after="0" w:line="130" w:lineRule="exact"/>
              <w:rPr>
                <w:sz w:val="20"/>
                <w:szCs w:val="20"/>
                <w:color w:val="auto"/>
              </w:rPr>
            </w:pPr>
            <w:r>
              <w:rPr>
                <w:rFonts w:ascii="Arial" w:cs="Arial" w:eastAsia="Arial" w:hAnsi="Arial"/>
                <w:sz w:val="14"/>
                <w:szCs w:val="14"/>
                <w:color w:val="auto"/>
              </w:rPr>
              <w:t>11.50%</w:t>
            </w:r>
          </w:p>
        </w:tc>
        <w:tc>
          <w:tcPr>
            <w:tcW w:w="740" w:type="dxa"/>
            <w:vAlign w:val="bottom"/>
          </w:tcPr>
          <w:p>
            <w:pPr>
              <w:jc w:val="right"/>
              <w:spacing w:after="0" w:line="130"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1"/>
                <w:szCs w:val="11"/>
                <w:color w:val="auto"/>
              </w:rPr>
            </w:pPr>
          </w:p>
        </w:tc>
        <w:tc>
          <w:tcPr>
            <w:tcW w:w="820" w:type="dxa"/>
            <w:vAlign w:val="bottom"/>
          </w:tcPr>
          <w:p>
            <w:pPr>
              <w:jc w:val="right"/>
              <w:ind w:right="28"/>
              <w:spacing w:after="0" w:line="130" w:lineRule="exact"/>
              <w:rPr>
                <w:sz w:val="20"/>
                <w:szCs w:val="20"/>
                <w:color w:val="auto"/>
              </w:rPr>
            </w:pPr>
            <w:r>
              <w:rPr>
                <w:rFonts w:ascii="Arial" w:cs="Arial" w:eastAsia="Arial" w:hAnsi="Arial"/>
                <w:sz w:val="14"/>
                <w:szCs w:val="14"/>
                <w:color w:val="auto"/>
                <w:w w:val="99"/>
              </w:rPr>
              <w:t>25,400,000</w:t>
            </w:r>
          </w:p>
        </w:tc>
        <w:tc>
          <w:tcPr>
            <w:tcW w:w="920" w:type="dxa"/>
            <w:vAlign w:val="bottom"/>
            <w:gridSpan w:val="3"/>
          </w:tcPr>
          <w:p>
            <w:pPr>
              <w:jc w:val="right"/>
              <w:ind w:right="20"/>
              <w:spacing w:after="0" w:line="130" w:lineRule="exact"/>
              <w:rPr>
                <w:sz w:val="20"/>
                <w:szCs w:val="20"/>
                <w:color w:val="auto"/>
              </w:rPr>
            </w:pPr>
            <w:r>
              <w:rPr>
                <w:rFonts w:ascii="Arial" w:cs="Arial" w:eastAsia="Arial" w:hAnsi="Arial"/>
                <w:sz w:val="14"/>
                <w:szCs w:val="14"/>
                <w:color w:val="auto"/>
              </w:rPr>
              <w:t>25,400,000</w:t>
            </w:r>
          </w:p>
        </w:tc>
        <w:tc>
          <w:tcPr>
            <w:tcW w:w="140" w:type="dxa"/>
            <w:vAlign w:val="bottom"/>
          </w:tcPr>
          <w:p>
            <w:pPr>
              <w:spacing w:after="0"/>
              <w:rPr>
                <w:sz w:val="11"/>
                <w:szCs w:val="11"/>
                <w:color w:val="auto"/>
              </w:rPr>
            </w:pPr>
          </w:p>
        </w:tc>
        <w:tc>
          <w:tcPr>
            <w:tcW w:w="980" w:type="dxa"/>
            <w:vAlign w:val="bottom"/>
            <w:gridSpan w:val="2"/>
          </w:tcPr>
          <w:p>
            <w:pPr>
              <w:jc w:val="right"/>
              <w:ind w:right="140"/>
              <w:spacing w:after="0" w:line="130" w:lineRule="exact"/>
              <w:rPr>
                <w:sz w:val="20"/>
                <w:szCs w:val="20"/>
                <w:color w:val="auto"/>
              </w:rPr>
            </w:pPr>
            <w:r>
              <w:rPr>
                <w:rFonts w:ascii="Arial" w:cs="Arial" w:eastAsia="Arial" w:hAnsi="Arial"/>
                <w:sz w:val="14"/>
                <w:szCs w:val="14"/>
                <w:color w:val="auto"/>
              </w:rPr>
              <w:t>24,384,000</w:t>
            </w:r>
          </w:p>
        </w:tc>
        <w:tc>
          <w:tcPr>
            <w:tcW w:w="0" w:type="dxa"/>
            <w:vAlign w:val="bottom"/>
          </w:tcPr>
          <w:p>
            <w:pPr>
              <w:spacing w:after="0"/>
              <w:rPr>
                <w:sz w:val="1"/>
                <w:szCs w:val="1"/>
                <w:color w:val="auto"/>
              </w:rPr>
            </w:pPr>
          </w:p>
        </w:tc>
      </w:tr>
      <w:tr>
        <w:trPr>
          <w:trHeight w:val="148"/>
        </w:trPr>
        <w:tc>
          <w:tcPr>
            <w:tcW w:w="374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480" w:type="dxa"/>
            <w:vAlign w:val="bottom"/>
          </w:tcPr>
          <w:p>
            <w:pPr>
              <w:jc w:val="center"/>
              <w:spacing w:after="0" w:line="149" w:lineRule="exact"/>
              <w:rPr>
                <w:sz w:val="20"/>
                <w:szCs w:val="20"/>
                <w:color w:val="auto"/>
              </w:rPr>
            </w:pPr>
            <w:r>
              <w:rPr>
                <w:rFonts w:ascii="Arial" w:cs="Arial" w:eastAsia="Arial" w:hAnsi="Arial"/>
                <w:sz w:val="14"/>
                <w:szCs w:val="14"/>
                <w:color w:val="auto"/>
                <w:w w:val="89"/>
              </w:rPr>
              <w:t>Resources, Precious</w:t>
            </w:r>
          </w:p>
        </w:tc>
        <w:tc>
          <w:tcPr>
            <w:tcW w:w="9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37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480" w:type="dxa"/>
            <w:vAlign w:val="bottom"/>
          </w:tcPr>
          <w:p>
            <w:pPr>
              <w:jc w:val="center"/>
              <w:spacing w:after="0"/>
              <w:rPr>
                <w:sz w:val="20"/>
                <w:szCs w:val="20"/>
                <w:color w:val="auto"/>
              </w:rPr>
            </w:pPr>
            <w:r>
              <w:rPr>
                <w:rFonts w:ascii="Arial" w:cs="Arial" w:eastAsia="Arial" w:hAnsi="Arial"/>
                <w:sz w:val="14"/>
                <w:szCs w:val="14"/>
                <w:color w:val="auto"/>
                <w:w w:val="94"/>
              </w:rPr>
              <w:t>Metals and Minerals</w:t>
            </w:r>
          </w:p>
        </w:tc>
        <w:tc>
          <w:tcPr>
            <w:tcW w:w="9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37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Arsloane Acquisition, LLC</w:t>
            </w:r>
          </w:p>
        </w:tc>
        <w:tc>
          <w:tcPr>
            <w:tcW w:w="1240" w:type="dxa"/>
            <w:vAlign w:val="bottom"/>
            <w:shd w:val="clear" w:color="auto" w:fill="CCEEFF"/>
          </w:tcPr>
          <w:p>
            <w:pPr>
              <w:ind w:left="540"/>
              <w:spacing w:after="0" w:line="149" w:lineRule="exact"/>
              <w:rPr>
                <w:sz w:val="20"/>
                <w:szCs w:val="20"/>
                <w:color w:val="auto"/>
              </w:rPr>
            </w:pPr>
            <w:r>
              <w:rPr>
                <w:rFonts w:ascii="Arial" w:cs="Arial" w:eastAsia="Arial" w:hAnsi="Arial"/>
                <w:sz w:val="14"/>
                <w:szCs w:val="14"/>
                <w:color w:val="auto"/>
                <w:w w:val="96"/>
              </w:rPr>
              <w:t>10/01/2020</w:t>
            </w:r>
          </w:p>
        </w:tc>
        <w:tc>
          <w:tcPr>
            <w:tcW w:w="148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9"/>
              </w:rPr>
              <w:t>Business Services</w:t>
            </w:r>
          </w:p>
        </w:tc>
        <w:tc>
          <w:tcPr>
            <w:tcW w:w="940" w:type="dxa"/>
            <w:vAlign w:val="bottom"/>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rPr>
              <w:t>11.75%</w:t>
            </w: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L+1,050</w:t>
            </w:r>
          </w:p>
        </w:tc>
        <w:tc>
          <w:tcPr>
            <w:tcW w:w="240" w:type="dxa"/>
            <w:vAlign w:val="bottom"/>
            <w:shd w:val="clear" w:color="auto" w:fill="CCEEFF"/>
          </w:tcPr>
          <w:p>
            <w:pPr>
              <w:jc w:val="right"/>
              <w:ind w:right="19"/>
              <w:spacing w:after="0"/>
              <w:rPr>
                <w:sz w:val="20"/>
                <w:szCs w:val="20"/>
                <w:color w:val="auto"/>
              </w:rPr>
            </w:pPr>
            <w:r>
              <w:rPr>
                <w:rFonts w:ascii="Arial" w:cs="Arial" w:eastAsia="Arial" w:hAnsi="Arial"/>
                <w:sz w:val="12"/>
                <w:szCs w:val="12"/>
                <w:color w:val="auto"/>
                <w:w w:val="95"/>
              </w:rPr>
              <w:t>(8)</w:t>
            </w:r>
          </w:p>
        </w:tc>
        <w:tc>
          <w:tcPr>
            <w:tcW w:w="820" w:type="dxa"/>
            <w:vAlign w:val="bottom"/>
            <w:shd w:val="clear" w:color="auto" w:fill="CCEEFF"/>
          </w:tcPr>
          <w:p>
            <w:pPr>
              <w:jc w:val="right"/>
              <w:ind w:right="28"/>
              <w:spacing w:after="0" w:line="149" w:lineRule="exact"/>
              <w:rPr>
                <w:sz w:val="20"/>
                <w:szCs w:val="20"/>
                <w:color w:val="auto"/>
              </w:rPr>
            </w:pPr>
            <w:r>
              <w:rPr>
                <w:rFonts w:ascii="Arial" w:cs="Arial" w:eastAsia="Arial" w:hAnsi="Arial"/>
                <w:sz w:val="14"/>
                <w:szCs w:val="14"/>
                <w:color w:val="auto"/>
                <w:w w:val="99"/>
              </w:rPr>
              <w:t>18,750,000</w:t>
            </w:r>
          </w:p>
        </w:tc>
        <w:tc>
          <w:tcPr>
            <w:tcW w:w="920" w:type="dxa"/>
            <w:vAlign w:val="bottom"/>
            <w:gridSpan w:val="3"/>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18,390,069</w:t>
            </w:r>
          </w:p>
        </w:tc>
        <w:tc>
          <w:tcPr>
            <w:tcW w:w="14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18,562,500</w:t>
            </w:r>
          </w:p>
        </w:tc>
        <w:tc>
          <w:tcPr>
            <w:tcW w:w="0" w:type="dxa"/>
            <w:vAlign w:val="bottom"/>
          </w:tcPr>
          <w:p>
            <w:pPr>
              <w:spacing w:after="0"/>
              <w:rPr>
                <w:sz w:val="1"/>
                <w:szCs w:val="1"/>
                <w:color w:val="auto"/>
              </w:rPr>
            </w:pPr>
          </w:p>
        </w:tc>
      </w:tr>
      <w:tr>
        <w:trPr>
          <w:trHeight w:val="149"/>
        </w:trPr>
        <w:tc>
          <w:tcPr>
            <w:tcW w:w="3740" w:type="dxa"/>
            <w:vAlign w:val="bottom"/>
          </w:tcPr>
          <w:p>
            <w:pPr>
              <w:spacing w:after="0" w:line="149" w:lineRule="exact"/>
              <w:rPr>
                <w:sz w:val="20"/>
                <w:szCs w:val="20"/>
                <w:color w:val="auto"/>
              </w:rPr>
            </w:pPr>
            <w:r>
              <w:rPr>
                <w:rFonts w:ascii="Arial" w:cs="Arial" w:eastAsia="Arial" w:hAnsi="Arial"/>
                <w:sz w:val="14"/>
                <w:szCs w:val="14"/>
                <w:color w:val="auto"/>
              </w:rPr>
              <w:t>Ascensus, Inc.</w:t>
            </w:r>
          </w:p>
        </w:tc>
        <w:tc>
          <w:tcPr>
            <w:tcW w:w="1240" w:type="dxa"/>
            <w:vAlign w:val="bottom"/>
          </w:tcPr>
          <w:p>
            <w:pPr>
              <w:ind w:left="540"/>
              <w:spacing w:after="0" w:line="149" w:lineRule="exact"/>
              <w:rPr>
                <w:sz w:val="20"/>
                <w:szCs w:val="20"/>
                <w:color w:val="auto"/>
              </w:rPr>
            </w:pPr>
            <w:r>
              <w:rPr>
                <w:rFonts w:ascii="Arial" w:cs="Arial" w:eastAsia="Arial" w:hAnsi="Arial"/>
                <w:sz w:val="14"/>
                <w:szCs w:val="14"/>
                <w:color w:val="auto"/>
                <w:w w:val="96"/>
              </w:rPr>
              <w:t>12/02/2020</w:t>
            </w:r>
          </w:p>
        </w:tc>
        <w:tc>
          <w:tcPr>
            <w:tcW w:w="1480" w:type="dxa"/>
            <w:vAlign w:val="bottom"/>
          </w:tcPr>
          <w:p>
            <w:pPr>
              <w:jc w:val="center"/>
              <w:spacing w:after="0" w:line="149" w:lineRule="exact"/>
              <w:rPr>
                <w:sz w:val="20"/>
                <w:szCs w:val="20"/>
                <w:color w:val="auto"/>
              </w:rPr>
            </w:pPr>
            <w:r>
              <w:rPr>
                <w:rFonts w:ascii="Arial" w:cs="Arial" w:eastAsia="Arial" w:hAnsi="Arial"/>
                <w:sz w:val="14"/>
                <w:szCs w:val="14"/>
                <w:color w:val="auto"/>
                <w:w w:val="93"/>
              </w:rPr>
              <w:t>Financial Services</w:t>
            </w:r>
          </w:p>
        </w:tc>
        <w:tc>
          <w:tcPr>
            <w:tcW w:w="940" w:type="dxa"/>
            <w:vAlign w:val="bottom"/>
          </w:tcPr>
          <w:p>
            <w:pPr>
              <w:jc w:val="right"/>
              <w:ind w:right="48"/>
              <w:spacing w:after="0" w:line="149" w:lineRule="exact"/>
              <w:rPr>
                <w:sz w:val="20"/>
                <w:szCs w:val="20"/>
                <w:color w:val="auto"/>
              </w:rPr>
            </w:pPr>
            <w:r>
              <w:rPr>
                <w:rFonts w:ascii="Arial" w:cs="Arial" w:eastAsia="Arial" w:hAnsi="Arial"/>
                <w:sz w:val="14"/>
                <w:szCs w:val="14"/>
                <w:color w:val="auto"/>
              </w:rPr>
              <w:t>9.00%</w:t>
            </w: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L+800</w:t>
            </w:r>
          </w:p>
        </w:tc>
        <w:tc>
          <w:tcPr>
            <w:tcW w:w="240" w:type="dxa"/>
            <w:vAlign w:val="bottom"/>
          </w:tcPr>
          <w:p>
            <w:pPr>
              <w:jc w:val="right"/>
              <w:ind w:right="19"/>
              <w:spacing w:after="0"/>
              <w:rPr>
                <w:sz w:val="20"/>
                <w:szCs w:val="20"/>
                <w:color w:val="auto"/>
              </w:rPr>
            </w:pPr>
            <w:r>
              <w:rPr>
                <w:rFonts w:ascii="Arial" w:cs="Arial" w:eastAsia="Arial" w:hAnsi="Arial"/>
                <w:sz w:val="12"/>
                <w:szCs w:val="12"/>
                <w:color w:val="auto"/>
                <w:w w:val="95"/>
              </w:rPr>
              <w:t>(8)</w:t>
            </w:r>
          </w:p>
        </w:tc>
        <w:tc>
          <w:tcPr>
            <w:tcW w:w="820" w:type="dxa"/>
            <w:vAlign w:val="bottom"/>
          </w:tcPr>
          <w:p>
            <w:pPr>
              <w:jc w:val="right"/>
              <w:ind w:right="28"/>
              <w:spacing w:after="0" w:line="149" w:lineRule="exact"/>
              <w:rPr>
                <w:sz w:val="20"/>
                <w:szCs w:val="20"/>
                <w:color w:val="auto"/>
              </w:rPr>
            </w:pPr>
            <w:r>
              <w:rPr>
                <w:rFonts w:ascii="Arial" w:cs="Arial" w:eastAsia="Arial" w:hAnsi="Arial"/>
                <w:sz w:val="14"/>
                <w:szCs w:val="14"/>
                <w:color w:val="auto"/>
                <w:w w:val="99"/>
              </w:rPr>
              <w:t>15,500,000</w:t>
            </w:r>
          </w:p>
        </w:tc>
        <w:tc>
          <w:tcPr>
            <w:tcW w:w="920" w:type="dxa"/>
            <w:vAlign w:val="bottom"/>
            <w:gridSpan w:val="3"/>
          </w:tcPr>
          <w:p>
            <w:pPr>
              <w:jc w:val="right"/>
              <w:ind w:right="20"/>
              <w:spacing w:after="0" w:line="149" w:lineRule="exact"/>
              <w:rPr>
                <w:sz w:val="20"/>
                <w:szCs w:val="20"/>
                <w:color w:val="auto"/>
              </w:rPr>
            </w:pPr>
            <w:r>
              <w:rPr>
                <w:rFonts w:ascii="Arial" w:cs="Arial" w:eastAsia="Arial" w:hAnsi="Arial"/>
                <w:sz w:val="14"/>
                <w:szCs w:val="14"/>
                <w:color w:val="auto"/>
              </w:rPr>
              <w:t>15,269,063</w:t>
            </w:r>
          </w:p>
        </w:tc>
        <w:tc>
          <w:tcPr>
            <w:tcW w:w="140" w:type="dxa"/>
            <w:vAlign w:val="bottom"/>
          </w:tcPr>
          <w:p>
            <w:pPr>
              <w:spacing w:after="0"/>
              <w:rPr>
                <w:sz w:val="12"/>
                <w:szCs w:val="12"/>
                <w:color w:val="auto"/>
              </w:rPr>
            </w:pPr>
          </w:p>
        </w:tc>
        <w:tc>
          <w:tcPr>
            <w:tcW w:w="98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15,732,500</w:t>
            </w:r>
          </w:p>
        </w:tc>
        <w:tc>
          <w:tcPr>
            <w:tcW w:w="0" w:type="dxa"/>
            <w:vAlign w:val="bottom"/>
          </w:tcPr>
          <w:p>
            <w:pPr>
              <w:spacing w:after="0"/>
              <w:rPr>
                <w:sz w:val="1"/>
                <w:szCs w:val="1"/>
                <w:color w:val="auto"/>
              </w:rPr>
            </w:pPr>
          </w:p>
        </w:tc>
      </w:tr>
      <w:tr>
        <w:trPr>
          <w:trHeight w:val="148"/>
        </w:trPr>
        <w:tc>
          <w:tcPr>
            <w:tcW w:w="37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Bennu Oil &amp; Gas, LLC</w:t>
            </w:r>
          </w:p>
        </w:tc>
        <w:tc>
          <w:tcPr>
            <w:tcW w:w="1240" w:type="dxa"/>
            <w:vAlign w:val="bottom"/>
            <w:shd w:val="clear" w:color="auto" w:fill="CCEEFF"/>
          </w:tcPr>
          <w:p>
            <w:pPr>
              <w:ind w:left="540"/>
              <w:spacing w:after="0" w:line="149" w:lineRule="exact"/>
              <w:rPr>
                <w:sz w:val="20"/>
                <w:szCs w:val="20"/>
                <w:color w:val="auto"/>
              </w:rPr>
            </w:pPr>
            <w:r>
              <w:rPr>
                <w:rFonts w:ascii="Arial" w:cs="Arial" w:eastAsia="Arial" w:hAnsi="Arial"/>
                <w:sz w:val="14"/>
                <w:szCs w:val="14"/>
                <w:color w:val="auto"/>
                <w:w w:val="96"/>
              </w:rPr>
              <w:t>11/01/2018</w:t>
            </w:r>
          </w:p>
        </w:tc>
        <w:tc>
          <w:tcPr>
            <w:tcW w:w="148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4"/>
              </w:rPr>
              <w:t>Oil and Gas</w:t>
            </w:r>
          </w:p>
        </w:tc>
        <w:tc>
          <w:tcPr>
            <w:tcW w:w="940" w:type="dxa"/>
            <w:vAlign w:val="bottom"/>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rPr>
              <w:t>10.25%</w:t>
            </w: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L+900</w:t>
            </w:r>
          </w:p>
        </w:tc>
        <w:tc>
          <w:tcPr>
            <w:tcW w:w="240" w:type="dxa"/>
            <w:vAlign w:val="bottom"/>
            <w:shd w:val="clear" w:color="auto" w:fill="CCEEFF"/>
          </w:tcPr>
          <w:p>
            <w:pPr>
              <w:jc w:val="right"/>
              <w:ind w:right="19"/>
              <w:spacing w:after="0"/>
              <w:rPr>
                <w:sz w:val="20"/>
                <w:szCs w:val="20"/>
                <w:color w:val="auto"/>
              </w:rPr>
            </w:pPr>
            <w:r>
              <w:rPr>
                <w:rFonts w:ascii="Arial" w:cs="Arial" w:eastAsia="Arial" w:hAnsi="Arial"/>
                <w:sz w:val="12"/>
                <w:szCs w:val="12"/>
                <w:color w:val="auto"/>
                <w:w w:val="95"/>
              </w:rPr>
              <w:t>(8)</w:t>
            </w:r>
          </w:p>
        </w:tc>
        <w:tc>
          <w:tcPr>
            <w:tcW w:w="820" w:type="dxa"/>
            <w:vAlign w:val="bottom"/>
            <w:shd w:val="clear" w:color="auto" w:fill="CCEEFF"/>
          </w:tcPr>
          <w:p>
            <w:pPr>
              <w:jc w:val="right"/>
              <w:ind w:right="28"/>
              <w:spacing w:after="0" w:line="149" w:lineRule="exact"/>
              <w:rPr>
                <w:sz w:val="20"/>
                <w:szCs w:val="20"/>
                <w:color w:val="auto"/>
              </w:rPr>
            </w:pPr>
            <w:r>
              <w:rPr>
                <w:rFonts w:ascii="Arial" w:cs="Arial" w:eastAsia="Arial" w:hAnsi="Arial"/>
                <w:sz w:val="14"/>
                <w:szCs w:val="14"/>
                <w:color w:val="auto"/>
                <w:w w:val="99"/>
              </w:rPr>
              <w:t>11,733,858</w:t>
            </w:r>
          </w:p>
        </w:tc>
        <w:tc>
          <w:tcPr>
            <w:tcW w:w="920" w:type="dxa"/>
            <w:vAlign w:val="bottom"/>
            <w:gridSpan w:val="3"/>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11,629,358</w:t>
            </w:r>
          </w:p>
        </w:tc>
        <w:tc>
          <w:tcPr>
            <w:tcW w:w="14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11,821,862</w:t>
            </w:r>
          </w:p>
        </w:tc>
        <w:tc>
          <w:tcPr>
            <w:tcW w:w="0" w:type="dxa"/>
            <w:vAlign w:val="bottom"/>
          </w:tcPr>
          <w:p>
            <w:pPr>
              <w:spacing w:after="0"/>
              <w:rPr>
                <w:sz w:val="1"/>
                <w:szCs w:val="1"/>
                <w:color w:val="auto"/>
              </w:rPr>
            </w:pPr>
          </w:p>
        </w:tc>
      </w:tr>
      <w:tr>
        <w:trPr>
          <w:trHeight w:val="130"/>
        </w:trPr>
        <w:tc>
          <w:tcPr>
            <w:tcW w:w="3740" w:type="dxa"/>
            <w:vAlign w:val="bottom"/>
          </w:tcPr>
          <w:p>
            <w:pPr>
              <w:spacing w:after="0" w:line="130" w:lineRule="exact"/>
              <w:rPr>
                <w:sz w:val="20"/>
                <w:szCs w:val="20"/>
                <w:color w:val="auto"/>
              </w:rPr>
            </w:pPr>
            <w:r>
              <w:rPr>
                <w:rFonts w:ascii="Arial" w:cs="Arial" w:eastAsia="Arial" w:hAnsi="Arial"/>
                <w:sz w:val="14"/>
                <w:szCs w:val="14"/>
                <w:color w:val="auto"/>
              </w:rPr>
              <w:t>Carolina Beverage Group, LLC</w:t>
            </w:r>
          </w:p>
        </w:tc>
        <w:tc>
          <w:tcPr>
            <w:tcW w:w="1240" w:type="dxa"/>
            <w:vAlign w:val="bottom"/>
          </w:tcPr>
          <w:p>
            <w:pPr>
              <w:ind w:left="540"/>
              <w:spacing w:after="0" w:line="130" w:lineRule="exact"/>
              <w:rPr>
                <w:sz w:val="20"/>
                <w:szCs w:val="20"/>
                <w:color w:val="auto"/>
              </w:rPr>
            </w:pPr>
            <w:r>
              <w:rPr>
                <w:rFonts w:ascii="Arial" w:cs="Arial" w:eastAsia="Arial" w:hAnsi="Arial"/>
                <w:sz w:val="14"/>
                <w:szCs w:val="14"/>
                <w:color w:val="auto"/>
                <w:w w:val="96"/>
              </w:rPr>
              <w:t>08/01/2018</w:t>
            </w:r>
          </w:p>
        </w:tc>
        <w:tc>
          <w:tcPr>
            <w:tcW w:w="1480" w:type="dxa"/>
            <w:vAlign w:val="bottom"/>
          </w:tcPr>
          <w:p>
            <w:pPr>
              <w:jc w:val="center"/>
              <w:spacing w:after="0" w:line="130" w:lineRule="exact"/>
              <w:rPr>
                <w:sz w:val="20"/>
                <w:szCs w:val="20"/>
                <w:color w:val="auto"/>
              </w:rPr>
            </w:pPr>
            <w:r>
              <w:rPr>
                <w:rFonts w:ascii="Arial" w:cs="Arial" w:eastAsia="Arial" w:hAnsi="Arial"/>
                <w:sz w:val="14"/>
                <w:szCs w:val="14"/>
                <w:color w:val="auto"/>
                <w:w w:val="89"/>
              </w:rPr>
              <w:t>Beverage, Food and</w:t>
            </w:r>
          </w:p>
        </w:tc>
        <w:tc>
          <w:tcPr>
            <w:tcW w:w="940" w:type="dxa"/>
            <w:vAlign w:val="bottom"/>
          </w:tcPr>
          <w:p>
            <w:pPr>
              <w:jc w:val="right"/>
              <w:ind w:right="48"/>
              <w:spacing w:after="0" w:line="130" w:lineRule="exact"/>
              <w:rPr>
                <w:sz w:val="20"/>
                <w:szCs w:val="20"/>
                <w:color w:val="auto"/>
              </w:rPr>
            </w:pPr>
            <w:r>
              <w:rPr>
                <w:rFonts w:ascii="Arial" w:cs="Arial" w:eastAsia="Arial" w:hAnsi="Arial"/>
                <w:sz w:val="14"/>
                <w:szCs w:val="14"/>
                <w:color w:val="auto"/>
              </w:rPr>
              <w:t>10.63%</w:t>
            </w:r>
          </w:p>
        </w:tc>
        <w:tc>
          <w:tcPr>
            <w:tcW w:w="740" w:type="dxa"/>
            <w:vAlign w:val="bottom"/>
          </w:tcPr>
          <w:p>
            <w:pPr>
              <w:jc w:val="right"/>
              <w:spacing w:after="0" w:line="130"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1"/>
                <w:szCs w:val="11"/>
                <w:color w:val="auto"/>
              </w:rPr>
            </w:pPr>
          </w:p>
        </w:tc>
        <w:tc>
          <w:tcPr>
            <w:tcW w:w="820" w:type="dxa"/>
            <w:vAlign w:val="bottom"/>
          </w:tcPr>
          <w:p>
            <w:pPr>
              <w:jc w:val="right"/>
              <w:ind w:right="28"/>
              <w:spacing w:after="0" w:line="130" w:lineRule="exact"/>
              <w:rPr>
                <w:sz w:val="20"/>
                <w:szCs w:val="20"/>
                <w:color w:val="auto"/>
              </w:rPr>
            </w:pPr>
            <w:r>
              <w:rPr>
                <w:rFonts w:ascii="Arial" w:cs="Arial" w:eastAsia="Arial" w:hAnsi="Arial"/>
                <w:sz w:val="14"/>
                <w:szCs w:val="14"/>
                <w:color w:val="auto"/>
                <w:w w:val="99"/>
              </w:rPr>
              <w:t>13,125,000</w:t>
            </w:r>
          </w:p>
        </w:tc>
        <w:tc>
          <w:tcPr>
            <w:tcW w:w="920" w:type="dxa"/>
            <w:vAlign w:val="bottom"/>
            <w:gridSpan w:val="3"/>
          </w:tcPr>
          <w:p>
            <w:pPr>
              <w:jc w:val="right"/>
              <w:ind w:right="20"/>
              <w:spacing w:after="0" w:line="130" w:lineRule="exact"/>
              <w:rPr>
                <w:sz w:val="20"/>
                <w:szCs w:val="20"/>
                <w:color w:val="auto"/>
              </w:rPr>
            </w:pPr>
            <w:r>
              <w:rPr>
                <w:rFonts w:ascii="Arial" w:cs="Arial" w:eastAsia="Arial" w:hAnsi="Arial"/>
                <w:sz w:val="14"/>
                <w:szCs w:val="14"/>
                <w:color w:val="auto"/>
              </w:rPr>
              <w:t>13,125,000</w:t>
            </w:r>
          </w:p>
        </w:tc>
        <w:tc>
          <w:tcPr>
            <w:tcW w:w="140" w:type="dxa"/>
            <w:vAlign w:val="bottom"/>
          </w:tcPr>
          <w:p>
            <w:pPr>
              <w:spacing w:after="0"/>
              <w:rPr>
                <w:sz w:val="11"/>
                <w:szCs w:val="11"/>
                <w:color w:val="auto"/>
              </w:rPr>
            </w:pPr>
          </w:p>
        </w:tc>
        <w:tc>
          <w:tcPr>
            <w:tcW w:w="980" w:type="dxa"/>
            <w:vAlign w:val="bottom"/>
            <w:gridSpan w:val="2"/>
          </w:tcPr>
          <w:p>
            <w:pPr>
              <w:jc w:val="right"/>
              <w:ind w:right="140"/>
              <w:spacing w:after="0" w:line="130" w:lineRule="exact"/>
              <w:rPr>
                <w:sz w:val="20"/>
                <w:szCs w:val="20"/>
                <w:color w:val="auto"/>
              </w:rPr>
            </w:pPr>
            <w:r>
              <w:rPr>
                <w:rFonts w:ascii="Arial" w:cs="Arial" w:eastAsia="Arial" w:hAnsi="Arial"/>
                <w:sz w:val="14"/>
                <w:szCs w:val="14"/>
                <w:color w:val="auto"/>
              </w:rPr>
              <w:t>13,781,250</w:t>
            </w:r>
          </w:p>
        </w:tc>
        <w:tc>
          <w:tcPr>
            <w:tcW w:w="0" w:type="dxa"/>
            <w:vAlign w:val="bottom"/>
          </w:tcPr>
          <w:p>
            <w:pPr>
              <w:spacing w:after="0"/>
              <w:rPr>
                <w:sz w:val="1"/>
                <w:szCs w:val="1"/>
                <w:color w:val="auto"/>
              </w:rPr>
            </w:pPr>
          </w:p>
        </w:tc>
      </w:tr>
      <w:tr>
        <w:trPr>
          <w:trHeight w:val="167"/>
        </w:trPr>
        <w:tc>
          <w:tcPr>
            <w:tcW w:w="37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480" w:type="dxa"/>
            <w:vAlign w:val="bottom"/>
          </w:tcPr>
          <w:p>
            <w:pPr>
              <w:jc w:val="center"/>
              <w:spacing w:after="0"/>
              <w:rPr>
                <w:sz w:val="20"/>
                <w:szCs w:val="20"/>
                <w:color w:val="auto"/>
              </w:rPr>
            </w:pPr>
            <w:r>
              <w:rPr>
                <w:rFonts w:ascii="Arial" w:cs="Arial" w:eastAsia="Arial" w:hAnsi="Arial"/>
                <w:sz w:val="14"/>
                <w:szCs w:val="14"/>
                <w:color w:val="auto"/>
                <w:w w:val="93"/>
              </w:rPr>
              <w:t>Tobacco</w:t>
            </w:r>
          </w:p>
        </w:tc>
        <w:tc>
          <w:tcPr>
            <w:tcW w:w="9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37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CT Technologies Intermediate Holdings, Inc.</w:t>
            </w:r>
          </w:p>
        </w:tc>
        <w:tc>
          <w:tcPr>
            <w:tcW w:w="1240" w:type="dxa"/>
            <w:vAlign w:val="bottom"/>
            <w:shd w:val="clear" w:color="auto" w:fill="CCEEFF"/>
          </w:tcPr>
          <w:p>
            <w:pPr>
              <w:ind w:left="540"/>
              <w:spacing w:after="0" w:line="149" w:lineRule="exact"/>
              <w:rPr>
                <w:sz w:val="20"/>
                <w:szCs w:val="20"/>
                <w:color w:val="auto"/>
              </w:rPr>
            </w:pPr>
            <w:r>
              <w:rPr>
                <w:rFonts w:ascii="Arial" w:cs="Arial" w:eastAsia="Arial" w:hAnsi="Arial"/>
                <w:sz w:val="14"/>
                <w:szCs w:val="14"/>
                <w:color w:val="auto"/>
                <w:w w:val="96"/>
              </w:rPr>
              <w:t>10/05/2020</w:t>
            </w:r>
          </w:p>
        </w:tc>
        <w:tc>
          <w:tcPr>
            <w:tcW w:w="148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9"/>
              </w:rPr>
              <w:t>Business Services</w:t>
            </w:r>
          </w:p>
        </w:tc>
        <w:tc>
          <w:tcPr>
            <w:tcW w:w="940" w:type="dxa"/>
            <w:vAlign w:val="bottom"/>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rPr>
              <w:t>9.25%</w:t>
            </w: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L+800</w:t>
            </w:r>
          </w:p>
        </w:tc>
        <w:tc>
          <w:tcPr>
            <w:tcW w:w="240" w:type="dxa"/>
            <w:vAlign w:val="bottom"/>
            <w:shd w:val="clear" w:color="auto" w:fill="CCEEFF"/>
          </w:tcPr>
          <w:p>
            <w:pPr>
              <w:jc w:val="right"/>
              <w:ind w:right="19"/>
              <w:spacing w:after="0"/>
              <w:rPr>
                <w:sz w:val="20"/>
                <w:szCs w:val="20"/>
                <w:color w:val="auto"/>
              </w:rPr>
            </w:pPr>
            <w:r>
              <w:rPr>
                <w:rFonts w:ascii="Arial" w:cs="Arial" w:eastAsia="Arial" w:hAnsi="Arial"/>
                <w:sz w:val="12"/>
                <w:szCs w:val="12"/>
                <w:color w:val="auto"/>
                <w:w w:val="95"/>
              </w:rPr>
              <w:t>(8)</w:t>
            </w:r>
          </w:p>
        </w:tc>
        <w:tc>
          <w:tcPr>
            <w:tcW w:w="820" w:type="dxa"/>
            <w:vAlign w:val="bottom"/>
            <w:shd w:val="clear" w:color="auto" w:fill="CCEEFF"/>
          </w:tcPr>
          <w:p>
            <w:pPr>
              <w:jc w:val="right"/>
              <w:ind w:right="28"/>
              <w:spacing w:after="0" w:line="149" w:lineRule="exact"/>
              <w:rPr>
                <w:sz w:val="20"/>
                <w:szCs w:val="20"/>
                <w:color w:val="auto"/>
              </w:rPr>
            </w:pPr>
            <w:r>
              <w:rPr>
                <w:rFonts w:ascii="Arial" w:cs="Arial" w:eastAsia="Arial" w:hAnsi="Arial"/>
                <w:sz w:val="14"/>
                <w:szCs w:val="14"/>
                <w:color w:val="auto"/>
                <w:w w:val="99"/>
              </w:rPr>
              <w:t>14,000,000</w:t>
            </w:r>
          </w:p>
        </w:tc>
        <w:tc>
          <w:tcPr>
            <w:tcW w:w="920" w:type="dxa"/>
            <w:vAlign w:val="bottom"/>
            <w:gridSpan w:val="3"/>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13,797,853</w:t>
            </w:r>
          </w:p>
        </w:tc>
        <w:tc>
          <w:tcPr>
            <w:tcW w:w="14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13,982,500</w:t>
            </w:r>
          </w:p>
        </w:tc>
        <w:tc>
          <w:tcPr>
            <w:tcW w:w="0" w:type="dxa"/>
            <w:vAlign w:val="bottom"/>
          </w:tcPr>
          <w:p>
            <w:pPr>
              <w:spacing w:after="0"/>
              <w:rPr>
                <w:sz w:val="1"/>
                <w:szCs w:val="1"/>
                <w:color w:val="auto"/>
              </w:rPr>
            </w:pPr>
          </w:p>
        </w:tc>
      </w:tr>
      <w:tr>
        <w:trPr>
          <w:trHeight w:val="130"/>
        </w:trPr>
        <w:tc>
          <w:tcPr>
            <w:tcW w:w="3740" w:type="dxa"/>
            <w:vAlign w:val="bottom"/>
          </w:tcPr>
          <w:p>
            <w:pPr>
              <w:spacing w:after="0" w:line="130" w:lineRule="exact"/>
              <w:rPr>
                <w:sz w:val="20"/>
                <w:szCs w:val="20"/>
                <w:color w:val="auto"/>
              </w:rPr>
            </w:pPr>
            <w:r>
              <w:rPr>
                <w:rFonts w:ascii="Arial" w:cs="Arial" w:eastAsia="Arial" w:hAnsi="Arial"/>
                <w:sz w:val="14"/>
                <w:szCs w:val="14"/>
                <w:color w:val="auto"/>
              </w:rPr>
              <w:t>Envision Acquisition Company, LLC</w:t>
            </w:r>
          </w:p>
        </w:tc>
        <w:tc>
          <w:tcPr>
            <w:tcW w:w="1240" w:type="dxa"/>
            <w:vAlign w:val="bottom"/>
          </w:tcPr>
          <w:p>
            <w:pPr>
              <w:ind w:left="540"/>
              <w:spacing w:after="0" w:line="130" w:lineRule="exact"/>
              <w:rPr>
                <w:sz w:val="20"/>
                <w:szCs w:val="20"/>
                <w:color w:val="auto"/>
              </w:rPr>
            </w:pPr>
            <w:r>
              <w:rPr>
                <w:rFonts w:ascii="Arial" w:cs="Arial" w:eastAsia="Arial" w:hAnsi="Arial"/>
                <w:sz w:val="14"/>
                <w:szCs w:val="14"/>
                <w:color w:val="auto"/>
                <w:w w:val="96"/>
              </w:rPr>
              <w:t>11/04/2021</w:t>
            </w:r>
          </w:p>
        </w:tc>
        <w:tc>
          <w:tcPr>
            <w:tcW w:w="1480" w:type="dxa"/>
            <w:vAlign w:val="bottom"/>
          </w:tcPr>
          <w:p>
            <w:pPr>
              <w:jc w:val="center"/>
              <w:spacing w:after="0" w:line="130" w:lineRule="exact"/>
              <w:rPr>
                <w:sz w:val="20"/>
                <w:szCs w:val="20"/>
                <w:color w:val="auto"/>
              </w:rPr>
            </w:pPr>
            <w:r>
              <w:rPr>
                <w:rFonts w:ascii="Arial" w:cs="Arial" w:eastAsia="Arial" w:hAnsi="Arial"/>
                <w:sz w:val="14"/>
                <w:szCs w:val="14"/>
                <w:color w:val="auto"/>
                <w:w w:val="92"/>
              </w:rPr>
              <w:t>Healthcare, Education</w:t>
            </w:r>
          </w:p>
        </w:tc>
        <w:tc>
          <w:tcPr>
            <w:tcW w:w="940" w:type="dxa"/>
            <w:vAlign w:val="bottom"/>
          </w:tcPr>
          <w:p>
            <w:pPr>
              <w:jc w:val="right"/>
              <w:ind w:right="48"/>
              <w:spacing w:after="0" w:line="130" w:lineRule="exact"/>
              <w:rPr>
                <w:sz w:val="20"/>
                <w:szCs w:val="20"/>
                <w:color w:val="auto"/>
              </w:rPr>
            </w:pPr>
            <w:r>
              <w:rPr>
                <w:rFonts w:ascii="Arial" w:cs="Arial" w:eastAsia="Arial" w:hAnsi="Arial"/>
                <w:sz w:val="14"/>
                <w:szCs w:val="14"/>
                <w:color w:val="auto"/>
              </w:rPr>
              <w:t>9.75%</w:t>
            </w:r>
          </w:p>
        </w:tc>
        <w:tc>
          <w:tcPr>
            <w:tcW w:w="740" w:type="dxa"/>
            <w:vAlign w:val="bottom"/>
          </w:tcPr>
          <w:p>
            <w:pPr>
              <w:jc w:val="right"/>
              <w:spacing w:after="0" w:line="130" w:lineRule="exact"/>
              <w:rPr>
                <w:sz w:val="20"/>
                <w:szCs w:val="20"/>
                <w:color w:val="auto"/>
              </w:rPr>
            </w:pPr>
            <w:r>
              <w:rPr>
                <w:rFonts w:ascii="Arial" w:cs="Arial" w:eastAsia="Arial" w:hAnsi="Arial"/>
                <w:sz w:val="14"/>
                <w:szCs w:val="14"/>
                <w:color w:val="auto"/>
              </w:rPr>
              <w:t>L+875</w:t>
            </w:r>
          </w:p>
        </w:tc>
        <w:tc>
          <w:tcPr>
            <w:tcW w:w="240" w:type="dxa"/>
            <w:vAlign w:val="bottom"/>
          </w:tcPr>
          <w:p>
            <w:pPr>
              <w:jc w:val="right"/>
              <w:ind w:right="19"/>
              <w:spacing w:after="0" w:line="130" w:lineRule="exact"/>
              <w:rPr>
                <w:sz w:val="20"/>
                <w:szCs w:val="20"/>
                <w:color w:val="auto"/>
              </w:rPr>
            </w:pPr>
            <w:r>
              <w:rPr>
                <w:rFonts w:ascii="Arial" w:cs="Arial" w:eastAsia="Arial" w:hAnsi="Arial"/>
                <w:sz w:val="12"/>
                <w:szCs w:val="12"/>
                <w:color w:val="auto"/>
                <w:w w:val="95"/>
              </w:rPr>
              <w:t>(8)</w:t>
            </w:r>
          </w:p>
        </w:tc>
        <w:tc>
          <w:tcPr>
            <w:tcW w:w="820" w:type="dxa"/>
            <w:vAlign w:val="bottom"/>
          </w:tcPr>
          <w:p>
            <w:pPr>
              <w:jc w:val="right"/>
              <w:ind w:right="28"/>
              <w:spacing w:after="0" w:line="130" w:lineRule="exact"/>
              <w:rPr>
                <w:sz w:val="20"/>
                <w:szCs w:val="20"/>
                <w:color w:val="auto"/>
              </w:rPr>
            </w:pPr>
            <w:r>
              <w:rPr>
                <w:rFonts w:ascii="Arial" w:cs="Arial" w:eastAsia="Arial" w:hAnsi="Arial"/>
                <w:sz w:val="14"/>
                <w:szCs w:val="14"/>
                <w:color w:val="auto"/>
                <w:w w:val="99"/>
              </w:rPr>
              <w:t>19,000,000</w:t>
            </w:r>
          </w:p>
        </w:tc>
        <w:tc>
          <w:tcPr>
            <w:tcW w:w="920" w:type="dxa"/>
            <w:vAlign w:val="bottom"/>
            <w:gridSpan w:val="3"/>
          </w:tcPr>
          <w:p>
            <w:pPr>
              <w:jc w:val="right"/>
              <w:ind w:right="20"/>
              <w:spacing w:after="0" w:line="130" w:lineRule="exact"/>
              <w:rPr>
                <w:sz w:val="20"/>
                <w:szCs w:val="20"/>
                <w:color w:val="auto"/>
              </w:rPr>
            </w:pPr>
            <w:r>
              <w:rPr>
                <w:rFonts w:ascii="Arial" w:cs="Arial" w:eastAsia="Arial" w:hAnsi="Arial"/>
                <w:sz w:val="14"/>
                <w:szCs w:val="14"/>
                <w:color w:val="auto"/>
              </w:rPr>
              <w:t>18,622,830</w:t>
            </w:r>
          </w:p>
        </w:tc>
        <w:tc>
          <w:tcPr>
            <w:tcW w:w="140" w:type="dxa"/>
            <w:vAlign w:val="bottom"/>
          </w:tcPr>
          <w:p>
            <w:pPr>
              <w:spacing w:after="0"/>
              <w:rPr>
                <w:sz w:val="11"/>
                <w:szCs w:val="11"/>
                <w:color w:val="auto"/>
              </w:rPr>
            </w:pPr>
          </w:p>
        </w:tc>
        <w:tc>
          <w:tcPr>
            <w:tcW w:w="980" w:type="dxa"/>
            <w:vAlign w:val="bottom"/>
            <w:gridSpan w:val="2"/>
          </w:tcPr>
          <w:p>
            <w:pPr>
              <w:jc w:val="right"/>
              <w:ind w:right="140"/>
              <w:spacing w:after="0" w:line="130" w:lineRule="exact"/>
              <w:rPr>
                <w:sz w:val="20"/>
                <w:szCs w:val="20"/>
                <w:color w:val="auto"/>
              </w:rPr>
            </w:pPr>
            <w:r>
              <w:rPr>
                <w:rFonts w:ascii="Arial" w:cs="Arial" w:eastAsia="Arial" w:hAnsi="Arial"/>
                <w:sz w:val="14"/>
                <w:szCs w:val="14"/>
                <w:color w:val="auto"/>
              </w:rPr>
              <w:t>19,190,000</w:t>
            </w:r>
          </w:p>
        </w:tc>
        <w:tc>
          <w:tcPr>
            <w:tcW w:w="0" w:type="dxa"/>
            <w:vAlign w:val="bottom"/>
          </w:tcPr>
          <w:p>
            <w:pPr>
              <w:spacing w:after="0"/>
              <w:rPr>
                <w:sz w:val="1"/>
                <w:szCs w:val="1"/>
                <w:color w:val="auto"/>
              </w:rPr>
            </w:pPr>
          </w:p>
        </w:tc>
      </w:tr>
      <w:tr>
        <w:trPr>
          <w:trHeight w:val="167"/>
        </w:trPr>
        <w:tc>
          <w:tcPr>
            <w:tcW w:w="37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480" w:type="dxa"/>
            <w:vAlign w:val="bottom"/>
          </w:tcPr>
          <w:p>
            <w:pPr>
              <w:jc w:val="center"/>
              <w:spacing w:after="0"/>
              <w:rPr>
                <w:sz w:val="20"/>
                <w:szCs w:val="20"/>
                <w:color w:val="auto"/>
              </w:rPr>
            </w:pPr>
            <w:r>
              <w:rPr>
                <w:rFonts w:ascii="Arial" w:cs="Arial" w:eastAsia="Arial" w:hAnsi="Arial"/>
                <w:sz w:val="14"/>
                <w:szCs w:val="14"/>
                <w:color w:val="auto"/>
                <w:w w:val="92"/>
              </w:rPr>
              <w:t>and Childcare</w:t>
            </w:r>
          </w:p>
        </w:tc>
        <w:tc>
          <w:tcPr>
            <w:tcW w:w="9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37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Eureka Hunter Pipeline, LLC</w:t>
            </w:r>
          </w:p>
        </w:tc>
        <w:tc>
          <w:tcPr>
            <w:tcW w:w="1240" w:type="dxa"/>
            <w:vAlign w:val="bottom"/>
            <w:shd w:val="clear" w:color="auto" w:fill="CCEEFF"/>
          </w:tcPr>
          <w:p>
            <w:pPr>
              <w:ind w:left="540"/>
              <w:spacing w:after="0" w:line="149" w:lineRule="exact"/>
              <w:rPr>
                <w:sz w:val="20"/>
                <w:szCs w:val="20"/>
                <w:color w:val="auto"/>
              </w:rPr>
            </w:pPr>
            <w:r>
              <w:rPr>
                <w:rFonts w:ascii="Arial" w:cs="Arial" w:eastAsia="Arial" w:hAnsi="Arial"/>
                <w:sz w:val="14"/>
                <w:szCs w:val="14"/>
                <w:color w:val="auto"/>
                <w:w w:val="96"/>
              </w:rPr>
              <w:t>08/16/2018</w:t>
            </w:r>
          </w:p>
        </w:tc>
        <w:tc>
          <w:tcPr>
            <w:tcW w:w="148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8"/>
              </w:rPr>
              <w:t>Energy/Utilities</w:t>
            </w:r>
          </w:p>
        </w:tc>
        <w:tc>
          <w:tcPr>
            <w:tcW w:w="940" w:type="dxa"/>
            <w:vAlign w:val="bottom"/>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rPr>
              <w:t>12.50%</w:t>
            </w: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2"/>
                <w:szCs w:val="12"/>
                <w:color w:val="auto"/>
              </w:rPr>
            </w:pPr>
          </w:p>
        </w:tc>
        <w:tc>
          <w:tcPr>
            <w:tcW w:w="820" w:type="dxa"/>
            <w:vAlign w:val="bottom"/>
            <w:shd w:val="clear" w:color="auto" w:fill="CCEEFF"/>
          </w:tcPr>
          <w:p>
            <w:pPr>
              <w:jc w:val="right"/>
              <w:ind w:right="28"/>
              <w:spacing w:after="0" w:line="149" w:lineRule="exact"/>
              <w:rPr>
                <w:sz w:val="20"/>
                <w:szCs w:val="20"/>
                <w:color w:val="auto"/>
              </w:rPr>
            </w:pPr>
            <w:r>
              <w:rPr>
                <w:rFonts w:ascii="Arial" w:cs="Arial" w:eastAsia="Arial" w:hAnsi="Arial"/>
                <w:sz w:val="14"/>
                <w:szCs w:val="14"/>
                <w:color w:val="auto"/>
                <w:w w:val="99"/>
              </w:rPr>
              <w:t>45,000,000</w:t>
            </w:r>
          </w:p>
        </w:tc>
        <w:tc>
          <w:tcPr>
            <w:tcW w:w="920" w:type="dxa"/>
            <w:vAlign w:val="bottom"/>
            <w:gridSpan w:val="3"/>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44,619,259</w:t>
            </w:r>
          </w:p>
        </w:tc>
        <w:tc>
          <w:tcPr>
            <w:tcW w:w="14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46,912,500</w:t>
            </w:r>
          </w:p>
        </w:tc>
        <w:tc>
          <w:tcPr>
            <w:tcW w:w="0" w:type="dxa"/>
            <w:vAlign w:val="bottom"/>
          </w:tcPr>
          <w:p>
            <w:pPr>
              <w:spacing w:after="0"/>
              <w:rPr>
                <w:sz w:val="1"/>
                <w:szCs w:val="1"/>
                <w:color w:val="auto"/>
              </w:rPr>
            </w:pPr>
          </w:p>
        </w:tc>
      </w:tr>
      <w:tr>
        <w:trPr>
          <w:trHeight w:val="130"/>
        </w:trPr>
        <w:tc>
          <w:tcPr>
            <w:tcW w:w="3740" w:type="dxa"/>
            <w:vAlign w:val="bottom"/>
          </w:tcPr>
          <w:p>
            <w:pPr>
              <w:spacing w:after="0" w:line="130" w:lineRule="exact"/>
              <w:rPr>
                <w:sz w:val="20"/>
                <w:szCs w:val="20"/>
                <w:color w:val="auto"/>
              </w:rPr>
            </w:pPr>
            <w:r>
              <w:rPr>
                <w:rFonts w:ascii="Arial" w:cs="Arial" w:eastAsia="Arial" w:hAnsi="Arial"/>
                <w:sz w:val="14"/>
                <w:szCs w:val="14"/>
                <w:color w:val="auto"/>
              </w:rPr>
              <w:t>Foundation Building Materials, LLC</w:t>
            </w:r>
          </w:p>
        </w:tc>
        <w:tc>
          <w:tcPr>
            <w:tcW w:w="1240" w:type="dxa"/>
            <w:vAlign w:val="bottom"/>
          </w:tcPr>
          <w:p>
            <w:pPr>
              <w:ind w:left="540"/>
              <w:spacing w:after="0" w:line="130" w:lineRule="exact"/>
              <w:rPr>
                <w:sz w:val="20"/>
                <w:szCs w:val="20"/>
                <w:color w:val="auto"/>
              </w:rPr>
            </w:pPr>
            <w:r>
              <w:rPr>
                <w:rFonts w:ascii="Arial" w:cs="Arial" w:eastAsia="Arial" w:hAnsi="Arial"/>
                <w:sz w:val="14"/>
                <w:szCs w:val="14"/>
                <w:color w:val="auto"/>
                <w:w w:val="96"/>
              </w:rPr>
              <w:t>04/30/2019</w:t>
            </w:r>
          </w:p>
        </w:tc>
        <w:tc>
          <w:tcPr>
            <w:tcW w:w="1480" w:type="dxa"/>
            <w:vAlign w:val="bottom"/>
          </w:tcPr>
          <w:p>
            <w:pPr>
              <w:jc w:val="center"/>
              <w:spacing w:after="0" w:line="130" w:lineRule="exact"/>
              <w:rPr>
                <w:sz w:val="20"/>
                <w:szCs w:val="20"/>
                <w:color w:val="auto"/>
              </w:rPr>
            </w:pPr>
            <w:r>
              <w:rPr>
                <w:rFonts w:ascii="Arial" w:cs="Arial" w:eastAsia="Arial" w:hAnsi="Arial"/>
                <w:sz w:val="14"/>
                <w:szCs w:val="14"/>
                <w:color w:val="auto"/>
                <w:w w:val="97"/>
              </w:rPr>
              <w:t>Building Materials</w:t>
            </w:r>
          </w:p>
        </w:tc>
        <w:tc>
          <w:tcPr>
            <w:tcW w:w="940" w:type="dxa"/>
            <w:vAlign w:val="bottom"/>
          </w:tcPr>
          <w:p>
            <w:pPr>
              <w:jc w:val="right"/>
              <w:ind w:right="48"/>
              <w:spacing w:after="0" w:line="130" w:lineRule="exact"/>
              <w:rPr>
                <w:sz w:val="20"/>
                <w:szCs w:val="20"/>
                <w:color w:val="auto"/>
              </w:rPr>
            </w:pPr>
            <w:r>
              <w:rPr>
                <w:rFonts w:ascii="Arial" w:cs="Arial" w:eastAsia="Arial" w:hAnsi="Arial"/>
                <w:sz w:val="14"/>
                <w:szCs w:val="14"/>
                <w:color w:val="auto"/>
              </w:rPr>
              <w:t>13.00%</w:t>
            </w:r>
          </w:p>
        </w:tc>
        <w:tc>
          <w:tcPr>
            <w:tcW w:w="740" w:type="dxa"/>
            <w:vAlign w:val="bottom"/>
          </w:tcPr>
          <w:p>
            <w:pPr>
              <w:jc w:val="right"/>
              <w:spacing w:after="0" w:line="130" w:lineRule="exact"/>
              <w:rPr>
                <w:sz w:val="20"/>
                <w:szCs w:val="20"/>
                <w:color w:val="auto"/>
              </w:rPr>
            </w:pPr>
            <w:r>
              <w:rPr>
                <w:rFonts w:ascii="Arial" w:cs="Arial" w:eastAsia="Arial" w:hAnsi="Arial"/>
                <w:sz w:val="14"/>
                <w:szCs w:val="14"/>
                <w:color w:val="auto"/>
              </w:rPr>
              <w:t>L+1,200</w:t>
            </w:r>
          </w:p>
        </w:tc>
        <w:tc>
          <w:tcPr>
            <w:tcW w:w="240" w:type="dxa"/>
            <w:vAlign w:val="bottom"/>
          </w:tcPr>
          <w:p>
            <w:pPr>
              <w:jc w:val="right"/>
              <w:ind w:right="19"/>
              <w:spacing w:after="0" w:line="130" w:lineRule="exact"/>
              <w:rPr>
                <w:sz w:val="20"/>
                <w:szCs w:val="20"/>
                <w:color w:val="auto"/>
              </w:rPr>
            </w:pPr>
            <w:r>
              <w:rPr>
                <w:rFonts w:ascii="Arial" w:cs="Arial" w:eastAsia="Arial" w:hAnsi="Arial"/>
                <w:sz w:val="12"/>
                <w:szCs w:val="12"/>
                <w:color w:val="auto"/>
                <w:w w:val="95"/>
              </w:rPr>
              <w:t>(8)</w:t>
            </w:r>
          </w:p>
        </w:tc>
        <w:tc>
          <w:tcPr>
            <w:tcW w:w="820" w:type="dxa"/>
            <w:vAlign w:val="bottom"/>
          </w:tcPr>
          <w:p>
            <w:pPr>
              <w:jc w:val="right"/>
              <w:ind w:right="28"/>
              <w:spacing w:after="0" w:line="130" w:lineRule="exact"/>
              <w:rPr>
                <w:sz w:val="20"/>
                <w:szCs w:val="20"/>
                <w:color w:val="auto"/>
              </w:rPr>
            </w:pPr>
            <w:r>
              <w:rPr>
                <w:rFonts w:ascii="Arial" w:cs="Arial" w:eastAsia="Arial" w:hAnsi="Arial"/>
                <w:sz w:val="14"/>
                <w:szCs w:val="14"/>
                <w:color w:val="auto"/>
                <w:w w:val="99"/>
              </w:rPr>
              <w:t>22,537,500</w:t>
            </w:r>
          </w:p>
        </w:tc>
        <w:tc>
          <w:tcPr>
            <w:tcW w:w="920" w:type="dxa"/>
            <w:vAlign w:val="bottom"/>
            <w:gridSpan w:val="3"/>
          </w:tcPr>
          <w:p>
            <w:pPr>
              <w:jc w:val="right"/>
              <w:ind w:right="20"/>
              <w:spacing w:after="0" w:line="130" w:lineRule="exact"/>
              <w:rPr>
                <w:sz w:val="20"/>
                <w:szCs w:val="20"/>
                <w:color w:val="auto"/>
              </w:rPr>
            </w:pPr>
            <w:r>
              <w:rPr>
                <w:rFonts w:ascii="Arial" w:cs="Arial" w:eastAsia="Arial" w:hAnsi="Arial"/>
                <w:sz w:val="14"/>
                <w:szCs w:val="14"/>
                <w:color w:val="auto"/>
              </w:rPr>
              <w:t>22,045,554</w:t>
            </w:r>
          </w:p>
        </w:tc>
        <w:tc>
          <w:tcPr>
            <w:tcW w:w="140" w:type="dxa"/>
            <w:vAlign w:val="bottom"/>
          </w:tcPr>
          <w:p>
            <w:pPr>
              <w:spacing w:after="0"/>
              <w:rPr>
                <w:sz w:val="11"/>
                <w:szCs w:val="11"/>
                <w:color w:val="auto"/>
              </w:rPr>
            </w:pPr>
          </w:p>
        </w:tc>
        <w:tc>
          <w:tcPr>
            <w:tcW w:w="980" w:type="dxa"/>
            <w:vAlign w:val="bottom"/>
            <w:gridSpan w:val="2"/>
          </w:tcPr>
          <w:p>
            <w:pPr>
              <w:jc w:val="right"/>
              <w:ind w:right="140"/>
              <w:spacing w:after="0" w:line="130" w:lineRule="exact"/>
              <w:rPr>
                <w:sz w:val="20"/>
                <w:szCs w:val="20"/>
                <w:color w:val="auto"/>
              </w:rPr>
            </w:pPr>
            <w:r>
              <w:rPr>
                <w:rFonts w:ascii="Arial" w:cs="Arial" w:eastAsia="Arial" w:hAnsi="Arial"/>
                <w:sz w:val="14"/>
                <w:szCs w:val="14"/>
                <w:color w:val="auto"/>
              </w:rPr>
              <w:t>22,237,447</w:t>
            </w:r>
          </w:p>
        </w:tc>
        <w:tc>
          <w:tcPr>
            <w:tcW w:w="0" w:type="dxa"/>
            <w:vAlign w:val="bottom"/>
          </w:tcPr>
          <w:p>
            <w:pPr>
              <w:spacing w:after="0"/>
              <w:rPr>
                <w:sz w:val="1"/>
                <w:szCs w:val="1"/>
                <w:color w:val="auto"/>
              </w:rPr>
            </w:pPr>
          </w:p>
        </w:tc>
      </w:tr>
      <w:tr>
        <w:trPr>
          <w:trHeight w:val="181"/>
        </w:trPr>
        <w:tc>
          <w:tcPr>
            <w:tcW w:w="37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(PIK 1.00%)</w:t>
            </w:r>
          </w:p>
        </w:tc>
        <w:tc>
          <w:tcPr>
            <w:tcW w:w="7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8"/>
        </w:trPr>
        <w:tc>
          <w:tcPr>
            <w:tcW w:w="37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 xml:space="preserve">Foundation Building Materials, LLC </w:t>
            </w:r>
            <w:r>
              <w:rPr>
                <w:rFonts w:ascii="Arial" w:cs="Arial" w:eastAsia="Arial" w:hAnsi="Arial"/>
                <w:sz w:val="12"/>
                <w:szCs w:val="12"/>
                <w:color w:val="auto"/>
              </w:rPr>
              <w:t>(9)</w:t>
            </w:r>
          </w:p>
        </w:tc>
        <w:tc>
          <w:tcPr>
            <w:tcW w:w="1240" w:type="dxa"/>
            <w:vAlign w:val="bottom"/>
            <w:shd w:val="clear" w:color="auto" w:fill="CCEEFF"/>
          </w:tcPr>
          <w:p>
            <w:pPr>
              <w:ind w:left="540"/>
              <w:spacing w:after="0" w:line="149" w:lineRule="exact"/>
              <w:rPr>
                <w:sz w:val="20"/>
                <w:szCs w:val="20"/>
                <w:color w:val="auto"/>
              </w:rPr>
            </w:pPr>
            <w:r>
              <w:rPr>
                <w:rFonts w:ascii="Arial" w:cs="Arial" w:eastAsia="Arial" w:hAnsi="Arial"/>
                <w:sz w:val="14"/>
                <w:szCs w:val="14"/>
                <w:color w:val="auto"/>
                <w:w w:val="96"/>
              </w:rPr>
              <w:t>10/30/2015</w:t>
            </w:r>
          </w:p>
        </w:tc>
        <w:tc>
          <w:tcPr>
            <w:tcW w:w="148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7"/>
              </w:rPr>
              <w:t>Building Materials</w:t>
            </w:r>
          </w:p>
        </w:tc>
        <w:tc>
          <w:tcPr>
            <w:tcW w:w="940" w:type="dxa"/>
            <w:vAlign w:val="bottom"/>
            <w:shd w:val="clear" w:color="auto" w:fill="CCEEFF"/>
          </w:tcPr>
          <w:p>
            <w:pPr>
              <w:jc w:val="right"/>
              <w:ind w:right="228"/>
              <w:spacing w:after="0" w:line="149" w:lineRule="exact"/>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2"/>
                <w:szCs w:val="12"/>
                <w:color w:val="auto"/>
              </w:rPr>
            </w:pPr>
          </w:p>
        </w:tc>
        <w:tc>
          <w:tcPr>
            <w:tcW w:w="820" w:type="dxa"/>
            <w:vAlign w:val="bottom"/>
            <w:shd w:val="clear" w:color="auto" w:fill="CCEEFF"/>
          </w:tcPr>
          <w:p>
            <w:pPr>
              <w:jc w:val="right"/>
              <w:ind w:right="28"/>
              <w:spacing w:after="0" w:line="149" w:lineRule="exact"/>
              <w:rPr>
                <w:sz w:val="20"/>
                <w:szCs w:val="20"/>
                <w:color w:val="auto"/>
              </w:rPr>
            </w:pPr>
            <w:r>
              <w:rPr>
                <w:rFonts w:ascii="Arial" w:cs="Arial" w:eastAsia="Arial" w:hAnsi="Arial"/>
                <w:sz w:val="14"/>
                <w:szCs w:val="14"/>
                <w:color w:val="auto"/>
                <w:w w:val="99"/>
              </w:rPr>
              <w:t>10,000,000</w:t>
            </w:r>
          </w:p>
        </w:tc>
        <w:tc>
          <w:tcPr>
            <w:tcW w:w="920" w:type="dxa"/>
            <w:vAlign w:val="bottom"/>
            <w:gridSpan w:val="3"/>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9,825,000</w:t>
            </w:r>
          </w:p>
        </w:tc>
        <w:tc>
          <w:tcPr>
            <w:tcW w:w="14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9,866,865</w:t>
            </w:r>
          </w:p>
        </w:tc>
        <w:tc>
          <w:tcPr>
            <w:tcW w:w="0" w:type="dxa"/>
            <w:vAlign w:val="bottom"/>
          </w:tcPr>
          <w:p>
            <w:pPr>
              <w:spacing w:after="0"/>
              <w:rPr>
                <w:sz w:val="1"/>
                <w:szCs w:val="1"/>
                <w:color w:val="auto"/>
              </w:rPr>
            </w:pPr>
          </w:p>
        </w:tc>
      </w:tr>
      <w:tr>
        <w:trPr>
          <w:trHeight w:val="148"/>
        </w:trPr>
        <w:tc>
          <w:tcPr>
            <w:tcW w:w="3740" w:type="dxa"/>
            <w:vAlign w:val="bottom"/>
          </w:tcPr>
          <w:p>
            <w:pPr>
              <w:spacing w:after="0" w:line="149" w:lineRule="exact"/>
              <w:rPr>
                <w:sz w:val="20"/>
                <w:szCs w:val="20"/>
                <w:color w:val="auto"/>
              </w:rPr>
            </w:pPr>
            <w:r>
              <w:rPr>
                <w:rFonts w:ascii="Arial" w:cs="Arial" w:eastAsia="Arial" w:hAnsi="Arial"/>
                <w:sz w:val="14"/>
                <w:szCs w:val="14"/>
                <w:color w:val="auto"/>
              </w:rPr>
              <w:t>ILC Industries, LLC</w:t>
            </w:r>
          </w:p>
        </w:tc>
        <w:tc>
          <w:tcPr>
            <w:tcW w:w="1240" w:type="dxa"/>
            <w:vAlign w:val="bottom"/>
          </w:tcPr>
          <w:p>
            <w:pPr>
              <w:ind w:left="540"/>
              <w:spacing w:after="0" w:line="149" w:lineRule="exact"/>
              <w:rPr>
                <w:sz w:val="20"/>
                <w:szCs w:val="20"/>
                <w:color w:val="auto"/>
              </w:rPr>
            </w:pPr>
            <w:r>
              <w:rPr>
                <w:rFonts w:ascii="Arial" w:cs="Arial" w:eastAsia="Arial" w:hAnsi="Arial"/>
                <w:sz w:val="14"/>
                <w:szCs w:val="14"/>
                <w:color w:val="auto"/>
                <w:w w:val="96"/>
              </w:rPr>
              <w:t>06/14/2019</w:t>
            </w:r>
          </w:p>
        </w:tc>
        <w:tc>
          <w:tcPr>
            <w:tcW w:w="1480" w:type="dxa"/>
            <w:vAlign w:val="bottom"/>
          </w:tcPr>
          <w:p>
            <w:pPr>
              <w:jc w:val="center"/>
              <w:spacing w:after="0" w:line="149" w:lineRule="exact"/>
              <w:rPr>
                <w:sz w:val="20"/>
                <w:szCs w:val="20"/>
                <w:color w:val="auto"/>
              </w:rPr>
            </w:pPr>
            <w:r>
              <w:rPr>
                <w:rFonts w:ascii="Arial" w:cs="Arial" w:eastAsia="Arial" w:hAnsi="Arial"/>
                <w:sz w:val="14"/>
                <w:szCs w:val="14"/>
                <w:color w:val="auto"/>
                <w:w w:val="96"/>
              </w:rPr>
              <w:t>Electronics</w:t>
            </w:r>
          </w:p>
        </w:tc>
        <w:tc>
          <w:tcPr>
            <w:tcW w:w="940" w:type="dxa"/>
            <w:vAlign w:val="bottom"/>
          </w:tcPr>
          <w:p>
            <w:pPr>
              <w:jc w:val="right"/>
              <w:ind w:right="48"/>
              <w:spacing w:after="0" w:line="149" w:lineRule="exact"/>
              <w:rPr>
                <w:sz w:val="20"/>
                <w:szCs w:val="20"/>
                <w:color w:val="auto"/>
              </w:rPr>
            </w:pPr>
            <w:r>
              <w:rPr>
                <w:rFonts w:ascii="Arial" w:cs="Arial" w:eastAsia="Arial" w:hAnsi="Arial"/>
                <w:sz w:val="14"/>
                <w:szCs w:val="14"/>
                <w:color w:val="auto"/>
              </w:rPr>
              <w:t>11.50%</w:t>
            </w: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L+1,000</w:t>
            </w:r>
          </w:p>
        </w:tc>
        <w:tc>
          <w:tcPr>
            <w:tcW w:w="240" w:type="dxa"/>
            <w:vAlign w:val="bottom"/>
          </w:tcPr>
          <w:p>
            <w:pPr>
              <w:jc w:val="right"/>
              <w:ind w:right="19"/>
              <w:spacing w:after="0"/>
              <w:rPr>
                <w:sz w:val="20"/>
                <w:szCs w:val="20"/>
                <w:color w:val="auto"/>
              </w:rPr>
            </w:pPr>
            <w:r>
              <w:rPr>
                <w:rFonts w:ascii="Arial" w:cs="Arial" w:eastAsia="Arial" w:hAnsi="Arial"/>
                <w:sz w:val="12"/>
                <w:szCs w:val="12"/>
                <w:color w:val="auto"/>
                <w:w w:val="95"/>
              </w:rPr>
              <w:t>(8)</w:t>
            </w:r>
          </w:p>
        </w:tc>
        <w:tc>
          <w:tcPr>
            <w:tcW w:w="820" w:type="dxa"/>
            <w:vAlign w:val="bottom"/>
          </w:tcPr>
          <w:p>
            <w:pPr>
              <w:jc w:val="right"/>
              <w:ind w:right="28"/>
              <w:spacing w:after="0" w:line="149" w:lineRule="exact"/>
              <w:rPr>
                <w:sz w:val="20"/>
                <w:szCs w:val="20"/>
                <w:color w:val="auto"/>
              </w:rPr>
            </w:pPr>
            <w:r>
              <w:rPr>
                <w:rFonts w:ascii="Arial" w:cs="Arial" w:eastAsia="Arial" w:hAnsi="Arial"/>
                <w:sz w:val="14"/>
                <w:szCs w:val="14"/>
                <w:color w:val="auto"/>
              </w:rPr>
              <w:t>7,500,000</w:t>
            </w:r>
          </w:p>
        </w:tc>
        <w:tc>
          <w:tcPr>
            <w:tcW w:w="920" w:type="dxa"/>
            <w:vAlign w:val="bottom"/>
            <w:gridSpan w:val="3"/>
          </w:tcPr>
          <w:p>
            <w:pPr>
              <w:jc w:val="right"/>
              <w:ind w:right="20"/>
              <w:spacing w:after="0" w:line="149" w:lineRule="exact"/>
              <w:rPr>
                <w:sz w:val="20"/>
                <w:szCs w:val="20"/>
                <w:color w:val="auto"/>
              </w:rPr>
            </w:pPr>
            <w:r>
              <w:rPr>
                <w:rFonts w:ascii="Arial" w:cs="Arial" w:eastAsia="Arial" w:hAnsi="Arial"/>
                <w:sz w:val="14"/>
                <w:szCs w:val="14"/>
                <w:color w:val="auto"/>
              </w:rPr>
              <w:t>7,209,612</w:t>
            </w:r>
          </w:p>
        </w:tc>
        <w:tc>
          <w:tcPr>
            <w:tcW w:w="140" w:type="dxa"/>
            <w:vAlign w:val="bottom"/>
          </w:tcPr>
          <w:p>
            <w:pPr>
              <w:spacing w:after="0"/>
              <w:rPr>
                <w:sz w:val="12"/>
                <w:szCs w:val="12"/>
                <w:color w:val="auto"/>
              </w:rPr>
            </w:pPr>
          </w:p>
        </w:tc>
        <w:tc>
          <w:tcPr>
            <w:tcW w:w="98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7,125,000</w:t>
            </w:r>
          </w:p>
        </w:tc>
        <w:tc>
          <w:tcPr>
            <w:tcW w:w="0" w:type="dxa"/>
            <w:vAlign w:val="bottom"/>
          </w:tcPr>
          <w:p>
            <w:pPr>
              <w:spacing w:after="0"/>
              <w:rPr>
                <w:sz w:val="1"/>
                <w:szCs w:val="1"/>
                <w:color w:val="auto"/>
              </w:rPr>
            </w:pPr>
          </w:p>
        </w:tc>
      </w:tr>
      <w:tr>
        <w:trPr>
          <w:trHeight w:val="130"/>
        </w:trPr>
        <w:tc>
          <w:tcPr>
            <w:tcW w:w="374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 xml:space="preserve">Intermediate Transportation 100, L.L.C. </w:t>
            </w:r>
            <w:r>
              <w:rPr>
                <w:rFonts w:ascii="Arial" w:cs="Arial" w:eastAsia="Arial" w:hAnsi="Arial"/>
                <w:sz w:val="12"/>
                <w:szCs w:val="12"/>
                <w:color w:val="auto"/>
              </w:rPr>
              <w:t>(5)</w:t>
            </w:r>
          </w:p>
        </w:tc>
        <w:tc>
          <w:tcPr>
            <w:tcW w:w="1240" w:type="dxa"/>
            <w:vAlign w:val="bottom"/>
            <w:shd w:val="clear" w:color="auto" w:fill="CCEEFF"/>
          </w:tcPr>
          <w:p>
            <w:pPr>
              <w:ind w:left="540"/>
              <w:spacing w:after="0" w:line="130" w:lineRule="exact"/>
              <w:rPr>
                <w:sz w:val="20"/>
                <w:szCs w:val="20"/>
                <w:color w:val="auto"/>
              </w:rPr>
            </w:pPr>
            <w:r>
              <w:rPr>
                <w:rFonts w:ascii="Arial" w:cs="Arial" w:eastAsia="Arial" w:hAnsi="Arial"/>
                <w:sz w:val="14"/>
                <w:szCs w:val="14"/>
                <w:color w:val="auto"/>
                <w:w w:val="96"/>
              </w:rPr>
              <w:t>03/01/2017</w:t>
            </w:r>
          </w:p>
        </w:tc>
        <w:tc>
          <w:tcPr>
            <w:tcW w:w="1480" w:type="dxa"/>
            <w:vAlign w:val="bottom"/>
            <w:shd w:val="clear" w:color="auto" w:fill="CCEEFF"/>
          </w:tcPr>
          <w:p>
            <w:pPr>
              <w:jc w:val="center"/>
              <w:spacing w:after="0" w:line="130" w:lineRule="exact"/>
              <w:rPr>
                <w:sz w:val="20"/>
                <w:szCs w:val="20"/>
                <w:color w:val="auto"/>
              </w:rPr>
            </w:pPr>
            <w:r>
              <w:rPr>
                <w:rFonts w:ascii="Arial" w:cs="Arial" w:eastAsia="Arial" w:hAnsi="Arial"/>
                <w:sz w:val="14"/>
                <w:szCs w:val="14"/>
                <w:color w:val="auto"/>
                <w:w w:val="92"/>
              </w:rPr>
              <w:t>Cargo Transport</w:t>
            </w:r>
          </w:p>
        </w:tc>
        <w:tc>
          <w:tcPr>
            <w:tcW w:w="940" w:type="dxa"/>
            <w:vAlign w:val="bottom"/>
            <w:shd w:val="clear" w:color="auto" w:fill="CCEEFF"/>
          </w:tcPr>
          <w:p>
            <w:pPr>
              <w:jc w:val="right"/>
              <w:ind w:right="48"/>
              <w:spacing w:after="0" w:line="130" w:lineRule="exact"/>
              <w:rPr>
                <w:sz w:val="20"/>
                <w:szCs w:val="20"/>
                <w:color w:val="auto"/>
              </w:rPr>
            </w:pPr>
            <w:r>
              <w:rPr>
                <w:rFonts w:ascii="Arial" w:cs="Arial" w:eastAsia="Arial" w:hAnsi="Arial"/>
                <w:sz w:val="14"/>
                <w:szCs w:val="14"/>
                <w:color w:val="auto"/>
              </w:rPr>
              <w:t>11.00%</w:t>
            </w:r>
          </w:p>
        </w:tc>
        <w:tc>
          <w:tcPr>
            <w:tcW w:w="740" w:type="dxa"/>
            <w:vAlign w:val="bottom"/>
            <w:shd w:val="clear" w:color="auto" w:fill="CCEEFF"/>
          </w:tcPr>
          <w:p>
            <w:pPr>
              <w:jc w:val="right"/>
              <w:spacing w:after="0" w:line="130" w:lineRule="exact"/>
              <w:rPr>
                <w:sz w:val="20"/>
                <w:szCs w:val="20"/>
                <w:color w:val="auto"/>
              </w:rPr>
            </w:pPr>
            <w:r>
              <w:rPr>
                <w:rFonts w:ascii="Arial" w:cs="Arial" w:eastAsia="Arial" w:hAnsi="Arial"/>
                <w:sz w:val="14"/>
                <w:szCs w:val="14"/>
                <w:color w:val="auto"/>
              </w:rPr>
              <w:t>L+700</w:t>
            </w:r>
          </w:p>
        </w:tc>
        <w:tc>
          <w:tcPr>
            <w:tcW w:w="240" w:type="dxa"/>
            <w:vAlign w:val="bottom"/>
            <w:shd w:val="clear" w:color="auto" w:fill="CCEEFF"/>
          </w:tcPr>
          <w:p>
            <w:pPr>
              <w:jc w:val="right"/>
              <w:ind w:right="19"/>
              <w:spacing w:after="0" w:line="130" w:lineRule="exact"/>
              <w:rPr>
                <w:sz w:val="20"/>
                <w:szCs w:val="20"/>
                <w:color w:val="auto"/>
              </w:rPr>
            </w:pPr>
            <w:r>
              <w:rPr>
                <w:rFonts w:ascii="Arial" w:cs="Arial" w:eastAsia="Arial" w:hAnsi="Arial"/>
                <w:sz w:val="12"/>
                <w:szCs w:val="12"/>
                <w:color w:val="auto"/>
                <w:w w:val="95"/>
              </w:rPr>
              <w:t>(8)</w:t>
            </w:r>
          </w:p>
        </w:tc>
        <w:tc>
          <w:tcPr>
            <w:tcW w:w="820" w:type="dxa"/>
            <w:vAlign w:val="bottom"/>
            <w:shd w:val="clear" w:color="auto" w:fill="CCEEFF"/>
          </w:tcPr>
          <w:p>
            <w:pPr>
              <w:jc w:val="right"/>
              <w:ind w:right="28"/>
              <w:spacing w:after="0" w:line="130" w:lineRule="exact"/>
              <w:rPr>
                <w:sz w:val="20"/>
                <w:szCs w:val="20"/>
                <w:color w:val="auto"/>
              </w:rPr>
            </w:pPr>
            <w:r>
              <w:rPr>
                <w:rFonts w:ascii="Arial" w:cs="Arial" w:eastAsia="Arial" w:hAnsi="Arial"/>
                <w:sz w:val="14"/>
                <w:szCs w:val="14"/>
                <w:color w:val="auto"/>
              </w:rPr>
              <w:t>3,544,830</w:t>
            </w:r>
          </w:p>
        </w:tc>
        <w:tc>
          <w:tcPr>
            <w:tcW w:w="920" w:type="dxa"/>
            <w:vAlign w:val="bottom"/>
            <w:gridSpan w:val="3"/>
            <w:shd w:val="clear" w:color="auto" w:fill="CCEEFF"/>
          </w:tcPr>
          <w:p>
            <w:pPr>
              <w:jc w:val="right"/>
              <w:ind w:right="20"/>
              <w:spacing w:after="0" w:line="130" w:lineRule="exact"/>
              <w:rPr>
                <w:sz w:val="20"/>
                <w:szCs w:val="20"/>
                <w:color w:val="auto"/>
              </w:rPr>
            </w:pPr>
            <w:r>
              <w:rPr>
                <w:rFonts w:ascii="Arial" w:cs="Arial" w:eastAsia="Arial" w:hAnsi="Arial"/>
                <w:sz w:val="14"/>
                <w:szCs w:val="14"/>
                <w:color w:val="auto"/>
              </w:rPr>
              <w:t>3,544,832</w:t>
            </w:r>
          </w:p>
        </w:tc>
        <w:tc>
          <w:tcPr>
            <w:tcW w:w="140" w:type="dxa"/>
            <w:vAlign w:val="bottom"/>
            <w:shd w:val="clear" w:color="auto" w:fill="CCEEFF"/>
          </w:tcPr>
          <w:p>
            <w:pPr>
              <w:spacing w:after="0"/>
              <w:rPr>
                <w:sz w:val="11"/>
                <w:szCs w:val="11"/>
                <w:color w:val="auto"/>
              </w:rPr>
            </w:pPr>
          </w:p>
        </w:tc>
        <w:tc>
          <w:tcPr>
            <w:tcW w:w="980" w:type="dxa"/>
            <w:vAlign w:val="bottom"/>
            <w:gridSpan w:val="2"/>
            <w:shd w:val="clear" w:color="auto" w:fill="CCEEFF"/>
          </w:tcPr>
          <w:p>
            <w:pPr>
              <w:jc w:val="right"/>
              <w:ind w:right="140"/>
              <w:spacing w:after="0" w:line="130" w:lineRule="exact"/>
              <w:rPr>
                <w:sz w:val="20"/>
                <w:szCs w:val="20"/>
                <w:color w:val="auto"/>
              </w:rPr>
            </w:pPr>
            <w:r>
              <w:rPr>
                <w:rFonts w:ascii="Arial" w:cs="Arial" w:eastAsia="Arial" w:hAnsi="Arial"/>
                <w:sz w:val="14"/>
                <w:szCs w:val="14"/>
                <w:color w:val="auto"/>
              </w:rPr>
              <w:t>3,544,830</w:t>
            </w:r>
          </w:p>
        </w:tc>
        <w:tc>
          <w:tcPr>
            <w:tcW w:w="0" w:type="dxa"/>
            <w:vAlign w:val="bottom"/>
          </w:tcPr>
          <w:p>
            <w:pPr>
              <w:spacing w:after="0"/>
              <w:rPr>
                <w:sz w:val="1"/>
                <w:szCs w:val="1"/>
                <w:color w:val="auto"/>
              </w:rPr>
            </w:pPr>
          </w:p>
        </w:tc>
      </w:tr>
      <w:tr>
        <w:trPr>
          <w:trHeight w:val="181"/>
        </w:trPr>
        <w:tc>
          <w:tcPr>
            <w:tcW w:w="374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148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(PIK 11.00%)</w:t>
            </w:r>
          </w:p>
        </w:tc>
        <w:tc>
          <w:tcPr>
            <w:tcW w:w="7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30"/>
        </w:trPr>
        <w:tc>
          <w:tcPr>
            <w:tcW w:w="3740" w:type="dxa"/>
            <w:vAlign w:val="bottom"/>
          </w:tcPr>
          <w:p>
            <w:pPr>
              <w:spacing w:after="0" w:line="130" w:lineRule="exact"/>
              <w:rPr>
                <w:sz w:val="20"/>
                <w:szCs w:val="20"/>
                <w:color w:val="auto"/>
              </w:rPr>
            </w:pPr>
            <w:r>
              <w:rPr>
                <w:rFonts w:ascii="Arial" w:cs="Arial" w:eastAsia="Arial" w:hAnsi="Arial"/>
                <w:sz w:val="14"/>
                <w:szCs w:val="14"/>
                <w:color w:val="auto"/>
              </w:rPr>
              <w:t>Jacobs Entertainment, Inc.</w:t>
            </w:r>
          </w:p>
        </w:tc>
        <w:tc>
          <w:tcPr>
            <w:tcW w:w="1240" w:type="dxa"/>
            <w:vAlign w:val="bottom"/>
          </w:tcPr>
          <w:p>
            <w:pPr>
              <w:ind w:left="540"/>
              <w:spacing w:after="0" w:line="130" w:lineRule="exact"/>
              <w:rPr>
                <w:sz w:val="20"/>
                <w:szCs w:val="20"/>
                <w:color w:val="auto"/>
              </w:rPr>
            </w:pPr>
            <w:r>
              <w:rPr>
                <w:rFonts w:ascii="Arial" w:cs="Arial" w:eastAsia="Arial" w:hAnsi="Arial"/>
                <w:sz w:val="14"/>
                <w:szCs w:val="14"/>
                <w:color w:val="auto"/>
                <w:w w:val="96"/>
              </w:rPr>
              <w:t>10/29/2019</w:t>
            </w:r>
          </w:p>
        </w:tc>
        <w:tc>
          <w:tcPr>
            <w:tcW w:w="1480" w:type="dxa"/>
            <w:vAlign w:val="bottom"/>
          </w:tcPr>
          <w:p>
            <w:pPr>
              <w:jc w:val="center"/>
              <w:spacing w:after="0" w:line="130" w:lineRule="exact"/>
              <w:rPr>
                <w:sz w:val="20"/>
                <w:szCs w:val="20"/>
                <w:color w:val="auto"/>
              </w:rPr>
            </w:pPr>
            <w:r>
              <w:rPr>
                <w:rFonts w:ascii="Arial" w:cs="Arial" w:eastAsia="Arial" w:hAnsi="Arial"/>
                <w:sz w:val="14"/>
                <w:szCs w:val="14"/>
                <w:color w:val="auto"/>
                <w:w w:val="95"/>
              </w:rPr>
              <w:t>Hotels, Motels, Inns</w:t>
            </w:r>
          </w:p>
        </w:tc>
        <w:tc>
          <w:tcPr>
            <w:tcW w:w="940" w:type="dxa"/>
            <w:vAlign w:val="bottom"/>
          </w:tcPr>
          <w:p>
            <w:pPr>
              <w:jc w:val="right"/>
              <w:ind w:right="48"/>
              <w:spacing w:after="0" w:line="130" w:lineRule="exact"/>
              <w:rPr>
                <w:sz w:val="20"/>
                <w:szCs w:val="20"/>
                <w:color w:val="auto"/>
              </w:rPr>
            </w:pPr>
            <w:r>
              <w:rPr>
                <w:rFonts w:ascii="Arial" w:cs="Arial" w:eastAsia="Arial" w:hAnsi="Arial"/>
                <w:sz w:val="14"/>
                <w:szCs w:val="14"/>
                <w:color w:val="auto"/>
              </w:rPr>
              <w:t>13.00%</w:t>
            </w:r>
          </w:p>
        </w:tc>
        <w:tc>
          <w:tcPr>
            <w:tcW w:w="740" w:type="dxa"/>
            <w:vAlign w:val="bottom"/>
          </w:tcPr>
          <w:p>
            <w:pPr>
              <w:jc w:val="right"/>
              <w:spacing w:after="0" w:line="130" w:lineRule="exact"/>
              <w:rPr>
                <w:sz w:val="20"/>
                <w:szCs w:val="20"/>
                <w:color w:val="auto"/>
              </w:rPr>
            </w:pPr>
            <w:r>
              <w:rPr>
                <w:rFonts w:ascii="Arial" w:cs="Arial" w:eastAsia="Arial" w:hAnsi="Arial"/>
                <w:sz w:val="14"/>
                <w:szCs w:val="14"/>
                <w:color w:val="auto"/>
              </w:rPr>
              <w:t>L+1,175</w:t>
            </w:r>
          </w:p>
        </w:tc>
        <w:tc>
          <w:tcPr>
            <w:tcW w:w="240" w:type="dxa"/>
            <w:vAlign w:val="bottom"/>
          </w:tcPr>
          <w:p>
            <w:pPr>
              <w:jc w:val="right"/>
              <w:ind w:right="19"/>
              <w:spacing w:after="0" w:line="130" w:lineRule="exact"/>
              <w:rPr>
                <w:sz w:val="20"/>
                <w:szCs w:val="20"/>
                <w:color w:val="auto"/>
              </w:rPr>
            </w:pPr>
            <w:r>
              <w:rPr>
                <w:rFonts w:ascii="Arial" w:cs="Arial" w:eastAsia="Arial" w:hAnsi="Arial"/>
                <w:sz w:val="12"/>
                <w:szCs w:val="12"/>
                <w:color w:val="auto"/>
                <w:w w:val="95"/>
              </w:rPr>
              <w:t>(8)</w:t>
            </w:r>
          </w:p>
        </w:tc>
        <w:tc>
          <w:tcPr>
            <w:tcW w:w="820" w:type="dxa"/>
            <w:vAlign w:val="bottom"/>
          </w:tcPr>
          <w:p>
            <w:pPr>
              <w:jc w:val="right"/>
              <w:ind w:right="28"/>
              <w:spacing w:after="0" w:line="130" w:lineRule="exact"/>
              <w:rPr>
                <w:sz w:val="20"/>
                <w:szCs w:val="20"/>
                <w:color w:val="auto"/>
              </w:rPr>
            </w:pPr>
            <w:r>
              <w:rPr>
                <w:rFonts w:ascii="Arial" w:cs="Arial" w:eastAsia="Arial" w:hAnsi="Arial"/>
                <w:sz w:val="14"/>
                <w:szCs w:val="14"/>
                <w:color w:val="auto"/>
                <w:w w:val="99"/>
              </w:rPr>
              <w:t>38,950,000</w:t>
            </w:r>
          </w:p>
        </w:tc>
        <w:tc>
          <w:tcPr>
            <w:tcW w:w="920" w:type="dxa"/>
            <w:vAlign w:val="bottom"/>
            <w:gridSpan w:val="3"/>
          </w:tcPr>
          <w:p>
            <w:pPr>
              <w:jc w:val="right"/>
              <w:ind w:right="20"/>
              <w:spacing w:after="0" w:line="130" w:lineRule="exact"/>
              <w:rPr>
                <w:sz w:val="20"/>
                <w:szCs w:val="20"/>
                <w:color w:val="auto"/>
              </w:rPr>
            </w:pPr>
            <w:r>
              <w:rPr>
                <w:rFonts w:ascii="Arial" w:cs="Arial" w:eastAsia="Arial" w:hAnsi="Arial"/>
                <w:sz w:val="14"/>
                <w:szCs w:val="14"/>
                <w:color w:val="auto"/>
              </w:rPr>
              <w:t>38,292,710</w:t>
            </w:r>
          </w:p>
        </w:tc>
        <w:tc>
          <w:tcPr>
            <w:tcW w:w="140" w:type="dxa"/>
            <w:vAlign w:val="bottom"/>
          </w:tcPr>
          <w:p>
            <w:pPr>
              <w:spacing w:after="0"/>
              <w:rPr>
                <w:sz w:val="11"/>
                <w:szCs w:val="11"/>
                <w:color w:val="auto"/>
              </w:rPr>
            </w:pPr>
          </w:p>
        </w:tc>
        <w:tc>
          <w:tcPr>
            <w:tcW w:w="980" w:type="dxa"/>
            <w:vAlign w:val="bottom"/>
            <w:gridSpan w:val="2"/>
          </w:tcPr>
          <w:p>
            <w:pPr>
              <w:jc w:val="right"/>
              <w:ind w:right="140"/>
              <w:spacing w:after="0" w:line="130" w:lineRule="exact"/>
              <w:rPr>
                <w:sz w:val="20"/>
                <w:szCs w:val="20"/>
                <w:color w:val="auto"/>
              </w:rPr>
            </w:pPr>
            <w:r>
              <w:rPr>
                <w:rFonts w:ascii="Arial" w:cs="Arial" w:eastAsia="Arial" w:hAnsi="Arial"/>
                <w:sz w:val="14"/>
                <w:szCs w:val="14"/>
                <w:color w:val="auto"/>
              </w:rPr>
              <w:t>38,950,000</w:t>
            </w:r>
          </w:p>
        </w:tc>
        <w:tc>
          <w:tcPr>
            <w:tcW w:w="0" w:type="dxa"/>
            <w:vAlign w:val="bottom"/>
          </w:tcPr>
          <w:p>
            <w:pPr>
              <w:spacing w:after="0"/>
              <w:rPr>
                <w:sz w:val="1"/>
                <w:szCs w:val="1"/>
                <w:color w:val="auto"/>
              </w:rPr>
            </w:pPr>
          </w:p>
        </w:tc>
      </w:tr>
      <w:tr>
        <w:trPr>
          <w:trHeight w:val="167"/>
        </w:trPr>
        <w:tc>
          <w:tcPr>
            <w:tcW w:w="37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480" w:type="dxa"/>
            <w:vAlign w:val="bottom"/>
          </w:tcPr>
          <w:p>
            <w:pPr>
              <w:jc w:val="center"/>
              <w:spacing w:after="0"/>
              <w:rPr>
                <w:sz w:val="20"/>
                <w:szCs w:val="20"/>
                <w:color w:val="auto"/>
              </w:rPr>
            </w:pPr>
            <w:r>
              <w:rPr>
                <w:rFonts w:ascii="Arial" w:cs="Arial" w:eastAsia="Arial" w:hAnsi="Arial"/>
                <w:sz w:val="14"/>
                <w:szCs w:val="14"/>
                <w:color w:val="auto"/>
                <w:w w:val="91"/>
              </w:rPr>
              <w:t>and Gaming</w:t>
            </w:r>
          </w:p>
        </w:tc>
        <w:tc>
          <w:tcPr>
            <w:tcW w:w="9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7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KIK Custom Products, Inc.</w:t>
            </w:r>
          </w:p>
        </w:tc>
        <w:tc>
          <w:tcPr>
            <w:tcW w:w="1240" w:type="dxa"/>
            <w:vAlign w:val="bottom"/>
            <w:shd w:val="clear" w:color="auto" w:fill="CCEEFF"/>
          </w:tcPr>
          <w:p>
            <w:pPr>
              <w:ind w:left="540"/>
              <w:spacing w:after="0" w:line="149" w:lineRule="exact"/>
              <w:rPr>
                <w:sz w:val="20"/>
                <w:szCs w:val="20"/>
                <w:color w:val="auto"/>
              </w:rPr>
            </w:pPr>
            <w:r>
              <w:rPr>
                <w:rFonts w:ascii="Arial" w:cs="Arial" w:eastAsia="Arial" w:hAnsi="Arial"/>
                <w:sz w:val="14"/>
                <w:szCs w:val="14"/>
                <w:color w:val="auto"/>
                <w:w w:val="96"/>
              </w:rPr>
              <w:t>10/29/2019</w:t>
            </w:r>
          </w:p>
        </w:tc>
        <w:tc>
          <w:tcPr>
            <w:tcW w:w="148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2"/>
              </w:rPr>
              <w:t>Consumer Products</w:t>
            </w:r>
          </w:p>
        </w:tc>
        <w:tc>
          <w:tcPr>
            <w:tcW w:w="940" w:type="dxa"/>
            <w:vAlign w:val="bottom"/>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rPr>
              <w:t>9.50%</w:t>
            </w: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L+825</w:t>
            </w:r>
          </w:p>
        </w:tc>
        <w:tc>
          <w:tcPr>
            <w:tcW w:w="240" w:type="dxa"/>
            <w:vAlign w:val="bottom"/>
            <w:shd w:val="clear" w:color="auto" w:fill="CCEEFF"/>
          </w:tcPr>
          <w:p>
            <w:pPr>
              <w:jc w:val="right"/>
              <w:ind w:right="19"/>
              <w:spacing w:after="0"/>
              <w:rPr>
                <w:sz w:val="20"/>
                <w:szCs w:val="20"/>
                <w:color w:val="auto"/>
              </w:rPr>
            </w:pPr>
            <w:r>
              <w:rPr>
                <w:rFonts w:ascii="Arial" w:cs="Arial" w:eastAsia="Arial" w:hAnsi="Arial"/>
                <w:sz w:val="12"/>
                <w:szCs w:val="12"/>
                <w:color w:val="auto"/>
                <w:w w:val="95"/>
              </w:rPr>
              <w:t>(8)</w:t>
            </w:r>
          </w:p>
        </w:tc>
        <w:tc>
          <w:tcPr>
            <w:tcW w:w="820" w:type="dxa"/>
            <w:vAlign w:val="bottom"/>
            <w:shd w:val="clear" w:color="auto" w:fill="CCEEFF"/>
          </w:tcPr>
          <w:p>
            <w:pPr>
              <w:jc w:val="right"/>
              <w:ind w:right="28"/>
              <w:spacing w:after="0" w:line="149" w:lineRule="exact"/>
              <w:rPr>
                <w:sz w:val="20"/>
                <w:szCs w:val="20"/>
                <w:color w:val="auto"/>
              </w:rPr>
            </w:pPr>
            <w:r>
              <w:rPr>
                <w:rFonts w:ascii="Arial" w:cs="Arial" w:eastAsia="Arial" w:hAnsi="Arial"/>
                <w:sz w:val="14"/>
                <w:szCs w:val="14"/>
                <w:color w:val="auto"/>
              </w:rPr>
              <w:t>9,500,000</w:t>
            </w:r>
          </w:p>
        </w:tc>
        <w:tc>
          <w:tcPr>
            <w:tcW w:w="920" w:type="dxa"/>
            <w:vAlign w:val="bottom"/>
            <w:gridSpan w:val="3"/>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9,357,500</w:t>
            </w:r>
          </w:p>
        </w:tc>
        <w:tc>
          <w:tcPr>
            <w:tcW w:w="14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9,547,500</w:t>
            </w:r>
          </w:p>
        </w:tc>
        <w:tc>
          <w:tcPr>
            <w:tcW w:w="0" w:type="dxa"/>
            <w:vAlign w:val="bottom"/>
          </w:tcPr>
          <w:p>
            <w:pPr>
              <w:spacing w:after="0"/>
              <w:rPr>
                <w:sz w:val="1"/>
                <w:szCs w:val="1"/>
                <w:color w:val="auto"/>
              </w:rPr>
            </w:pPr>
          </w:p>
        </w:tc>
      </w:tr>
      <w:tr>
        <w:trPr>
          <w:trHeight w:val="130"/>
        </w:trPr>
        <w:tc>
          <w:tcPr>
            <w:tcW w:w="3740" w:type="dxa"/>
            <w:vAlign w:val="bottom"/>
          </w:tcPr>
          <w:p>
            <w:pPr>
              <w:spacing w:after="0" w:line="130" w:lineRule="exact"/>
              <w:rPr>
                <w:sz w:val="20"/>
                <w:szCs w:val="20"/>
                <w:color w:val="auto"/>
              </w:rPr>
            </w:pPr>
            <w:r>
              <w:rPr>
                <w:rFonts w:ascii="Arial" w:cs="Arial" w:eastAsia="Arial" w:hAnsi="Arial"/>
                <w:sz w:val="14"/>
                <w:szCs w:val="14"/>
                <w:color w:val="auto"/>
              </w:rPr>
              <w:t>Language Line, LLC</w:t>
            </w:r>
          </w:p>
        </w:tc>
        <w:tc>
          <w:tcPr>
            <w:tcW w:w="1240" w:type="dxa"/>
            <w:vAlign w:val="bottom"/>
          </w:tcPr>
          <w:p>
            <w:pPr>
              <w:ind w:left="540"/>
              <w:spacing w:after="0" w:line="130" w:lineRule="exact"/>
              <w:rPr>
                <w:sz w:val="20"/>
                <w:szCs w:val="20"/>
                <w:color w:val="auto"/>
              </w:rPr>
            </w:pPr>
            <w:r>
              <w:rPr>
                <w:rFonts w:ascii="Arial" w:cs="Arial" w:eastAsia="Arial" w:hAnsi="Arial"/>
                <w:sz w:val="14"/>
                <w:szCs w:val="14"/>
                <w:color w:val="auto"/>
                <w:w w:val="96"/>
              </w:rPr>
              <w:t>12/20/2016</w:t>
            </w:r>
          </w:p>
        </w:tc>
        <w:tc>
          <w:tcPr>
            <w:tcW w:w="1480" w:type="dxa"/>
            <w:vAlign w:val="bottom"/>
          </w:tcPr>
          <w:p>
            <w:pPr>
              <w:jc w:val="center"/>
              <w:spacing w:after="0" w:line="130" w:lineRule="exact"/>
              <w:rPr>
                <w:sz w:val="20"/>
                <w:szCs w:val="20"/>
                <w:color w:val="auto"/>
              </w:rPr>
            </w:pPr>
            <w:r>
              <w:rPr>
                <w:rFonts w:ascii="Arial" w:cs="Arial" w:eastAsia="Arial" w:hAnsi="Arial"/>
                <w:sz w:val="14"/>
                <w:szCs w:val="14"/>
                <w:color w:val="auto"/>
                <w:w w:val="89"/>
              </w:rPr>
              <w:t>Personal, Food and</w:t>
            </w:r>
          </w:p>
        </w:tc>
        <w:tc>
          <w:tcPr>
            <w:tcW w:w="940" w:type="dxa"/>
            <w:vAlign w:val="bottom"/>
          </w:tcPr>
          <w:p>
            <w:pPr>
              <w:jc w:val="right"/>
              <w:ind w:right="48"/>
              <w:spacing w:after="0" w:line="130" w:lineRule="exact"/>
              <w:rPr>
                <w:sz w:val="20"/>
                <w:szCs w:val="20"/>
                <w:color w:val="auto"/>
              </w:rPr>
            </w:pPr>
            <w:r>
              <w:rPr>
                <w:rFonts w:ascii="Arial" w:cs="Arial" w:eastAsia="Arial" w:hAnsi="Arial"/>
                <w:sz w:val="14"/>
                <w:szCs w:val="14"/>
                <w:color w:val="auto"/>
              </w:rPr>
              <w:t>10.50%</w:t>
            </w:r>
          </w:p>
        </w:tc>
        <w:tc>
          <w:tcPr>
            <w:tcW w:w="740" w:type="dxa"/>
            <w:vAlign w:val="bottom"/>
          </w:tcPr>
          <w:p>
            <w:pPr>
              <w:jc w:val="right"/>
              <w:spacing w:after="0" w:line="130" w:lineRule="exact"/>
              <w:rPr>
                <w:sz w:val="20"/>
                <w:szCs w:val="20"/>
                <w:color w:val="auto"/>
              </w:rPr>
            </w:pPr>
            <w:r>
              <w:rPr>
                <w:rFonts w:ascii="Arial" w:cs="Arial" w:eastAsia="Arial" w:hAnsi="Arial"/>
                <w:sz w:val="14"/>
                <w:szCs w:val="14"/>
                <w:color w:val="auto"/>
              </w:rPr>
              <w:t>L+875</w:t>
            </w:r>
          </w:p>
        </w:tc>
        <w:tc>
          <w:tcPr>
            <w:tcW w:w="240" w:type="dxa"/>
            <w:vAlign w:val="bottom"/>
          </w:tcPr>
          <w:p>
            <w:pPr>
              <w:jc w:val="right"/>
              <w:ind w:right="19"/>
              <w:spacing w:after="0" w:line="130" w:lineRule="exact"/>
              <w:rPr>
                <w:sz w:val="20"/>
                <w:szCs w:val="20"/>
                <w:color w:val="auto"/>
              </w:rPr>
            </w:pPr>
            <w:r>
              <w:rPr>
                <w:rFonts w:ascii="Arial" w:cs="Arial" w:eastAsia="Arial" w:hAnsi="Arial"/>
                <w:sz w:val="12"/>
                <w:szCs w:val="12"/>
                <w:color w:val="auto"/>
                <w:w w:val="95"/>
              </w:rPr>
              <w:t>(8)</w:t>
            </w:r>
          </w:p>
        </w:tc>
        <w:tc>
          <w:tcPr>
            <w:tcW w:w="820" w:type="dxa"/>
            <w:vAlign w:val="bottom"/>
          </w:tcPr>
          <w:p>
            <w:pPr>
              <w:jc w:val="right"/>
              <w:ind w:right="28"/>
              <w:spacing w:after="0" w:line="130" w:lineRule="exact"/>
              <w:rPr>
                <w:sz w:val="20"/>
                <w:szCs w:val="20"/>
                <w:color w:val="auto"/>
              </w:rPr>
            </w:pPr>
            <w:r>
              <w:rPr>
                <w:rFonts w:ascii="Arial" w:cs="Arial" w:eastAsia="Arial" w:hAnsi="Arial"/>
                <w:sz w:val="14"/>
                <w:szCs w:val="14"/>
                <w:color w:val="auto"/>
                <w:w w:val="99"/>
              </w:rPr>
              <w:t>33,750,000</w:t>
            </w:r>
          </w:p>
        </w:tc>
        <w:tc>
          <w:tcPr>
            <w:tcW w:w="920" w:type="dxa"/>
            <w:vAlign w:val="bottom"/>
            <w:gridSpan w:val="3"/>
          </w:tcPr>
          <w:p>
            <w:pPr>
              <w:jc w:val="right"/>
              <w:ind w:right="20"/>
              <w:spacing w:after="0" w:line="130" w:lineRule="exact"/>
              <w:rPr>
                <w:sz w:val="20"/>
                <w:szCs w:val="20"/>
                <w:color w:val="auto"/>
              </w:rPr>
            </w:pPr>
            <w:r>
              <w:rPr>
                <w:rFonts w:ascii="Arial" w:cs="Arial" w:eastAsia="Arial" w:hAnsi="Arial"/>
                <w:sz w:val="14"/>
                <w:szCs w:val="14"/>
                <w:color w:val="auto"/>
              </w:rPr>
              <w:t>33,306,658</w:t>
            </w:r>
          </w:p>
        </w:tc>
        <w:tc>
          <w:tcPr>
            <w:tcW w:w="140" w:type="dxa"/>
            <w:vAlign w:val="bottom"/>
          </w:tcPr>
          <w:p>
            <w:pPr>
              <w:spacing w:after="0"/>
              <w:rPr>
                <w:sz w:val="11"/>
                <w:szCs w:val="11"/>
                <w:color w:val="auto"/>
              </w:rPr>
            </w:pPr>
          </w:p>
        </w:tc>
        <w:tc>
          <w:tcPr>
            <w:tcW w:w="980" w:type="dxa"/>
            <w:vAlign w:val="bottom"/>
            <w:gridSpan w:val="2"/>
          </w:tcPr>
          <w:p>
            <w:pPr>
              <w:jc w:val="right"/>
              <w:ind w:right="140"/>
              <w:spacing w:after="0" w:line="130" w:lineRule="exact"/>
              <w:rPr>
                <w:sz w:val="20"/>
                <w:szCs w:val="20"/>
                <w:color w:val="auto"/>
              </w:rPr>
            </w:pPr>
            <w:r>
              <w:rPr>
                <w:rFonts w:ascii="Arial" w:cs="Arial" w:eastAsia="Arial" w:hAnsi="Arial"/>
                <w:sz w:val="14"/>
                <w:szCs w:val="14"/>
                <w:color w:val="auto"/>
              </w:rPr>
              <w:t>33,370,312</w:t>
            </w:r>
          </w:p>
        </w:tc>
        <w:tc>
          <w:tcPr>
            <w:tcW w:w="0" w:type="dxa"/>
            <w:vAlign w:val="bottom"/>
          </w:tcPr>
          <w:p>
            <w:pPr>
              <w:spacing w:after="0"/>
              <w:rPr>
                <w:sz w:val="1"/>
                <w:szCs w:val="1"/>
                <w:color w:val="auto"/>
              </w:rPr>
            </w:pPr>
          </w:p>
        </w:tc>
      </w:tr>
      <w:tr>
        <w:trPr>
          <w:trHeight w:val="167"/>
        </w:trPr>
        <w:tc>
          <w:tcPr>
            <w:tcW w:w="37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480" w:type="dxa"/>
            <w:vAlign w:val="bottom"/>
          </w:tcPr>
          <w:p>
            <w:pPr>
              <w:jc w:val="center"/>
              <w:spacing w:after="0"/>
              <w:rPr>
                <w:sz w:val="20"/>
                <w:szCs w:val="20"/>
                <w:color w:val="auto"/>
              </w:rPr>
            </w:pPr>
            <w:r>
              <w:rPr>
                <w:rFonts w:ascii="Arial" w:cs="Arial" w:eastAsia="Arial" w:hAnsi="Arial"/>
                <w:sz w:val="14"/>
                <w:szCs w:val="14"/>
                <w:color w:val="auto"/>
                <w:w w:val="91"/>
              </w:rPr>
              <w:t>Miscellaneous Services</w:t>
            </w:r>
          </w:p>
        </w:tc>
        <w:tc>
          <w:tcPr>
            <w:tcW w:w="9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7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 xml:space="preserve">Linc USA GP and Linc Energy Finance (USA), Inc. </w:t>
            </w:r>
            <w:r>
              <w:rPr>
                <w:rFonts w:ascii="Arial" w:cs="Arial" w:eastAsia="Arial" w:hAnsi="Arial"/>
                <w:sz w:val="12"/>
                <w:szCs w:val="12"/>
                <w:color w:val="auto"/>
              </w:rPr>
              <w:t>(5)</w:t>
            </w:r>
          </w:p>
        </w:tc>
        <w:tc>
          <w:tcPr>
            <w:tcW w:w="1240" w:type="dxa"/>
            <w:vAlign w:val="bottom"/>
            <w:shd w:val="clear" w:color="auto" w:fill="CCEEFF"/>
          </w:tcPr>
          <w:p>
            <w:pPr>
              <w:ind w:left="540"/>
              <w:spacing w:after="0" w:line="149" w:lineRule="exact"/>
              <w:rPr>
                <w:sz w:val="20"/>
                <w:szCs w:val="20"/>
                <w:color w:val="auto"/>
              </w:rPr>
            </w:pPr>
            <w:r>
              <w:rPr>
                <w:rFonts w:ascii="Arial" w:cs="Arial" w:eastAsia="Arial" w:hAnsi="Arial"/>
                <w:sz w:val="14"/>
                <w:szCs w:val="14"/>
                <w:color w:val="auto"/>
                <w:w w:val="96"/>
              </w:rPr>
              <w:t>10/31/2017</w:t>
            </w:r>
          </w:p>
        </w:tc>
        <w:tc>
          <w:tcPr>
            <w:tcW w:w="148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4"/>
              </w:rPr>
              <w:t>Oil and Gas</w:t>
            </w:r>
          </w:p>
        </w:tc>
        <w:tc>
          <w:tcPr>
            <w:tcW w:w="940" w:type="dxa"/>
            <w:vAlign w:val="bottom"/>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rPr>
              <w:t>12.50%</w:t>
            </w: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2"/>
                <w:szCs w:val="12"/>
                <w:color w:val="auto"/>
              </w:rPr>
            </w:pPr>
          </w:p>
        </w:tc>
        <w:tc>
          <w:tcPr>
            <w:tcW w:w="820" w:type="dxa"/>
            <w:vAlign w:val="bottom"/>
            <w:shd w:val="clear" w:color="auto" w:fill="CCEEFF"/>
          </w:tcPr>
          <w:p>
            <w:pPr>
              <w:jc w:val="right"/>
              <w:ind w:right="28"/>
              <w:spacing w:after="0" w:line="149" w:lineRule="exact"/>
              <w:rPr>
                <w:sz w:val="20"/>
                <w:szCs w:val="20"/>
                <w:color w:val="auto"/>
              </w:rPr>
            </w:pPr>
            <w:r>
              <w:rPr>
                <w:rFonts w:ascii="Arial" w:cs="Arial" w:eastAsia="Arial" w:hAnsi="Arial"/>
                <w:sz w:val="14"/>
                <w:szCs w:val="14"/>
                <w:color w:val="auto"/>
                <w:w w:val="99"/>
              </w:rPr>
              <w:t>11,875,000</w:t>
            </w:r>
          </w:p>
        </w:tc>
        <w:tc>
          <w:tcPr>
            <w:tcW w:w="920" w:type="dxa"/>
            <w:vAlign w:val="bottom"/>
            <w:gridSpan w:val="3"/>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11,529,304</w:t>
            </w:r>
          </w:p>
        </w:tc>
        <w:tc>
          <w:tcPr>
            <w:tcW w:w="14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12,943,750</w:t>
            </w:r>
          </w:p>
        </w:tc>
        <w:tc>
          <w:tcPr>
            <w:tcW w:w="0" w:type="dxa"/>
            <w:vAlign w:val="bottom"/>
          </w:tcPr>
          <w:p>
            <w:pPr>
              <w:spacing w:after="0"/>
              <w:rPr>
                <w:sz w:val="1"/>
                <w:szCs w:val="1"/>
                <w:color w:val="auto"/>
              </w:rPr>
            </w:pPr>
          </w:p>
        </w:tc>
      </w:tr>
      <w:tr>
        <w:trPr>
          <w:trHeight w:val="148"/>
        </w:trPr>
        <w:tc>
          <w:tcPr>
            <w:tcW w:w="3740" w:type="dxa"/>
            <w:vAlign w:val="bottom"/>
          </w:tcPr>
          <w:p>
            <w:pPr>
              <w:spacing w:after="0" w:line="149" w:lineRule="exact"/>
              <w:rPr>
                <w:sz w:val="20"/>
                <w:szCs w:val="20"/>
                <w:color w:val="auto"/>
              </w:rPr>
            </w:pPr>
            <w:r>
              <w:rPr>
                <w:rFonts w:ascii="Arial" w:cs="Arial" w:eastAsia="Arial" w:hAnsi="Arial"/>
                <w:sz w:val="14"/>
                <w:szCs w:val="14"/>
                <w:color w:val="auto"/>
              </w:rPr>
              <w:t>Penton Media, Inc.</w:t>
            </w:r>
          </w:p>
        </w:tc>
        <w:tc>
          <w:tcPr>
            <w:tcW w:w="1240" w:type="dxa"/>
            <w:vAlign w:val="bottom"/>
          </w:tcPr>
          <w:p>
            <w:pPr>
              <w:ind w:left="540"/>
              <w:spacing w:after="0" w:line="149" w:lineRule="exact"/>
              <w:rPr>
                <w:sz w:val="20"/>
                <w:szCs w:val="20"/>
                <w:color w:val="auto"/>
              </w:rPr>
            </w:pPr>
            <w:r>
              <w:rPr>
                <w:rFonts w:ascii="Arial" w:cs="Arial" w:eastAsia="Arial" w:hAnsi="Arial"/>
                <w:sz w:val="14"/>
                <w:szCs w:val="14"/>
                <w:color w:val="auto"/>
                <w:w w:val="96"/>
              </w:rPr>
              <w:t>10/02/2020</w:t>
            </w:r>
          </w:p>
        </w:tc>
        <w:tc>
          <w:tcPr>
            <w:tcW w:w="1480" w:type="dxa"/>
            <w:vAlign w:val="bottom"/>
          </w:tcPr>
          <w:p>
            <w:pPr>
              <w:jc w:val="center"/>
              <w:spacing w:after="0" w:line="149" w:lineRule="exact"/>
              <w:rPr>
                <w:sz w:val="20"/>
                <w:szCs w:val="20"/>
                <w:color w:val="auto"/>
              </w:rPr>
            </w:pPr>
            <w:r>
              <w:rPr>
                <w:rFonts w:ascii="Arial" w:cs="Arial" w:eastAsia="Arial" w:hAnsi="Arial"/>
                <w:sz w:val="14"/>
                <w:szCs w:val="14"/>
                <w:color w:val="auto"/>
                <w:w w:val="99"/>
              </w:rPr>
              <w:t>Media</w:t>
            </w:r>
          </w:p>
        </w:tc>
        <w:tc>
          <w:tcPr>
            <w:tcW w:w="940" w:type="dxa"/>
            <w:vAlign w:val="bottom"/>
          </w:tcPr>
          <w:p>
            <w:pPr>
              <w:jc w:val="right"/>
              <w:ind w:right="48"/>
              <w:spacing w:after="0" w:line="149" w:lineRule="exact"/>
              <w:rPr>
                <w:sz w:val="20"/>
                <w:szCs w:val="20"/>
                <w:color w:val="auto"/>
              </w:rPr>
            </w:pPr>
            <w:r>
              <w:rPr>
                <w:rFonts w:ascii="Arial" w:cs="Arial" w:eastAsia="Arial" w:hAnsi="Arial"/>
                <w:sz w:val="14"/>
                <w:szCs w:val="14"/>
                <w:color w:val="auto"/>
              </w:rPr>
              <w:t>9.00%</w:t>
            </w: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L+775</w:t>
            </w:r>
          </w:p>
        </w:tc>
        <w:tc>
          <w:tcPr>
            <w:tcW w:w="240" w:type="dxa"/>
            <w:vAlign w:val="bottom"/>
          </w:tcPr>
          <w:p>
            <w:pPr>
              <w:jc w:val="right"/>
              <w:ind w:right="19"/>
              <w:spacing w:after="0"/>
              <w:rPr>
                <w:sz w:val="20"/>
                <w:szCs w:val="20"/>
                <w:color w:val="auto"/>
              </w:rPr>
            </w:pPr>
            <w:r>
              <w:rPr>
                <w:rFonts w:ascii="Arial" w:cs="Arial" w:eastAsia="Arial" w:hAnsi="Arial"/>
                <w:sz w:val="12"/>
                <w:szCs w:val="12"/>
                <w:color w:val="auto"/>
                <w:w w:val="95"/>
              </w:rPr>
              <w:t>(8)</w:t>
            </w:r>
          </w:p>
        </w:tc>
        <w:tc>
          <w:tcPr>
            <w:tcW w:w="820" w:type="dxa"/>
            <w:vAlign w:val="bottom"/>
          </w:tcPr>
          <w:p>
            <w:pPr>
              <w:jc w:val="right"/>
              <w:ind w:right="28"/>
              <w:spacing w:after="0" w:line="149" w:lineRule="exact"/>
              <w:rPr>
                <w:sz w:val="20"/>
                <w:szCs w:val="20"/>
                <w:color w:val="auto"/>
              </w:rPr>
            </w:pPr>
            <w:r>
              <w:rPr>
                <w:rFonts w:ascii="Arial" w:cs="Arial" w:eastAsia="Arial" w:hAnsi="Arial"/>
                <w:sz w:val="14"/>
                <w:szCs w:val="14"/>
                <w:color w:val="auto"/>
                <w:w w:val="99"/>
              </w:rPr>
              <w:t>21,000,000</w:t>
            </w:r>
          </w:p>
        </w:tc>
        <w:tc>
          <w:tcPr>
            <w:tcW w:w="920" w:type="dxa"/>
            <w:vAlign w:val="bottom"/>
            <w:gridSpan w:val="3"/>
          </w:tcPr>
          <w:p>
            <w:pPr>
              <w:jc w:val="right"/>
              <w:ind w:right="20"/>
              <w:spacing w:after="0" w:line="149" w:lineRule="exact"/>
              <w:rPr>
                <w:sz w:val="20"/>
                <w:szCs w:val="20"/>
                <w:color w:val="auto"/>
              </w:rPr>
            </w:pPr>
            <w:r>
              <w:rPr>
                <w:rFonts w:ascii="Arial" w:cs="Arial" w:eastAsia="Arial" w:hAnsi="Arial"/>
                <w:sz w:val="14"/>
                <w:szCs w:val="14"/>
                <w:color w:val="auto"/>
              </w:rPr>
              <w:t>20,699,519</w:t>
            </w:r>
          </w:p>
        </w:tc>
        <w:tc>
          <w:tcPr>
            <w:tcW w:w="140" w:type="dxa"/>
            <w:vAlign w:val="bottom"/>
          </w:tcPr>
          <w:p>
            <w:pPr>
              <w:spacing w:after="0"/>
              <w:rPr>
                <w:sz w:val="12"/>
                <w:szCs w:val="12"/>
                <w:color w:val="auto"/>
              </w:rPr>
            </w:pPr>
          </w:p>
        </w:tc>
        <w:tc>
          <w:tcPr>
            <w:tcW w:w="98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20,947,500</w:t>
            </w:r>
          </w:p>
        </w:tc>
        <w:tc>
          <w:tcPr>
            <w:tcW w:w="0" w:type="dxa"/>
            <w:vAlign w:val="bottom"/>
          </w:tcPr>
          <w:p>
            <w:pPr>
              <w:spacing w:after="0"/>
              <w:rPr>
                <w:sz w:val="1"/>
                <w:szCs w:val="1"/>
                <w:color w:val="auto"/>
              </w:rPr>
            </w:pPr>
          </w:p>
        </w:tc>
      </w:tr>
      <w:tr>
        <w:trPr>
          <w:trHeight w:val="130"/>
        </w:trPr>
        <w:tc>
          <w:tcPr>
            <w:tcW w:w="374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Pre-Paid Legal Services, Inc.</w:t>
            </w:r>
          </w:p>
        </w:tc>
        <w:tc>
          <w:tcPr>
            <w:tcW w:w="1240" w:type="dxa"/>
            <w:vAlign w:val="bottom"/>
            <w:shd w:val="clear" w:color="auto" w:fill="CCEEFF"/>
          </w:tcPr>
          <w:p>
            <w:pPr>
              <w:ind w:left="540"/>
              <w:spacing w:after="0" w:line="130" w:lineRule="exact"/>
              <w:rPr>
                <w:sz w:val="20"/>
                <w:szCs w:val="20"/>
                <w:color w:val="auto"/>
              </w:rPr>
            </w:pPr>
            <w:r>
              <w:rPr>
                <w:rFonts w:ascii="Arial" w:cs="Arial" w:eastAsia="Arial" w:hAnsi="Arial"/>
                <w:sz w:val="14"/>
                <w:szCs w:val="14"/>
                <w:color w:val="auto"/>
                <w:w w:val="96"/>
              </w:rPr>
              <w:t>07/01/2020</w:t>
            </w:r>
          </w:p>
        </w:tc>
        <w:tc>
          <w:tcPr>
            <w:tcW w:w="1480" w:type="dxa"/>
            <w:vAlign w:val="bottom"/>
            <w:shd w:val="clear" w:color="auto" w:fill="CCEEFF"/>
          </w:tcPr>
          <w:p>
            <w:pPr>
              <w:jc w:val="center"/>
              <w:spacing w:after="0" w:line="130" w:lineRule="exact"/>
              <w:rPr>
                <w:sz w:val="20"/>
                <w:szCs w:val="20"/>
                <w:color w:val="auto"/>
              </w:rPr>
            </w:pPr>
            <w:r>
              <w:rPr>
                <w:rFonts w:ascii="Arial" w:cs="Arial" w:eastAsia="Arial" w:hAnsi="Arial"/>
                <w:sz w:val="14"/>
                <w:szCs w:val="14"/>
                <w:color w:val="auto"/>
                <w:w w:val="89"/>
              </w:rPr>
              <w:t>Personal, Food and</w:t>
            </w:r>
          </w:p>
        </w:tc>
        <w:tc>
          <w:tcPr>
            <w:tcW w:w="940" w:type="dxa"/>
            <w:vAlign w:val="bottom"/>
            <w:shd w:val="clear" w:color="auto" w:fill="CCEEFF"/>
          </w:tcPr>
          <w:p>
            <w:pPr>
              <w:jc w:val="right"/>
              <w:ind w:right="48"/>
              <w:spacing w:after="0" w:line="130" w:lineRule="exact"/>
              <w:rPr>
                <w:sz w:val="20"/>
                <w:szCs w:val="20"/>
                <w:color w:val="auto"/>
              </w:rPr>
            </w:pPr>
            <w:r>
              <w:rPr>
                <w:rFonts w:ascii="Arial" w:cs="Arial" w:eastAsia="Arial" w:hAnsi="Arial"/>
                <w:sz w:val="14"/>
                <w:szCs w:val="14"/>
                <w:color w:val="auto"/>
              </w:rPr>
              <w:t>9.75%</w:t>
            </w:r>
          </w:p>
        </w:tc>
        <w:tc>
          <w:tcPr>
            <w:tcW w:w="740" w:type="dxa"/>
            <w:vAlign w:val="bottom"/>
            <w:shd w:val="clear" w:color="auto" w:fill="CCEEFF"/>
          </w:tcPr>
          <w:p>
            <w:pPr>
              <w:jc w:val="right"/>
              <w:spacing w:after="0" w:line="130" w:lineRule="exact"/>
              <w:rPr>
                <w:sz w:val="20"/>
                <w:szCs w:val="20"/>
                <w:color w:val="auto"/>
              </w:rPr>
            </w:pPr>
            <w:r>
              <w:rPr>
                <w:rFonts w:ascii="Arial" w:cs="Arial" w:eastAsia="Arial" w:hAnsi="Arial"/>
                <w:sz w:val="14"/>
                <w:szCs w:val="14"/>
                <w:color w:val="auto"/>
              </w:rPr>
              <w:t>L+850</w:t>
            </w:r>
          </w:p>
        </w:tc>
        <w:tc>
          <w:tcPr>
            <w:tcW w:w="240" w:type="dxa"/>
            <w:vAlign w:val="bottom"/>
            <w:shd w:val="clear" w:color="auto" w:fill="CCEEFF"/>
          </w:tcPr>
          <w:p>
            <w:pPr>
              <w:jc w:val="right"/>
              <w:ind w:right="19"/>
              <w:spacing w:after="0" w:line="130" w:lineRule="exact"/>
              <w:rPr>
                <w:sz w:val="20"/>
                <w:szCs w:val="20"/>
                <w:color w:val="auto"/>
              </w:rPr>
            </w:pPr>
            <w:r>
              <w:rPr>
                <w:rFonts w:ascii="Arial" w:cs="Arial" w:eastAsia="Arial" w:hAnsi="Arial"/>
                <w:sz w:val="12"/>
                <w:szCs w:val="12"/>
                <w:color w:val="auto"/>
                <w:w w:val="95"/>
              </w:rPr>
              <w:t>(8)</w:t>
            </w:r>
          </w:p>
        </w:tc>
        <w:tc>
          <w:tcPr>
            <w:tcW w:w="820" w:type="dxa"/>
            <w:vAlign w:val="bottom"/>
            <w:shd w:val="clear" w:color="auto" w:fill="CCEEFF"/>
          </w:tcPr>
          <w:p>
            <w:pPr>
              <w:jc w:val="right"/>
              <w:ind w:right="28"/>
              <w:spacing w:after="0" w:line="130" w:lineRule="exact"/>
              <w:rPr>
                <w:sz w:val="20"/>
                <w:szCs w:val="20"/>
                <w:color w:val="auto"/>
              </w:rPr>
            </w:pPr>
            <w:r>
              <w:rPr>
                <w:rFonts w:ascii="Arial" w:cs="Arial" w:eastAsia="Arial" w:hAnsi="Arial"/>
                <w:sz w:val="14"/>
                <w:szCs w:val="14"/>
                <w:color w:val="auto"/>
                <w:w w:val="99"/>
              </w:rPr>
              <w:t>56,750,000</w:t>
            </w:r>
          </w:p>
        </w:tc>
        <w:tc>
          <w:tcPr>
            <w:tcW w:w="920" w:type="dxa"/>
            <w:vAlign w:val="bottom"/>
            <w:gridSpan w:val="3"/>
            <w:shd w:val="clear" w:color="auto" w:fill="CCEEFF"/>
          </w:tcPr>
          <w:p>
            <w:pPr>
              <w:jc w:val="right"/>
              <w:ind w:right="20"/>
              <w:spacing w:after="0" w:line="130" w:lineRule="exact"/>
              <w:rPr>
                <w:sz w:val="20"/>
                <w:szCs w:val="20"/>
                <w:color w:val="auto"/>
              </w:rPr>
            </w:pPr>
            <w:r>
              <w:rPr>
                <w:rFonts w:ascii="Arial" w:cs="Arial" w:eastAsia="Arial" w:hAnsi="Arial"/>
                <w:sz w:val="14"/>
                <w:szCs w:val="14"/>
                <w:color w:val="auto"/>
              </w:rPr>
              <w:t>55,954,600</w:t>
            </w:r>
          </w:p>
        </w:tc>
        <w:tc>
          <w:tcPr>
            <w:tcW w:w="140" w:type="dxa"/>
            <w:vAlign w:val="bottom"/>
            <w:shd w:val="clear" w:color="auto" w:fill="CCEEFF"/>
          </w:tcPr>
          <w:p>
            <w:pPr>
              <w:spacing w:after="0"/>
              <w:rPr>
                <w:sz w:val="11"/>
                <w:szCs w:val="11"/>
                <w:color w:val="auto"/>
              </w:rPr>
            </w:pPr>
          </w:p>
        </w:tc>
        <w:tc>
          <w:tcPr>
            <w:tcW w:w="980" w:type="dxa"/>
            <w:vAlign w:val="bottom"/>
            <w:gridSpan w:val="2"/>
            <w:shd w:val="clear" w:color="auto" w:fill="CCEEFF"/>
          </w:tcPr>
          <w:p>
            <w:pPr>
              <w:jc w:val="right"/>
              <w:ind w:right="140"/>
              <w:spacing w:after="0" w:line="130" w:lineRule="exact"/>
              <w:rPr>
                <w:sz w:val="20"/>
                <w:szCs w:val="20"/>
                <w:color w:val="auto"/>
              </w:rPr>
            </w:pPr>
            <w:r>
              <w:rPr>
                <w:rFonts w:ascii="Arial" w:cs="Arial" w:eastAsia="Arial" w:hAnsi="Arial"/>
                <w:sz w:val="14"/>
                <w:szCs w:val="14"/>
                <w:color w:val="auto"/>
              </w:rPr>
              <w:t>56,040,625</w:t>
            </w:r>
          </w:p>
        </w:tc>
        <w:tc>
          <w:tcPr>
            <w:tcW w:w="0" w:type="dxa"/>
            <w:vAlign w:val="bottom"/>
          </w:tcPr>
          <w:p>
            <w:pPr>
              <w:spacing w:after="0"/>
              <w:rPr>
                <w:sz w:val="1"/>
                <w:szCs w:val="1"/>
                <w:color w:val="auto"/>
              </w:rPr>
            </w:pPr>
          </w:p>
        </w:tc>
      </w:tr>
      <w:tr>
        <w:trPr>
          <w:trHeight w:val="167"/>
        </w:trPr>
        <w:tc>
          <w:tcPr>
            <w:tcW w:w="374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c>
          <w:tcPr>
            <w:tcW w:w="14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1"/>
              </w:rPr>
              <w:t>Miscellaneous Services</w:t>
            </w:r>
          </w:p>
        </w:tc>
        <w:tc>
          <w:tcPr>
            <w:tcW w:w="94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3740" w:type="dxa"/>
            <w:vAlign w:val="bottom"/>
          </w:tcPr>
          <w:p>
            <w:pPr>
              <w:spacing w:after="0" w:line="149" w:lineRule="exact"/>
              <w:rPr>
                <w:sz w:val="20"/>
                <w:szCs w:val="20"/>
                <w:color w:val="auto"/>
              </w:rPr>
            </w:pPr>
            <w:r>
              <w:rPr>
                <w:rFonts w:ascii="Arial" w:cs="Arial" w:eastAsia="Arial" w:hAnsi="Arial"/>
                <w:sz w:val="14"/>
                <w:szCs w:val="14"/>
                <w:color w:val="auto"/>
              </w:rPr>
              <w:t>Questex Media Group LLC, Term Loan A</w:t>
            </w:r>
          </w:p>
        </w:tc>
        <w:tc>
          <w:tcPr>
            <w:tcW w:w="1240" w:type="dxa"/>
            <w:vAlign w:val="bottom"/>
          </w:tcPr>
          <w:p>
            <w:pPr>
              <w:ind w:left="540"/>
              <w:spacing w:after="0" w:line="149" w:lineRule="exact"/>
              <w:rPr>
                <w:sz w:val="20"/>
                <w:szCs w:val="20"/>
                <w:color w:val="auto"/>
              </w:rPr>
            </w:pPr>
            <w:r>
              <w:rPr>
                <w:rFonts w:ascii="Arial" w:cs="Arial" w:eastAsia="Arial" w:hAnsi="Arial"/>
                <w:sz w:val="14"/>
                <w:szCs w:val="14"/>
                <w:color w:val="auto"/>
                <w:w w:val="96"/>
              </w:rPr>
              <w:t>12/15/2014</w:t>
            </w:r>
          </w:p>
        </w:tc>
        <w:tc>
          <w:tcPr>
            <w:tcW w:w="1480" w:type="dxa"/>
            <w:vAlign w:val="bottom"/>
          </w:tcPr>
          <w:p>
            <w:pPr>
              <w:jc w:val="center"/>
              <w:spacing w:after="0" w:line="149" w:lineRule="exact"/>
              <w:rPr>
                <w:sz w:val="20"/>
                <w:szCs w:val="20"/>
                <w:color w:val="auto"/>
              </w:rPr>
            </w:pPr>
            <w:r>
              <w:rPr>
                <w:rFonts w:ascii="Arial" w:cs="Arial" w:eastAsia="Arial" w:hAnsi="Arial"/>
                <w:sz w:val="14"/>
                <w:szCs w:val="14"/>
                <w:color w:val="auto"/>
                <w:w w:val="96"/>
              </w:rPr>
              <w:t>Other Media</w:t>
            </w:r>
          </w:p>
        </w:tc>
        <w:tc>
          <w:tcPr>
            <w:tcW w:w="940" w:type="dxa"/>
            <w:vAlign w:val="bottom"/>
          </w:tcPr>
          <w:p>
            <w:pPr>
              <w:jc w:val="right"/>
              <w:ind w:right="48"/>
              <w:spacing w:after="0" w:line="149" w:lineRule="exact"/>
              <w:rPr>
                <w:sz w:val="20"/>
                <w:szCs w:val="20"/>
                <w:color w:val="auto"/>
              </w:rPr>
            </w:pPr>
            <w:r>
              <w:rPr>
                <w:rFonts w:ascii="Arial" w:cs="Arial" w:eastAsia="Arial" w:hAnsi="Arial"/>
                <w:sz w:val="14"/>
                <w:szCs w:val="14"/>
                <w:color w:val="auto"/>
              </w:rPr>
              <w:t>9.50%</w:t>
            </w: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L+550</w:t>
            </w:r>
          </w:p>
        </w:tc>
        <w:tc>
          <w:tcPr>
            <w:tcW w:w="240" w:type="dxa"/>
            <w:vAlign w:val="bottom"/>
          </w:tcPr>
          <w:p>
            <w:pPr>
              <w:jc w:val="right"/>
              <w:ind w:right="19"/>
              <w:spacing w:after="0"/>
              <w:rPr>
                <w:sz w:val="20"/>
                <w:szCs w:val="20"/>
                <w:color w:val="auto"/>
              </w:rPr>
            </w:pPr>
            <w:r>
              <w:rPr>
                <w:rFonts w:ascii="Arial" w:cs="Arial" w:eastAsia="Arial" w:hAnsi="Arial"/>
                <w:sz w:val="12"/>
                <w:szCs w:val="12"/>
                <w:color w:val="auto"/>
                <w:w w:val="95"/>
              </w:rPr>
              <w:t>(8)</w:t>
            </w:r>
          </w:p>
        </w:tc>
        <w:tc>
          <w:tcPr>
            <w:tcW w:w="820" w:type="dxa"/>
            <w:vAlign w:val="bottom"/>
          </w:tcPr>
          <w:p>
            <w:pPr>
              <w:jc w:val="right"/>
              <w:ind w:right="28"/>
              <w:spacing w:after="0" w:line="149" w:lineRule="exact"/>
              <w:rPr>
                <w:sz w:val="20"/>
                <w:szCs w:val="20"/>
                <w:color w:val="auto"/>
              </w:rPr>
            </w:pPr>
            <w:r>
              <w:rPr>
                <w:rFonts w:ascii="Arial" w:cs="Arial" w:eastAsia="Arial" w:hAnsi="Arial"/>
                <w:sz w:val="14"/>
                <w:szCs w:val="14"/>
                <w:color w:val="auto"/>
              </w:rPr>
              <w:t>2,387,269</w:t>
            </w:r>
          </w:p>
        </w:tc>
        <w:tc>
          <w:tcPr>
            <w:tcW w:w="920" w:type="dxa"/>
            <w:vAlign w:val="bottom"/>
            <w:gridSpan w:val="3"/>
          </w:tcPr>
          <w:p>
            <w:pPr>
              <w:jc w:val="right"/>
              <w:ind w:right="20"/>
              <w:spacing w:after="0" w:line="149" w:lineRule="exact"/>
              <w:rPr>
                <w:sz w:val="20"/>
                <w:szCs w:val="20"/>
                <w:color w:val="auto"/>
              </w:rPr>
            </w:pPr>
            <w:r>
              <w:rPr>
                <w:rFonts w:ascii="Arial" w:cs="Arial" w:eastAsia="Arial" w:hAnsi="Arial"/>
                <w:sz w:val="14"/>
                <w:szCs w:val="14"/>
                <w:color w:val="auto"/>
              </w:rPr>
              <w:t>2,387,269</w:t>
            </w:r>
          </w:p>
        </w:tc>
        <w:tc>
          <w:tcPr>
            <w:tcW w:w="140" w:type="dxa"/>
            <w:vAlign w:val="bottom"/>
          </w:tcPr>
          <w:p>
            <w:pPr>
              <w:spacing w:after="0"/>
              <w:rPr>
                <w:sz w:val="12"/>
                <w:szCs w:val="12"/>
                <w:color w:val="auto"/>
              </w:rPr>
            </w:pPr>
          </w:p>
        </w:tc>
        <w:tc>
          <w:tcPr>
            <w:tcW w:w="98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2,363,396</w:t>
            </w:r>
          </w:p>
        </w:tc>
        <w:tc>
          <w:tcPr>
            <w:tcW w:w="0" w:type="dxa"/>
            <w:vAlign w:val="bottom"/>
          </w:tcPr>
          <w:p>
            <w:pPr>
              <w:spacing w:after="0"/>
              <w:rPr>
                <w:sz w:val="1"/>
                <w:szCs w:val="1"/>
                <w:color w:val="auto"/>
              </w:rPr>
            </w:pPr>
          </w:p>
        </w:tc>
      </w:tr>
      <w:tr>
        <w:trPr>
          <w:trHeight w:val="130"/>
        </w:trPr>
        <w:tc>
          <w:tcPr>
            <w:tcW w:w="374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Questex Media Group LLC, Term Loan B</w:t>
            </w:r>
          </w:p>
        </w:tc>
        <w:tc>
          <w:tcPr>
            <w:tcW w:w="1240" w:type="dxa"/>
            <w:vAlign w:val="bottom"/>
            <w:shd w:val="clear" w:color="auto" w:fill="CCEEFF"/>
          </w:tcPr>
          <w:p>
            <w:pPr>
              <w:ind w:left="540"/>
              <w:spacing w:after="0" w:line="130" w:lineRule="exact"/>
              <w:rPr>
                <w:sz w:val="20"/>
                <w:szCs w:val="20"/>
                <w:color w:val="auto"/>
              </w:rPr>
            </w:pPr>
            <w:r>
              <w:rPr>
                <w:rFonts w:ascii="Arial" w:cs="Arial" w:eastAsia="Arial" w:hAnsi="Arial"/>
                <w:sz w:val="14"/>
                <w:szCs w:val="14"/>
                <w:color w:val="auto"/>
                <w:w w:val="96"/>
              </w:rPr>
              <w:t>12/15/2015</w:t>
            </w:r>
          </w:p>
        </w:tc>
        <w:tc>
          <w:tcPr>
            <w:tcW w:w="1480" w:type="dxa"/>
            <w:vAlign w:val="bottom"/>
            <w:shd w:val="clear" w:color="auto" w:fill="CCEEFF"/>
          </w:tcPr>
          <w:p>
            <w:pPr>
              <w:jc w:val="center"/>
              <w:spacing w:after="0" w:line="130" w:lineRule="exact"/>
              <w:rPr>
                <w:sz w:val="20"/>
                <w:szCs w:val="20"/>
                <w:color w:val="auto"/>
              </w:rPr>
            </w:pPr>
            <w:r>
              <w:rPr>
                <w:rFonts w:ascii="Arial" w:cs="Arial" w:eastAsia="Arial" w:hAnsi="Arial"/>
                <w:sz w:val="14"/>
                <w:szCs w:val="14"/>
                <w:color w:val="auto"/>
                <w:w w:val="96"/>
              </w:rPr>
              <w:t>Other Media</w:t>
            </w:r>
          </w:p>
        </w:tc>
        <w:tc>
          <w:tcPr>
            <w:tcW w:w="940" w:type="dxa"/>
            <w:vAlign w:val="bottom"/>
            <w:shd w:val="clear" w:color="auto" w:fill="CCEEFF"/>
          </w:tcPr>
          <w:p>
            <w:pPr>
              <w:jc w:val="right"/>
              <w:ind w:right="48"/>
              <w:spacing w:after="0" w:line="130" w:lineRule="exact"/>
              <w:rPr>
                <w:sz w:val="20"/>
                <w:szCs w:val="20"/>
                <w:color w:val="auto"/>
              </w:rPr>
            </w:pPr>
            <w:r>
              <w:rPr>
                <w:rFonts w:ascii="Arial" w:cs="Arial" w:eastAsia="Arial" w:hAnsi="Arial"/>
                <w:sz w:val="14"/>
                <w:szCs w:val="14"/>
                <w:color w:val="auto"/>
              </w:rPr>
              <w:t>11.50%</w:t>
            </w:r>
          </w:p>
        </w:tc>
        <w:tc>
          <w:tcPr>
            <w:tcW w:w="740" w:type="dxa"/>
            <w:vAlign w:val="bottom"/>
            <w:shd w:val="clear" w:color="auto" w:fill="CCEEFF"/>
          </w:tcPr>
          <w:p>
            <w:pPr>
              <w:jc w:val="right"/>
              <w:spacing w:after="0" w:line="130" w:lineRule="exact"/>
              <w:rPr>
                <w:sz w:val="20"/>
                <w:szCs w:val="20"/>
                <w:color w:val="auto"/>
              </w:rPr>
            </w:pPr>
            <w:r>
              <w:rPr>
                <w:rFonts w:ascii="Arial" w:cs="Arial" w:eastAsia="Arial" w:hAnsi="Arial"/>
                <w:sz w:val="14"/>
                <w:szCs w:val="14"/>
                <w:color w:val="auto"/>
              </w:rPr>
              <w:t>P+750</w:t>
            </w:r>
          </w:p>
        </w:tc>
        <w:tc>
          <w:tcPr>
            <w:tcW w:w="240" w:type="dxa"/>
            <w:vAlign w:val="bottom"/>
            <w:shd w:val="clear" w:color="auto" w:fill="CCEEFF"/>
          </w:tcPr>
          <w:p>
            <w:pPr>
              <w:jc w:val="right"/>
              <w:ind w:right="19"/>
              <w:spacing w:after="0" w:line="130" w:lineRule="exact"/>
              <w:rPr>
                <w:sz w:val="20"/>
                <w:szCs w:val="20"/>
                <w:color w:val="auto"/>
              </w:rPr>
            </w:pPr>
            <w:r>
              <w:rPr>
                <w:rFonts w:ascii="Arial" w:cs="Arial" w:eastAsia="Arial" w:hAnsi="Arial"/>
                <w:sz w:val="12"/>
                <w:szCs w:val="12"/>
                <w:color w:val="auto"/>
                <w:w w:val="95"/>
              </w:rPr>
              <w:t>(8)</w:t>
            </w:r>
          </w:p>
        </w:tc>
        <w:tc>
          <w:tcPr>
            <w:tcW w:w="820" w:type="dxa"/>
            <w:vAlign w:val="bottom"/>
            <w:shd w:val="clear" w:color="auto" w:fill="CCEEFF"/>
          </w:tcPr>
          <w:p>
            <w:pPr>
              <w:jc w:val="right"/>
              <w:ind w:right="28"/>
              <w:spacing w:after="0" w:line="130" w:lineRule="exact"/>
              <w:rPr>
                <w:sz w:val="20"/>
                <w:szCs w:val="20"/>
                <w:color w:val="auto"/>
              </w:rPr>
            </w:pPr>
            <w:r>
              <w:rPr>
                <w:rFonts w:ascii="Arial" w:cs="Arial" w:eastAsia="Arial" w:hAnsi="Arial"/>
                <w:sz w:val="14"/>
                <w:szCs w:val="14"/>
                <w:color w:val="auto"/>
              </w:rPr>
              <w:t>2,575,569</w:t>
            </w:r>
          </w:p>
        </w:tc>
        <w:tc>
          <w:tcPr>
            <w:tcW w:w="920" w:type="dxa"/>
            <w:vAlign w:val="bottom"/>
            <w:gridSpan w:val="3"/>
            <w:shd w:val="clear" w:color="auto" w:fill="CCEEFF"/>
          </w:tcPr>
          <w:p>
            <w:pPr>
              <w:jc w:val="right"/>
              <w:ind w:right="20"/>
              <w:spacing w:after="0" w:line="130" w:lineRule="exact"/>
              <w:rPr>
                <w:sz w:val="20"/>
                <w:szCs w:val="20"/>
                <w:color w:val="auto"/>
              </w:rPr>
            </w:pPr>
            <w:r>
              <w:rPr>
                <w:rFonts w:ascii="Arial" w:cs="Arial" w:eastAsia="Arial" w:hAnsi="Arial"/>
                <w:sz w:val="14"/>
                <w:szCs w:val="14"/>
                <w:color w:val="auto"/>
              </w:rPr>
              <w:t>2,575,569</w:t>
            </w:r>
          </w:p>
        </w:tc>
        <w:tc>
          <w:tcPr>
            <w:tcW w:w="140" w:type="dxa"/>
            <w:vAlign w:val="bottom"/>
            <w:shd w:val="clear" w:color="auto" w:fill="CCEEFF"/>
          </w:tcPr>
          <w:p>
            <w:pPr>
              <w:spacing w:after="0"/>
              <w:rPr>
                <w:sz w:val="11"/>
                <w:szCs w:val="11"/>
                <w:color w:val="auto"/>
              </w:rPr>
            </w:pPr>
          </w:p>
        </w:tc>
        <w:tc>
          <w:tcPr>
            <w:tcW w:w="980" w:type="dxa"/>
            <w:vAlign w:val="bottom"/>
            <w:gridSpan w:val="2"/>
            <w:shd w:val="clear" w:color="auto" w:fill="CCEEFF"/>
          </w:tcPr>
          <w:p>
            <w:pPr>
              <w:jc w:val="right"/>
              <w:ind w:right="140"/>
              <w:spacing w:after="0" w:line="130" w:lineRule="exact"/>
              <w:rPr>
                <w:sz w:val="20"/>
                <w:szCs w:val="20"/>
                <w:color w:val="auto"/>
              </w:rPr>
            </w:pPr>
            <w:r>
              <w:rPr>
                <w:rFonts w:ascii="Arial" w:cs="Arial" w:eastAsia="Arial" w:hAnsi="Arial"/>
                <w:sz w:val="14"/>
                <w:szCs w:val="14"/>
                <w:color w:val="auto"/>
              </w:rPr>
              <w:t>2,524,058</w:t>
            </w:r>
          </w:p>
        </w:tc>
        <w:tc>
          <w:tcPr>
            <w:tcW w:w="0" w:type="dxa"/>
            <w:vAlign w:val="bottom"/>
          </w:tcPr>
          <w:p>
            <w:pPr>
              <w:spacing w:after="0"/>
              <w:rPr>
                <w:sz w:val="1"/>
                <w:szCs w:val="1"/>
                <w:color w:val="auto"/>
              </w:rPr>
            </w:pPr>
          </w:p>
        </w:tc>
      </w:tr>
      <w:tr>
        <w:trPr>
          <w:trHeight w:val="181"/>
        </w:trPr>
        <w:tc>
          <w:tcPr>
            <w:tcW w:w="374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148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(PIK 11.50%)</w:t>
            </w:r>
          </w:p>
        </w:tc>
        <w:tc>
          <w:tcPr>
            <w:tcW w:w="7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20" w:type="dxa"/>
            <w:vAlign w:val="bottom"/>
            <w:tcBorders>
              <w:bottom w:val="single" w:sz="8" w:color="auto"/>
            </w:tcBorders>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40" w:type="dxa"/>
            <w:vAlign w:val="bottom"/>
            <w:tcBorders>
              <w:bottom w:val="single" w:sz="8" w:color="auto"/>
            </w:tcBorders>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3740" w:type="dxa"/>
            <w:vAlign w:val="bottom"/>
          </w:tcPr>
          <w:p>
            <w:pPr>
              <w:spacing w:after="0" w:line="155" w:lineRule="exact"/>
              <w:rPr>
                <w:sz w:val="20"/>
                <w:szCs w:val="20"/>
                <w:color w:val="auto"/>
              </w:rPr>
            </w:pPr>
            <w:r>
              <w:rPr>
                <w:rFonts w:ascii="Arial" w:cs="Arial" w:eastAsia="Arial" w:hAnsi="Arial"/>
                <w:sz w:val="14"/>
                <w:szCs w:val="14"/>
                <w:b w:val="1"/>
                <w:bCs w:val="1"/>
                <w:color w:val="auto"/>
              </w:rPr>
              <w:t>Total Second Lien Secured Debt</w:t>
            </w:r>
          </w:p>
        </w:tc>
        <w:tc>
          <w:tcPr>
            <w:tcW w:w="124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377,581,559</w:t>
            </w:r>
          </w:p>
        </w:tc>
        <w:tc>
          <w:tcPr>
            <w:tcW w:w="20" w:type="dxa"/>
            <w:vAlign w:val="bottom"/>
            <w:tcBorders>
              <w:bottom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8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383,828,395</w:t>
            </w: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240"/>
          </w:cols>
          <w:pgMar w:left="320" w:top="459" w:right="3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PENNANTPARK INVESTMENT CORPORATION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SCHEDULE OF INVESTMENTS—(Continued)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2013</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7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jc w:val="center"/>
              <w:spacing w:after="0"/>
              <w:rPr>
                <w:sz w:val="20"/>
                <w:szCs w:val="20"/>
                <w:color w:val="auto"/>
              </w:rPr>
            </w:pPr>
            <w:r>
              <w:rPr>
                <w:rFonts w:ascii="Arial" w:cs="Arial" w:eastAsia="Arial" w:hAnsi="Arial"/>
                <w:sz w:val="14"/>
                <w:szCs w:val="14"/>
                <w:b w:val="1"/>
                <w:bCs w:val="1"/>
                <w:color w:val="auto"/>
                <w:w w:val="89"/>
              </w:rPr>
              <w:t>Basis Point</w:t>
            </w:r>
          </w:p>
        </w:tc>
        <w:tc>
          <w:tcPr>
            <w:tcW w:w="8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372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820" w:type="dxa"/>
            <w:vAlign w:val="bottom"/>
            <w:vMerge w:val="restart"/>
          </w:tcPr>
          <w:p>
            <w:pPr>
              <w:jc w:val="right"/>
              <w:ind w:right="148"/>
              <w:spacing w:after="0"/>
              <w:rPr>
                <w:sz w:val="20"/>
                <w:szCs w:val="20"/>
                <w:color w:val="auto"/>
              </w:rPr>
            </w:pPr>
            <w:r>
              <w:rPr>
                <w:rFonts w:ascii="Arial" w:cs="Arial" w:eastAsia="Arial" w:hAnsi="Arial"/>
                <w:sz w:val="14"/>
                <w:szCs w:val="14"/>
                <w:b w:val="1"/>
                <w:bCs w:val="1"/>
                <w:color w:val="auto"/>
              </w:rPr>
              <w:t>Current</w:t>
            </w:r>
          </w:p>
        </w:tc>
        <w:tc>
          <w:tcPr>
            <w:tcW w:w="220" w:type="dxa"/>
            <w:vAlign w:val="bottom"/>
          </w:tcPr>
          <w:p>
            <w:pPr>
              <w:spacing w:after="0"/>
              <w:rPr>
                <w:sz w:val="12"/>
                <w:szCs w:val="12"/>
                <w:color w:val="auto"/>
              </w:rPr>
            </w:pPr>
          </w:p>
        </w:tc>
        <w:tc>
          <w:tcPr>
            <w:tcW w:w="8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Spread</w:t>
            </w:r>
          </w:p>
        </w:tc>
        <w:tc>
          <w:tcPr>
            <w:tcW w:w="820" w:type="dxa"/>
            <w:vAlign w:val="bottom"/>
            <w:vMerge w:val="restart"/>
          </w:tcPr>
          <w:p>
            <w:pPr>
              <w:jc w:val="right"/>
              <w:ind w:right="208"/>
              <w:spacing w:after="0"/>
              <w:rPr>
                <w:sz w:val="20"/>
                <w:szCs w:val="20"/>
                <w:color w:val="auto"/>
              </w:rPr>
            </w:pPr>
            <w:r>
              <w:rPr>
                <w:rFonts w:ascii="Arial" w:cs="Arial" w:eastAsia="Arial" w:hAnsi="Arial"/>
                <w:sz w:val="14"/>
                <w:szCs w:val="14"/>
                <w:b w:val="1"/>
                <w:bCs w:val="1"/>
                <w:color w:val="auto"/>
              </w:rPr>
              <w:t>Par /</w:t>
            </w:r>
          </w:p>
        </w:tc>
        <w:tc>
          <w:tcPr>
            <w:tcW w:w="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720" w:type="dxa"/>
            <w:vAlign w:val="bottom"/>
            <w:vMerge w:val="restart"/>
          </w:tcPr>
          <w:p>
            <w:pPr>
              <w:spacing w:after="0"/>
              <w:rPr>
                <w:sz w:val="20"/>
                <w:szCs w:val="20"/>
                <w:color w:val="auto"/>
              </w:rPr>
            </w:pPr>
            <w:r>
              <w:rPr>
                <w:rFonts w:ascii="Arial" w:cs="Arial" w:eastAsia="Arial" w:hAnsi="Arial"/>
                <w:sz w:val="14"/>
                <w:szCs w:val="14"/>
                <w:b w:val="1"/>
                <w:bCs w:val="1"/>
                <w:color w:val="auto"/>
              </w:rPr>
              <w:t>Issuer Name</w:t>
            </w:r>
          </w:p>
        </w:tc>
        <w:tc>
          <w:tcPr>
            <w:tcW w:w="1340" w:type="dxa"/>
            <w:vAlign w:val="bottom"/>
            <w:vMerge w:val="restart"/>
          </w:tcPr>
          <w:p>
            <w:pPr>
              <w:jc w:val="center"/>
              <w:ind w:left="548"/>
              <w:spacing w:after="0"/>
              <w:rPr>
                <w:sz w:val="20"/>
                <w:szCs w:val="20"/>
                <w:color w:val="auto"/>
              </w:rPr>
            </w:pPr>
            <w:r>
              <w:rPr>
                <w:rFonts w:ascii="Arial" w:cs="Arial" w:eastAsia="Arial" w:hAnsi="Arial"/>
                <w:sz w:val="14"/>
                <w:szCs w:val="14"/>
                <w:b w:val="1"/>
                <w:bCs w:val="1"/>
                <w:color w:val="auto"/>
              </w:rPr>
              <w:t>Maturity</w:t>
            </w:r>
          </w:p>
        </w:tc>
        <w:tc>
          <w:tcPr>
            <w:tcW w:w="14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7"/>
              </w:rPr>
              <w:t>Industry</w:t>
            </w:r>
          </w:p>
        </w:tc>
        <w:tc>
          <w:tcPr>
            <w:tcW w:w="82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Above</w:t>
            </w:r>
          </w:p>
        </w:tc>
        <w:tc>
          <w:tcPr>
            <w:tcW w:w="82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960" w:type="dxa"/>
            <w:vAlign w:val="bottom"/>
            <w:gridSpan w:val="2"/>
            <w:vMerge w:val="restart"/>
          </w:tcPr>
          <w:p>
            <w:pPr>
              <w:ind w:left="280"/>
              <w:spacing w:after="0"/>
              <w:rPr>
                <w:sz w:val="20"/>
                <w:szCs w:val="20"/>
                <w:color w:val="auto"/>
              </w:rPr>
            </w:pPr>
            <w:r>
              <w:rPr>
                <w:rFonts w:ascii="Arial" w:cs="Arial" w:eastAsia="Arial" w:hAnsi="Arial"/>
                <w:sz w:val="14"/>
                <w:szCs w:val="14"/>
                <w:b w:val="1"/>
                <w:bCs w:val="1"/>
                <w:color w:val="auto"/>
              </w:rPr>
              <w:t>Cost</w:t>
            </w:r>
          </w:p>
        </w:tc>
        <w:tc>
          <w:tcPr>
            <w:tcW w:w="9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 xml:space="preserve">Fair Value </w:t>
            </w:r>
            <w:r>
              <w:rPr>
                <w:rFonts w:ascii="Arial" w:cs="Arial" w:eastAsia="Arial" w:hAnsi="Arial"/>
                <w:sz w:val="12"/>
                <w:szCs w:val="12"/>
                <w:b w:val="1"/>
                <w:bCs w:val="1"/>
                <w:color w:val="auto"/>
              </w:rPr>
              <w:t>(3)</w:t>
            </w:r>
          </w:p>
        </w:tc>
        <w:tc>
          <w:tcPr>
            <w:tcW w:w="0" w:type="dxa"/>
            <w:vAlign w:val="bottom"/>
          </w:tcPr>
          <w:p>
            <w:pPr>
              <w:spacing w:after="0"/>
              <w:rPr>
                <w:sz w:val="1"/>
                <w:szCs w:val="1"/>
                <w:color w:val="auto"/>
              </w:rPr>
            </w:pPr>
          </w:p>
        </w:tc>
      </w:tr>
      <w:tr>
        <w:trPr>
          <w:trHeight w:val="171"/>
        </w:trPr>
        <w:tc>
          <w:tcPr>
            <w:tcW w:w="3720" w:type="dxa"/>
            <w:vAlign w:val="bottom"/>
            <w:vMerge w:val="continue"/>
          </w:tcPr>
          <w:p>
            <w:pPr>
              <w:spacing w:after="0"/>
              <w:rPr>
                <w:sz w:val="14"/>
                <w:szCs w:val="14"/>
                <w:color w:val="auto"/>
              </w:rPr>
            </w:pPr>
          </w:p>
        </w:tc>
        <w:tc>
          <w:tcPr>
            <w:tcW w:w="1340" w:type="dxa"/>
            <w:vAlign w:val="bottom"/>
            <w:vMerge w:val="continue"/>
          </w:tcPr>
          <w:p>
            <w:pPr>
              <w:spacing w:after="0"/>
              <w:rPr>
                <w:sz w:val="14"/>
                <w:szCs w:val="14"/>
                <w:color w:val="auto"/>
              </w:rPr>
            </w:pPr>
          </w:p>
        </w:tc>
        <w:tc>
          <w:tcPr>
            <w:tcW w:w="1480" w:type="dxa"/>
            <w:vAlign w:val="bottom"/>
            <w:vMerge w:val="continue"/>
          </w:tcPr>
          <w:p>
            <w:pPr>
              <w:spacing w:after="0"/>
              <w:rPr>
                <w:sz w:val="14"/>
                <w:szCs w:val="14"/>
                <w:color w:val="auto"/>
              </w:rPr>
            </w:pPr>
          </w:p>
        </w:tc>
        <w:tc>
          <w:tcPr>
            <w:tcW w:w="820" w:type="dxa"/>
            <w:vAlign w:val="bottom"/>
          </w:tcPr>
          <w:p>
            <w:pPr>
              <w:jc w:val="right"/>
              <w:ind w:right="148"/>
              <w:spacing w:after="0"/>
              <w:rPr>
                <w:sz w:val="20"/>
                <w:szCs w:val="20"/>
                <w:color w:val="auto"/>
              </w:rPr>
            </w:pPr>
            <w:r>
              <w:rPr>
                <w:rFonts w:ascii="Arial" w:cs="Arial" w:eastAsia="Arial" w:hAnsi="Arial"/>
                <w:sz w:val="14"/>
                <w:szCs w:val="14"/>
                <w:b w:val="1"/>
                <w:bCs w:val="1"/>
                <w:color w:val="auto"/>
              </w:rPr>
              <w:t>Coupon</w:t>
            </w:r>
          </w:p>
        </w:tc>
        <w:tc>
          <w:tcPr>
            <w:tcW w:w="220" w:type="dxa"/>
            <w:vAlign w:val="bottom"/>
          </w:tcPr>
          <w:p>
            <w:pPr>
              <w:spacing w:after="0"/>
              <w:rPr>
                <w:sz w:val="14"/>
                <w:szCs w:val="14"/>
                <w:color w:val="auto"/>
              </w:rPr>
            </w:pPr>
          </w:p>
        </w:tc>
        <w:tc>
          <w:tcPr>
            <w:tcW w:w="840" w:type="dxa"/>
            <w:vAlign w:val="bottom"/>
          </w:tcPr>
          <w:p>
            <w:pPr>
              <w:jc w:val="center"/>
              <w:spacing w:after="0"/>
              <w:rPr>
                <w:sz w:val="20"/>
                <w:szCs w:val="20"/>
                <w:color w:val="auto"/>
              </w:rPr>
            </w:pPr>
            <w:r>
              <w:rPr>
                <w:rFonts w:ascii="Arial" w:cs="Arial" w:eastAsia="Arial" w:hAnsi="Arial"/>
                <w:sz w:val="14"/>
                <w:szCs w:val="14"/>
                <w:b w:val="1"/>
                <w:bCs w:val="1"/>
                <w:color w:val="auto"/>
                <w:w w:val="94"/>
              </w:rPr>
              <w:t xml:space="preserve">Index </w:t>
            </w:r>
            <w:r>
              <w:rPr>
                <w:rFonts w:ascii="Arial" w:cs="Arial" w:eastAsia="Arial" w:hAnsi="Arial"/>
                <w:sz w:val="12"/>
                <w:szCs w:val="12"/>
                <w:b w:val="1"/>
                <w:bCs w:val="1"/>
                <w:color w:val="auto"/>
                <w:w w:val="94"/>
              </w:rPr>
              <w:t>(4)</w:t>
            </w:r>
          </w:p>
        </w:tc>
        <w:tc>
          <w:tcPr>
            <w:tcW w:w="820" w:type="dxa"/>
            <w:vAlign w:val="bottom"/>
          </w:tcPr>
          <w:p>
            <w:pPr>
              <w:jc w:val="right"/>
              <w:ind w:right="148"/>
              <w:spacing w:after="0"/>
              <w:rPr>
                <w:sz w:val="20"/>
                <w:szCs w:val="20"/>
                <w:color w:val="auto"/>
              </w:rPr>
            </w:pPr>
            <w:r>
              <w:rPr>
                <w:rFonts w:ascii="Arial" w:cs="Arial" w:eastAsia="Arial" w:hAnsi="Arial"/>
                <w:sz w:val="14"/>
                <w:szCs w:val="14"/>
                <w:b w:val="1"/>
                <w:bCs w:val="1"/>
                <w:color w:val="auto"/>
              </w:rPr>
              <w:t>Shares</w:t>
            </w:r>
          </w:p>
        </w:tc>
        <w:tc>
          <w:tcPr>
            <w:tcW w:w="60" w:type="dxa"/>
            <w:vAlign w:val="bottom"/>
          </w:tcPr>
          <w:p>
            <w:pPr>
              <w:spacing w:after="0"/>
              <w:rPr>
                <w:sz w:val="14"/>
                <w:szCs w:val="14"/>
                <w:color w:val="auto"/>
              </w:rPr>
            </w:pPr>
          </w:p>
        </w:tc>
        <w:tc>
          <w:tcPr>
            <w:tcW w:w="960" w:type="dxa"/>
            <w:vAlign w:val="bottom"/>
            <w:gridSpan w:val="2"/>
            <w:vMerge w:val="continue"/>
          </w:tcPr>
          <w:p>
            <w:pPr>
              <w:spacing w:after="0"/>
              <w:rPr>
                <w:sz w:val="14"/>
                <w:szCs w:val="14"/>
                <w:color w:val="auto"/>
              </w:rPr>
            </w:pPr>
          </w:p>
        </w:tc>
        <w:tc>
          <w:tcPr>
            <w:tcW w:w="9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72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Subordinated Debt/Corporate Notes—43.1%</w:t>
            </w:r>
          </w:p>
        </w:tc>
        <w:tc>
          <w:tcPr>
            <w:tcW w:w="1340" w:type="dxa"/>
            <w:vAlign w:val="bottom"/>
            <w:tcBorders>
              <w:top w:val="single" w:sz="8" w:color="auto"/>
            </w:tcBorders>
            <w:shd w:val="clear" w:color="auto" w:fill="CCEEFF"/>
          </w:tcPr>
          <w:p>
            <w:pPr>
              <w:spacing w:after="0"/>
              <w:rPr>
                <w:sz w:val="12"/>
                <w:szCs w:val="12"/>
                <w:color w:val="auto"/>
              </w:rPr>
            </w:pPr>
          </w:p>
        </w:tc>
        <w:tc>
          <w:tcPr>
            <w:tcW w:w="1480" w:type="dxa"/>
            <w:vAlign w:val="bottom"/>
            <w:tcBorders>
              <w:top w:val="single" w:sz="8" w:color="auto"/>
            </w:tcBorders>
            <w:shd w:val="clear" w:color="auto" w:fill="CCEEFF"/>
          </w:tcPr>
          <w:p>
            <w:pPr>
              <w:spacing w:after="0"/>
              <w:rPr>
                <w:sz w:val="12"/>
                <w:szCs w:val="12"/>
                <w:color w:val="auto"/>
              </w:rPr>
            </w:pPr>
          </w:p>
        </w:tc>
        <w:tc>
          <w:tcPr>
            <w:tcW w:w="820" w:type="dxa"/>
            <w:vAlign w:val="bottom"/>
            <w:tcBorders>
              <w:top w:val="single" w:sz="8" w:color="auto"/>
            </w:tcBorders>
            <w:shd w:val="clear" w:color="auto" w:fill="CCEEFF"/>
          </w:tcPr>
          <w:p>
            <w:pPr>
              <w:spacing w:after="0"/>
              <w:rPr>
                <w:sz w:val="12"/>
                <w:szCs w:val="12"/>
                <w:color w:val="auto"/>
              </w:rPr>
            </w:pPr>
          </w:p>
        </w:tc>
        <w:tc>
          <w:tcPr>
            <w:tcW w:w="220" w:type="dxa"/>
            <w:vAlign w:val="bottom"/>
            <w:tcBorders>
              <w:top w:val="single" w:sz="8" w:color="auto"/>
            </w:tcBorders>
            <w:shd w:val="clear" w:color="auto" w:fill="CCEEFF"/>
          </w:tcPr>
          <w:p>
            <w:pPr>
              <w:spacing w:after="0"/>
              <w:rPr>
                <w:sz w:val="12"/>
                <w:szCs w:val="12"/>
                <w:color w:val="auto"/>
              </w:rPr>
            </w:pPr>
          </w:p>
        </w:tc>
        <w:tc>
          <w:tcPr>
            <w:tcW w:w="840" w:type="dxa"/>
            <w:vAlign w:val="bottom"/>
            <w:tcBorders>
              <w:top w:val="single" w:sz="8" w:color="auto"/>
            </w:tcBorders>
            <w:shd w:val="clear" w:color="auto" w:fill="CCEEFF"/>
          </w:tcPr>
          <w:p>
            <w:pPr>
              <w:spacing w:after="0"/>
              <w:rPr>
                <w:sz w:val="12"/>
                <w:szCs w:val="12"/>
                <w:color w:val="auto"/>
              </w:rPr>
            </w:pPr>
          </w:p>
        </w:tc>
        <w:tc>
          <w:tcPr>
            <w:tcW w:w="820" w:type="dxa"/>
            <w:vAlign w:val="bottom"/>
            <w:tcBorders>
              <w:top w:val="single" w:sz="8" w:color="auto"/>
            </w:tcBorders>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spacing w:after="0"/>
              <w:rPr>
                <w:sz w:val="12"/>
                <w:szCs w:val="12"/>
                <w:color w:val="auto"/>
              </w:rPr>
            </w:pPr>
          </w:p>
        </w:tc>
        <w:tc>
          <w:tcPr>
            <w:tcW w:w="820" w:type="dxa"/>
            <w:vAlign w:val="bottom"/>
            <w:tcBorders>
              <w:top w:val="single" w:sz="8" w:color="auto"/>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840" w:type="dxa"/>
            <w:vAlign w:val="bottom"/>
            <w:tcBorders>
              <w:top w:val="single" w:sz="8" w:color="auto"/>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720" w:type="dxa"/>
            <w:vAlign w:val="bottom"/>
          </w:tcPr>
          <w:p>
            <w:pPr>
              <w:spacing w:after="0" w:line="149" w:lineRule="exact"/>
              <w:rPr>
                <w:sz w:val="20"/>
                <w:szCs w:val="20"/>
                <w:color w:val="auto"/>
              </w:rPr>
            </w:pPr>
            <w:r>
              <w:rPr>
                <w:rFonts w:ascii="Arial" w:cs="Arial" w:eastAsia="Arial" w:hAnsi="Arial"/>
                <w:sz w:val="14"/>
                <w:szCs w:val="14"/>
                <w:color w:val="auto"/>
              </w:rPr>
              <w:t>Acentia, LLC</w:t>
            </w:r>
          </w:p>
        </w:tc>
        <w:tc>
          <w:tcPr>
            <w:tcW w:w="1340" w:type="dxa"/>
            <w:vAlign w:val="bottom"/>
          </w:tcPr>
          <w:p>
            <w:pPr>
              <w:jc w:val="center"/>
              <w:ind w:left="548"/>
              <w:spacing w:after="0" w:line="149" w:lineRule="exact"/>
              <w:rPr>
                <w:sz w:val="20"/>
                <w:szCs w:val="20"/>
                <w:color w:val="auto"/>
              </w:rPr>
            </w:pPr>
            <w:r>
              <w:rPr>
                <w:rFonts w:ascii="Arial" w:cs="Arial" w:eastAsia="Arial" w:hAnsi="Arial"/>
                <w:sz w:val="14"/>
                <w:szCs w:val="14"/>
                <w:color w:val="auto"/>
                <w:w w:val="91"/>
              </w:rPr>
              <w:t>10/02/2017</w:t>
            </w:r>
          </w:p>
        </w:tc>
        <w:tc>
          <w:tcPr>
            <w:tcW w:w="1480" w:type="dxa"/>
            <w:vAlign w:val="bottom"/>
          </w:tcPr>
          <w:p>
            <w:pPr>
              <w:jc w:val="center"/>
              <w:spacing w:after="0" w:line="149" w:lineRule="exact"/>
              <w:rPr>
                <w:sz w:val="20"/>
                <w:szCs w:val="20"/>
                <w:color w:val="auto"/>
              </w:rPr>
            </w:pPr>
            <w:r>
              <w:rPr>
                <w:rFonts w:ascii="Arial" w:cs="Arial" w:eastAsia="Arial" w:hAnsi="Arial"/>
                <w:sz w:val="14"/>
                <w:szCs w:val="14"/>
                <w:color w:val="auto"/>
                <w:w w:val="93"/>
              </w:rPr>
              <w:t>Electronics</w:t>
            </w: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13.75%</w:t>
            </w:r>
          </w:p>
        </w:tc>
        <w:tc>
          <w:tcPr>
            <w:tcW w:w="220" w:type="dxa"/>
            <w:vAlign w:val="bottom"/>
          </w:tcPr>
          <w:p>
            <w:pPr>
              <w:spacing w:after="0"/>
              <w:rPr>
                <w:sz w:val="12"/>
                <w:szCs w:val="12"/>
                <w:color w:val="auto"/>
              </w:rPr>
            </w:pPr>
          </w:p>
        </w:tc>
        <w:tc>
          <w:tcPr>
            <w:tcW w:w="840" w:type="dxa"/>
            <w:vAlign w:val="bottom"/>
          </w:tcPr>
          <w:p>
            <w:pPr>
              <w:ind w:left="520"/>
              <w:spacing w:after="0" w:line="149" w:lineRule="exact"/>
              <w:rPr>
                <w:sz w:val="20"/>
                <w:szCs w:val="20"/>
                <w:color w:val="auto"/>
              </w:rPr>
            </w:pPr>
            <w:r>
              <w:rPr>
                <w:rFonts w:ascii="Arial" w:cs="Arial" w:eastAsia="Arial" w:hAnsi="Arial"/>
                <w:sz w:val="14"/>
                <w:szCs w:val="14"/>
                <w:color w:val="auto"/>
              </w:rPr>
              <w:t>—</w:t>
            </w:r>
          </w:p>
        </w:tc>
        <w:tc>
          <w:tcPr>
            <w:tcW w:w="820" w:type="dxa"/>
            <w:vAlign w:val="bottom"/>
          </w:tcPr>
          <w:p>
            <w:pPr>
              <w:jc w:val="right"/>
              <w:ind w:right="8"/>
              <w:spacing w:after="0" w:line="149" w:lineRule="exact"/>
              <w:rPr>
                <w:sz w:val="20"/>
                <w:szCs w:val="20"/>
                <w:color w:val="auto"/>
              </w:rPr>
            </w:pPr>
            <w:r>
              <w:rPr>
                <w:rFonts w:ascii="Arial" w:cs="Arial" w:eastAsia="Arial" w:hAnsi="Arial"/>
                <w:sz w:val="14"/>
                <w:szCs w:val="14"/>
                <w:color w:val="auto"/>
              </w:rPr>
              <w:t>19,000,000</w:t>
            </w:r>
          </w:p>
        </w:tc>
        <w:tc>
          <w:tcPr>
            <w:tcW w:w="1020" w:type="dxa"/>
            <w:vAlign w:val="bottom"/>
            <w:gridSpan w:val="3"/>
          </w:tcPr>
          <w:p>
            <w:pPr>
              <w:jc w:val="right"/>
              <w:ind w:right="140"/>
              <w:spacing w:after="0" w:line="149" w:lineRule="exact"/>
              <w:rPr>
                <w:sz w:val="20"/>
                <w:szCs w:val="20"/>
                <w:color w:val="auto"/>
              </w:rPr>
            </w:pPr>
            <w:r>
              <w:rPr>
                <w:rFonts w:ascii="Arial" w:cs="Arial" w:eastAsia="Arial" w:hAnsi="Arial"/>
                <w:sz w:val="14"/>
                <w:szCs w:val="14"/>
                <w:color w:val="auto"/>
              </w:rPr>
              <w:t>$  18,630,454</w:t>
            </w:r>
          </w:p>
        </w:tc>
        <w:tc>
          <w:tcPr>
            <w:tcW w:w="98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w w:val="95"/>
              </w:rPr>
              <w:t>$  18,574,063</w:t>
            </w:r>
          </w:p>
        </w:tc>
        <w:tc>
          <w:tcPr>
            <w:tcW w:w="0" w:type="dxa"/>
            <w:vAlign w:val="bottom"/>
          </w:tcPr>
          <w:p>
            <w:pPr>
              <w:spacing w:after="0"/>
              <w:rPr>
                <w:sz w:val="1"/>
                <w:szCs w:val="1"/>
                <w:color w:val="auto"/>
              </w:rPr>
            </w:pPr>
          </w:p>
        </w:tc>
      </w:tr>
      <w:tr>
        <w:trPr>
          <w:trHeight w:val="130"/>
        </w:trPr>
        <w:tc>
          <w:tcPr>
            <w:tcW w:w="372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 xml:space="preserve">Affinion Group Holdings, Inc. </w:t>
            </w:r>
            <w:r>
              <w:rPr>
                <w:rFonts w:ascii="Arial" w:cs="Arial" w:eastAsia="Arial" w:hAnsi="Arial"/>
                <w:sz w:val="12"/>
                <w:szCs w:val="12"/>
                <w:color w:val="auto"/>
              </w:rPr>
              <w:t>(5)</w:t>
            </w:r>
          </w:p>
        </w:tc>
        <w:tc>
          <w:tcPr>
            <w:tcW w:w="1340" w:type="dxa"/>
            <w:vAlign w:val="bottom"/>
            <w:shd w:val="clear" w:color="auto" w:fill="CCEEFF"/>
          </w:tcPr>
          <w:p>
            <w:pPr>
              <w:jc w:val="center"/>
              <w:ind w:left="548"/>
              <w:spacing w:after="0" w:line="130" w:lineRule="exact"/>
              <w:rPr>
                <w:sz w:val="20"/>
                <w:szCs w:val="20"/>
                <w:color w:val="auto"/>
              </w:rPr>
            </w:pPr>
            <w:r>
              <w:rPr>
                <w:rFonts w:ascii="Arial" w:cs="Arial" w:eastAsia="Arial" w:hAnsi="Arial"/>
                <w:sz w:val="14"/>
                <w:szCs w:val="14"/>
                <w:color w:val="auto"/>
                <w:w w:val="91"/>
              </w:rPr>
              <w:t>09/14/2018</w:t>
            </w:r>
          </w:p>
        </w:tc>
        <w:tc>
          <w:tcPr>
            <w:tcW w:w="1480" w:type="dxa"/>
            <w:vAlign w:val="bottom"/>
            <w:shd w:val="clear" w:color="auto" w:fill="CCEEFF"/>
          </w:tcPr>
          <w:p>
            <w:pPr>
              <w:jc w:val="center"/>
              <w:spacing w:after="0" w:line="130" w:lineRule="exact"/>
              <w:rPr>
                <w:sz w:val="20"/>
                <w:szCs w:val="20"/>
                <w:color w:val="auto"/>
              </w:rPr>
            </w:pPr>
            <w:r>
              <w:rPr>
                <w:rFonts w:ascii="Arial" w:cs="Arial" w:eastAsia="Arial" w:hAnsi="Arial"/>
                <w:sz w:val="14"/>
                <w:szCs w:val="14"/>
                <w:color w:val="auto"/>
                <w:w w:val="92"/>
              </w:rPr>
              <w:t>Consumer Products</w:t>
            </w:r>
          </w:p>
        </w:tc>
        <w:tc>
          <w:tcPr>
            <w:tcW w:w="820" w:type="dxa"/>
            <w:vAlign w:val="bottom"/>
            <w:shd w:val="clear" w:color="auto" w:fill="CCEEFF"/>
          </w:tcPr>
          <w:p>
            <w:pPr>
              <w:jc w:val="right"/>
              <w:spacing w:after="0" w:line="130" w:lineRule="exact"/>
              <w:rPr>
                <w:sz w:val="20"/>
                <w:szCs w:val="20"/>
                <w:color w:val="auto"/>
              </w:rPr>
            </w:pPr>
            <w:r>
              <w:rPr>
                <w:rFonts w:ascii="Arial" w:cs="Arial" w:eastAsia="Arial" w:hAnsi="Arial"/>
                <w:sz w:val="14"/>
                <w:szCs w:val="14"/>
                <w:color w:val="auto"/>
              </w:rPr>
              <w:t>14.50 %</w:t>
            </w:r>
          </w:p>
        </w:tc>
        <w:tc>
          <w:tcPr>
            <w:tcW w:w="220" w:type="dxa"/>
            <w:vAlign w:val="bottom"/>
            <w:shd w:val="clear" w:color="auto" w:fill="CCEEFF"/>
          </w:tcPr>
          <w:p>
            <w:pPr>
              <w:spacing w:after="0"/>
              <w:rPr>
                <w:sz w:val="11"/>
                <w:szCs w:val="11"/>
                <w:color w:val="auto"/>
              </w:rPr>
            </w:pPr>
          </w:p>
        </w:tc>
        <w:tc>
          <w:tcPr>
            <w:tcW w:w="840" w:type="dxa"/>
            <w:vAlign w:val="bottom"/>
            <w:shd w:val="clear" w:color="auto" w:fill="CCEEFF"/>
          </w:tcPr>
          <w:p>
            <w:pPr>
              <w:ind w:left="520"/>
              <w:spacing w:after="0" w:line="130" w:lineRule="exact"/>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ind w:right="8"/>
              <w:spacing w:after="0" w:line="130" w:lineRule="exact"/>
              <w:rPr>
                <w:sz w:val="20"/>
                <w:szCs w:val="20"/>
                <w:color w:val="auto"/>
              </w:rPr>
            </w:pPr>
            <w:r>
              <w:rPr>
                <w:rFonts w:ascii="Arial" w:cs="Arial" w:eastAsia="Arial" w:hAnsi="Arial"/>
                <w:sz w:val="14"/>
                <w:szCs w:val="14"/>
                <w:color w:val="auto"/>
              </w:rPr>
              <w:t>40,949,500</w:t>
            </w:r>
          </w:p>
        </w:tc>
        <w:tc>
          <w:tcPr>
            <w:tcW w:w="1020" w:type="dxa"/>
            <w:vAlign w:val="bottom"/>
            <w:gridSpan w:val="3"/>
            <w:shd w:val="clear" w:color="auto" w:fill="CCEEFF"/>
          </w:tcPr>
          <w:p>
            <w:pPr>
              <w:jc w:val="right"/>
              <w:ind w:right="140"/>
              <w:spacing w:after="0" w:line="130" w:lineRule="exact"/>
              <w:rPr>
                <w:sz w:val="20"/>
                <w:szCs w:val="20"/>
                <w:color w:val="auto"/>
              </w:rPr>
            </w:pPr>
            <w:r>
              <w:rPr>
                <w:rFonts w:ascii="Arial" w:cs="Arial" w:eastAsia="Arial" w:hAnsi="Arial"/>
                <w:sz w:val="14"/>
                <w:szCs w:val="14"/>
                <w:color w:val="auto"/>
              </w:rPr>
              <w:t>34,047,690</w:t>
            </w:r>
          </w:p>
        </w:tc>
        <w:tc>
          <w:tcPr>
            <w:tcW w:w="980" w:type="dxa"/>
            <w:vAlign w:val="bottom"/>
            <w:gridSpan w:val="2"/>
            <w:shd w:val="clear" w:color="auto" w:fill="CCEEFF"/>
          </w:tcPr>
          <w:p>
            <w:pPr>
              <w:jc w:val="right"/>
              <w:ind w:right="140"/>
              <w:spacing w:after="0" w:line="130" w:lineRule="exact"/>
              <w:rPr>
                <w:sz w:val="20"/>
                <w:szCs w:val="20"/>
                <w:color w:val="auto"/>
              </w:rPr>
            </w:pPr>
            <w:r>
              <w:rPr>
                <w:rFonts w:ascii="Arial" w:cs="Arial" w:eastAsia="Arial" w:hAnsi="Arial"/>
                <w:sz w:val="14"/>
                <w:szCs w:val="14"/>
                <w:color w:val="auto"/>
              </w:rPr>
              <w:t>34,602,328</w:t>
            </w:r>
          </w:p>
        </w:tc>
        <w:tc>
          <w:tcPr>
            <w:tcW w:w="0" w:type="dxa"/>
            <w:vAlign w:val="bottom"/>
          </w:tcPr>
          <w:p>
            <w:pPr>
              <w:spacing w:after="0"/>
              <w:rPr>
                <w:sz w:val="1"/>
                <w:szCs w:val="1"/>
                <w:color w:val="auto"/>
              </w:rPr>
            </w:pPr>
          </w:p>
        </w:tc>
      </w:tr>
      <w:tr>
        <w:trPr>
          <w:trHeight w:val="181"/>
        </w:trPr>
        <w:tc>
          <w:tcPr>
            <w:tcW w:w="372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c>
          <w:tcPr>
            <w:tcW w:w="148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jc w:val="right"/>
              <w:ind w:right="119"/>
              <w:spacing w:after="0"/>
              <w:rPr>
                <w:sz w:val="20"/>
                <w:szCs w:val="20"/>
                <w:color w:val="auto"/>
              </w:rPr>
            </w:pPr>
            <w:r>
              <w:rPr>
                <w:rFonts w:ascii="Arial" w:cs="Arial" w:eastAsia="Arial" w:hAnsi="Arial"/>
                <w:sz w:val="14"/>
                <w:szCs w:val="14"/>
                <w:color w:val="auto"/>
              </w:rPr>
              <w:t>(PIK 14.50%)</w:t>
            </w:r>
          </w:p>
        </w:tc>
        <w:tc>
          <w:tcPr>
            <w:tcW w:w="84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48"/>
        </w:trPr>
        <w:tc>
          <w:tcPr>
            <w:tcW w:w="3720" w:type="dxa"/>
            <w:vAlign w:val="bottom"/>
          </w:tcPr>
          <w:p>
            <w:pPr>
              <w:spacing w:after="0" w:line="149" w:lineRule="exact"/>
              <w:rPr>
                <w:sz w:val="20"/>
                <w:szCs w:val="20"/>
                <w:color w:val="auto"/>
              </w:rPr>
            </w:pPr>
            <w:r>
              <w:rPr>
                <w:rFonts w:ascii="Arial" w:cs="Arial" w:eastAsia="Arial" w:hAnsi="Arial"/>
                <w:sz w:val="14"/>
                <w:szCs w:val="14"/>
                <w:color w:val="auto"/>
              </w:rPr>
              <w:t xml:space="preserve">Affinion Investments LLC </w:t>
            </w:r>
            <w:r>
              <w:rPr>
                <w:rFonts w:ascii="Arial" w:cs="Arial" w:eastAsia="Arial" w:hAnsi="Arial"/>
                <w:sz w:val="12"/>
                <w:szCs w:val="12"/>
                <w:color w:val="auto"/>
              </w:rPr>
              <w:t>(5)</w:t>
            </w:r>
          </w:p>
        </w:tc>
        <w:tc>
          <w:tcPr>
            <w:tcW w:w="1340" w:type="dxa"/>
            <w:vAlign w:val="bottom"/>
          </w:tcPr>
          <w:p>
            <w:pPr>
              <w:jc w:val="center"/>
              <w:ind w:left="548"/>
              <w:spacing w:after="0" w:line="149" w:lineRule="exact"/>
              <w:rPr>
                <w:sz w:val="20"/>
                <w:szCs w:val="20"/>
                <w:color w:val="auto"/>
              </w:rPr>
            </w:pPr>
            <w:r>
              <w:rPr>
                <w:rFonts w:ascii="Arial" w:cs="Arial" w:eastAsia="Arial" w:hAnsi="Arial"/>
                <w:sz w:val="14"/>
                <w:szCs w:val="14"/>
                <w:color w:val="auto"/>
                <w:w w:val="91"/>
              </w:rPr>
              <w:t>08/15/2018</w:t>
            </w:r>
          </w:p>
        </w:tc>
        <w:tc>
          <w:tcPr>
            <w:tcW w:w="1480" w:type="dxa"/>
            <w:vAlign w:val="bottom"/>
          </w:tcPr>
          <w:p>
            <w:pPr>
              <w:jc w:val="center"/>
              <w:spacing w:after="0" w:line="149" w:lineRule="exact"/>
              <w:rPr>
                <w:sz w:val="20"/>
                <w:szCs w:val="20"/>
                <w:color w:val="auto"/>
              </w:rPr>
            </w:pPr>
            <w:r>
              <w:rPr>
                <w:rFonts w:ascii="Arial" w:cs="Arial" w:eastAsia="Arial" w:hAnsi="Arial"/>
                <w:sz w:val="14"/>
                <w:szCs w:val="14"/>
                <w:color w:val="auto"/>
                <w:w w:val="92"/>
              </w:rPr>
              <w:t>Consumer Products</w:t>
            </w: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13.50%</w:t>
            </w:r>
          </w:p>
        </w:tc>
        <w:tc>
          <w:tcPr>
            <w:tcW w:w="220" w:type="dxa"/>
            <w:vAlign w:val="bottom"/>
          </w:tcPr>
          <w:p>
            <w:pPr>
              <w:spacing w:after="0"/>
              <w:rPr>
                <w:sz w:val="12"/>
                <w:szCs w:val="12"/>
                <w:color w:val="auto"/>
              </w:rPr>
            </w:pPr>
          </w:p>
        </w:tc>
        <w:tc>
          <w:tcPr>
            <w:tcW w:w="840" w:type="dxa"/>
            <w:vAlign w:val="bottom"/>
          </w:tcPr>
          <w:p>
            <w:pPr>
              <w:ind w:left="520"/>
              <w:spacing w:after="0" w:line="149" w:lineRule="exact"/>
              <w:rPr>
                <w:sz w:val="20"/>
                <w:szCs w:val="20"/>
                <w:color w:val="auto"/>
              </w:rPr>
            </w:pPr>
            <w:r>
              <w:rPr>
                <w:rFonts w:ascii="Arial" w:cs="Arial" w:eastAsia="Arial" w:hAnsi="Arial"/>
                <w:sz w:val="14"/>
                <w:szCs w:val="14"/>
                <w:color w:val="auto"/>
              </w:rPr>
              <w:t>—</w:t>
            </w:r>
          </w:p>
        </w:tc>
        <w:tc>
          <w:tcPr>
            <w:tcW w:w="820" w:type="dxa"/>
            <w:vAlign w:val="bottom"/>
          </w:tcPr>
          <w:p>
            <w:pPr>
              <w:jc w:val="right"/>
              <w:ind w:right="8"/>
              <w:spacing w:after="0" w:line="149" w:lineRule="exact"/>
              <w:rPr>
                <w:sz w:val="20"/>
                <w:szCs w:val="20"/>
                <w:color w:val="auto"/>
              </w:rPr>
            </w:pPr>
            <w:r>
              <w:rPr>
                <w:rFonts w:ascii="Arial" w:cs="Arial" w:eastAsia="Arial" w:hAnsi="Arial"/>
                <w:sz w:val="14"/>
                <w:szCs w:val="14"/>
                <w:color w:val="auto"/>
              </w:rPr>
              <w:t>15,096,000</w:t>
            </w:r>
          </w:p>
        </w:tc>
        <w:tc>
          <w:tcPr>
            <w:tcW w:w="1020" w:type="dxa"/>
            <w:vAlign w:val="bottom"/>
            <w:gridSpan w:val="3"/>
          </w:tcPr>
          <w:p>
            <w:pPr>
              <w:jc w:val="right"/>
              <w:ind w:right="140"/>
              <w:spacing w:after="0" w:line="149" w:lineRule="exact"/>
              <w:rPr>
                <w:sz w:val="20"/>
                <w:szCs w:val="20"/>
                <w:color w:val="auto"/>
              </w:rPr>
            </w:pPr>
            <w:r>
              <w:rPr>
                <w:rFonts w:ascii="Arial" w:cs="Arial" w:eastAsia="Arial" w:hAnsi="Arial"/>
                <w:sz w:val="14"/>
                <w:szCs w:val="14"/>
                <w:color w:val="auto"/>
              </w:rPr>
              <w:t>15,206,083</w:t>
            </w:r>
          </w:p>
        </w:tc>
        <w:tc>
          <w:tcPr>
            <w:tcW w:w="98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15,020,520</w:t>
            </w:r>
          </w:p>
        </w:tc>
        <w:tc>
          <w:tcPr>
            <w:tcW w:w="0" w:type="dxa"/>
            <w:vAlign w:val="bottom"/>
          </w:tcPr>
          <w:p>
            <w:pPr>
              <w:spacing w:after="0"/>
              <w:rPr>
                <w:sz w:val="1"/>
                <w:szCs w:val="1"/>
                <w:color w:val="auto"/>
              </w:rPr>
            </w:pPr>
          </w:p>
        </w:tc>
      </w:tr>
      <w:tr>
        <w:trPr>
          <w:trHeight w:val="148"/>
        </w:trPr>
        <w:tc>
          <w:tcPr>
            <w:tcW w:w="37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Alegeus Technologies, LLC</w:t>
            </w:r>
          </w:p>
        </w:tc>
        <w:tc>
          <w:tcPr>
            <w:tcW w:w="1340" w:type="dxa"/>
            <w:vAlign w:val="bottom"/>
            <w:shd w:val="clear" w:color="auto" w:fill="CCEEFF"/>
          </w:tcPr>
          <w:p>
            <w:pPr>
              <w:jc w:val="center"/>
              <w:ind w:left="548"/>
              <w:spacing w:after="0" w:line="149" w:lineRule="exact"/>
              <w:rPr>
                <w:sz w:val="20"/>
                <w:szCs w:val="20"/>
                <w:color w:val="auto"/>
              </w:rPr>
            </w:pPr>
            <w:r>
              <w:rPr>
                <w:rFonts w:ascii="Arial" w:cs="Arial" w:eastAsia="Arial" w:hAnsi="Arial"/>
                <w:sz w:val="14"/>
                <w:szCs w:val="14"/>
                <w:color w:val="auto"/>
                <w:w w:val="91"/>
              </w:rPr>
              <w:t>02/15/2019</w:t>
            </w:r>
          </w:p>
        </w:tc>
        <w:tc>
          <w:tcPr>
            <w:tcW w:w="148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3"/>
              </w:rPr>
              <w:t>Financial Services</w:t>
            </w: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12.00%</w:t>
            </w:r>
          </w:p>
        </w:tc>
        <w:tc>
          <w:tcPr>
            <w:tcW w:w="220" w:type="dxa"/>
            <w:vAlign w:val="bottom"/>
            <w:shd w:val="clear" w:color="auto" w:fill="CCEEFF"/>
          </w:tcPr>
          <w:p>
            <w:pPr>
              <w:spacing w:after="0"/>
              <w:rPr>
                <w:sz w:val="12"/>
                <w:szCs w:val="12"/>
                <w:color w:val="auto"/>
              </w:rPr>
            </w:pPr>
          </w:p>
        </w:tc>
        <w:tc>
          <w:tcPr>
            <w:tcW w:w="840" w:type="dxa"/>
            <w:vAlign w:val="bottom"/>
            <w:shd w:val="clear" w:color="auto" w:fill="CCEEFF"/>
          </w:tcPr>
          <w:p>
            <w:pPr>
              <w:ind w:left="520"/>
              <w:spacing w:after="0" w:line="149" w:lineRule="exact"/>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rPr>
              <w:t>8,930,000</w:t>
            </w:r>
          </w:p>
        </w:tc>
        <w:tc>
          <w:tcPr>
            <w:tcW w:w="1020" w:type="dxa"/>
            <w:vAlign w:val="bottom"/>
            <w:gridSpan w:val="3"/>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8,780,963</w:t>
            </w:r>
          </w:p>
        </w:tc>
        <w:tc>
          <w:tcPr>
            <w:tcW w:w="9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8,847,229</w:t>
            </w:r>
          </w:p>
        </w:tc>
        <w:tc>
          <w:tcPr>
            <w:tcW w:w="0" w:type="dxa"/>
            <w:vAlign w:val="bottom"/>
          </w:tcPr>
          <w:p>
            <w:pPr>
              <w:spacing w:after="0"/>
              <w:rPr>
                <w:sz w:val="1"/>
                <w:szCs w:val="1"/>
                <w:color w:val="auto"/>
              </w:rPr>
            </w:pPr>
          </w:p>
        </w:tc>
      </w:tr>
      <w:tr>
        <w:trPr>
          <w:trHeight w:val="130"/>
        </w:trPr>
        <w:tc>
          <w:tcPr>
            <w:tcW w:w="3720" w:type="dxa"/>
            <w:vAlign w:val="bottom"/>
          </w:tcPr>
          <w:p>
            <w:pPr>
              <w:spacing w:after="0" w:line="130" w:lineRule="exact"/>
              <w:rPr>
                <w:sz w:val="20"/>
                <w:szCs w:val="20"/>
                <w:color w:val="auto"/>
              </w:rPr>
            </w:pPr>
            <w:r>
              <w:rPr>
                <w:rFonts w:ascii="Arial" w:cs="Arial" w:eastAsia="Arial" w:hAnsi="Arial"/>
                <w:sz w:val="14"/>
                <w:szCs w:val="14"/>
                <w:color w:val="auto"/>
              </w:rPr>
              <w:t>Convergint Technologies LLC</w:t>
            </w:r>
          </w:p>
        </w:tc>
        <w:tc>
          <w:tcPr>
            <w:tcW w:w="1340" w:type="dxa"/>
            <w:vAlign w:val="bottom"/>
          </w:tcPr>
          <w:p>
            <w:pPr>
              <w:jc w:val="center"/>
              <w:ind w:left="548"/>
              <w:spacing w:after="0" w:line="130" w:lineRule="exact"/>
              <w:rPr>
                <w:sz w:val="20"/>
                <w:szCs w:val="20"/>
                <w:color w:val="auto"/>
              </w:rPr>
            </w:pPr>
            <w:r>
              <w:rPr>
                <w:rFonts w:ascii="Arial" w:cs="Arial" w:eastAsia="Arial" w:hAnsi="Arial"/>
                <w:sz w:val="14"/>
                <w:szCs w:val="14"/>
                <w:color w:val="auto"/>
                <w:w w:val="91"/>
              </w:rPr>
              <w:t>03/26/2018</w:t>
            </w:r>
          </w:p>
        </w:tc>
        <w:tc>
          <w:tcPr>
            <w:tcW w:w="1480" w:type="dxa"/>
            <w:vAlign w:val="bottom"/>
          </w:tcPr>
          <w:p>
            <w:pPr>
              <w:jc w:val="center"/>
              <w:spacing w:after="0" w:line="130" w:lineRule="exact"/>
              <w:rPr>
                <w:sz w:val="20"/>
                <w:szCs w:val="20"/>
                <w:color w:val="auto"/>
              </w:rPr>
            </w:pPr>
            <w:r>
              <w:rPr>
                <w:rFonts w:ascii="Arial" w:cs="Arial" w:eastAsia="Arial" w:hAnsi="Arial"/>
                <w:sz w:val="14"/>
                <w:szCs w:val="14"/>
                <w:color w:val="auto"/>
                <w:w w:val="93"/>
              </w:rPr>
              <w:t>Electronics</w:t>
            </w:r>
          </w:p>
        </w:tc>
        <w:tc>
          <w:tcPr>
            <w:tcW w:w="820" w:type="dxa"/>
            <w:vAlign w:val="bottom"/>
          </w:tcPr>
          <w:p>
            <w:pPr>
              <w:jc w:val="right"/>
              <w:spacing w:after="0" w:line="130" w:lineRule="exact"/>
              <w:rPr>
                <w:sz w:val="20"/>
                <w:szCs w:val="20"/>
                <w:color w:val="auto"/>
              </w:rPr>
            </w:pPr>
            <w:r>
              <w:rPr>
                <w:rFonts w:ascii="Arial" w:cs="Arial" w:eastAsia="Arial" w:hAnsi="Arial"/>
                <w:sz w:val="14"/>
                <w:szCs w:val="14"/>
                <w:color w:val="auto"/>
              </w:rPr>
              <w:t>12.00%</w:t>
            </w:r>
          </w:p>
        </w:tc>
        <w:tc>
          <w:tcPr>
            <w:tcW w:w="220" w:type="dxa"/>
            <w:vAlign w:val="bottom"/>
          </w:tcPr>
          <w:p>
            <w:pPr>
              <w:spacing w:after="0"/>
              <w:rPr>
                <w:sz w:val="11"/>
                <w:szCs w:val="11"/>
                <w:color w:val="auto"/>
              </w:rPr>
            </w:pPr>
          </w:p>
        </w:tc>
        <w:tc>
          <w:tcPr>
            <w:tcW w:w="840" w:type="dxa"/>
            <w:vAlign w:val="bottom"/>
          </w:tcPr>
          <w:p>
            <w:pPr>
              <w:ind w:left="520"/>
              <w:spacing w:after="0" w:line="130" w:lineRule="exact"/>
              <w:rPr>
                <w:sz w:val="20"/>
                <w:szCs w:val="20"/>
                <w:color w:val="auto"/>
              </w:rPr>
            </w:pPr>
            <w:r>
              <w:rPr>
                <w:rFonts w:ascii="Arial" w:cs="Arial" w:eastAsia="Arial" w:hAnsi="Arial"/>
                <w:sz w:val="14"/>
                <w:szCs w:val="14"/>
                <w:color w:val="auto"/>
              </w:rPr>
              <w:t>—</w:t>
            </w:r>
          </w:p>
        </w:tc>
        <w:tc>
          <w:tcPr>
            <w:tcW w:w="820" w:type="dxa"/>
            <w:vAlign w:val="bottom"/>
          </w:tcPr>
          <w:p>
            <w:pPr>
              <w:jc w:val="right"/>
              <w:ind w:right="8"/>
              <w:spacing w:after="0" w:line="130" w:lineRule="exact"/>
              <w:rPr>
                <w:sz w:val="20"/>
                <w:szCs w:val="20"/>
                <w:color w:val="auto"/>
              </w:rPr>
            </w:pPr>
            <w:r>
              <w:rPr>
                <w:rFonts w:ascii="Arial" w:cs="Arial" w:eastAsia="Arial" w:hAnsi="Arial"/>
                <w:sz w:val="14"/>
                <w:szCs w:val="14"/>
                <w:color w:val="auto"/>
              </w:rPr>
              <w:t>23,574,586</w:t>
            </w:r>
          </w:p>
        </w:tc>
        <w:tc>
          <w:tcPr>
            <w:tcW w:w="1020" w:type="dxa"/>
            <w:vAlign w:val="bottom"/>
            <w:gridSpan w:val="3"/>
          </w:tcPr>
          <w:p>
            <w:pPr>
              <w:jc w:val="right"/>
              <w:ind w:right="140"/>
              <w:spacing w:after="0" w:line="130" w:lineRule="exact"/>
              <w:rPr>
                <w:sz w:val="20"/>
                <w:szCs w:val="20"/>
                <w:color w:val="auto"/>
              </w:rPr>
            </w:pPr>
            <w:r>
              <w:rPr>
                <w:rFonts w:ascii="Arial" w:cs="Arial" w:eastAsia="Arial" w:hAnsi="Arial"/>
                <w:sz w:val="14"/>
                <w:szCs w:val="14"/>
                <w:color w:val="auto"/>
              </w:rPr>
              <w:t>23,190,338</w:t>
            </w:r>
          </w:p>
        </w:tc>
        <w:tc>
          <w:tcPr>
            <w:tcW w:w="980" w:type="dxa"/>
            <w:vAlign w:val="bottom"/>
            <w:gridSpan w:val="2"/>
          </w:tcPr>
          <w:p>
            <w:pPr>
              <w:jc w:val="right"/>
              <w:ind w:right="140"/>
              <w:spacing w:after="0" w:line="130" w:lineRule="exact"/>
              <w:rPr>
                <w:sz w:val="20"/>
                <w:szCs w:val="20"/>
                <w:color w:val="auto"/>
              </w:rPr>
            </w:pPr>
            <w:r>
              <w:rPr>
                <w:rFonts w:ascii="Arial" w:cs="Arial" w:eastAsia="Arial" w:hAnsi="Arial"/>
                <w:sz w:val="14"/>
                <w:szCs w:val="14"/>
                <w:color w:val="auto"/>
              </w:rPr>
              <w:t>23,928,205</w:t>
            </w:r>
          </w:p>
        </w:tc>
        <w:tc>
          <w:tcPr>
            <w:tcW w:w="0" w:type="dxa"/>
            <w:vAlign w:val="bottom"/>
          </w:tcPr>
          <w:p>
            <w:pPr>
              <w:spacing w:after="0"/>
              <w:rPr>
                <w:sz w:val="1"/>
                <w:szCs w:val="1"/>
                <w:color w:val="auto"/>
              </w:rPr>
            </w:pPr>
          </w:p>
        </w:tc>
      </w:tr>
      <w:tr>
        <w:trPr>
          <w:trHeight w:val="181"/>
        </w:trPr>
        <w:tc>
          <w:tcPr>
            <w:tcW w:w="37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040" w:type="dxa"/>
            <w:vAlign w:val="bottom"/>
            <w:gridSpan w:val="2"/>
          </w:tcPr>
          <w:p>
            <w:pPr>
              <w:jc w:val="right"/>
              <w:ind w:right="119"/>
              <w:spacing w:after="0"/>
              <w:rPr>
                <w:sz w:val="20"/>
                <w:szCs w:val="20"/>
                <w:color w:val="auto"/>
              </w:rPr>
            </w:pPr>
            <w:r>
              <w:rPr>
                <w:rFonts w:ascii="Arial" w:cs="Arial" w:eastAsia="Arial" w:hAnsi="Arial"/>
                <w:sz w:val="14"/>
                <w:szCs w:val="14"/>
                <w:color w:val="auto"/>
              </w:rPr>
              <w:t>(PIK 1.00%)</w:t>
            </w:r>
          </w:p>
        </w:tc>
        <w:tc>
          <w:tcPr>
            <w:tcW w:w="8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0"/>
        </w:trPr>
        <w:tc>
          <w:tcPr>
            <w:tcW w:w="372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Credit Infonet, Inc.</w:t>
            </w:r>
          </w:p>
        </w:tc>
        <w:tc>
          <w:tcPr>
            <w:tcW w:w="1340" w:type="dxa"/>
            <w:vAlign w:val="bottom"/>
            <w:shd w:val="clear" w:color="auto" w:fill="CCEEFF"/>
          </w:tcPr>
          <w:p>
            <w:pPr>
              <w:jc w:val="center"/>
              <w:ind w:left="548"/>
              <w:spacing w:after="0" w:line="130" w:lineRule="exact"/>
              <w:rPr>
                <w:sz w:val="20"/>
                <w:szCs w:val="20"/>
                <w:color w:val="auto"/>
              </w:rPr>
            </w:pPr>
            <w:r>
              <w:rPr>
                <w:rFonts w:ascii="Arial" w:cs="Arial" w:eastAsia="Arial" w:hAnsi="Arial"/>
                <w:sz w:val="14"/>
                <w:szCs w:val="14"/>
                <w:color w:val="auto"/>
                <w:w w:val="91"/>
              </w:rPr>
              <w:t>10/26/2018</w:t>
            </w:r>
          </w:p>
        </w:tc>
        <w:tc>
          <w:tcPr>
            <w:tcW w:w="1480" w:type="dxa"/>
            <w:vAlign w:val="bottom"/>
            <w:shd w:val="clear" w:color="auto" w:fill="CCEEFF"/>
          </w:tcPr>
          <w:p>
            <w:pPr>
              <w:jc w:val="center"/>
              <w:spacing w:after="0" w:line="130" w:lineRule="exact"/>
              <w:rPr>
                <w:sz w:val="20"/>
                <w:szCs w:val="20"/>
                <w:color w:val="auto"/>
              </w:rPr>
            </w:pPr>
            <w:r>
              <w:rPr>
                <w:rFonts w:ascii="Arial" w:cs="Arial" w:eastAsia="Arial" w:hAnsi="Arial"/>
                <w:sz w:val="14"/>
                <w:szCs w:val="14"/>
                <w:color w:val="auto"/>
                <w:w w:val="89"/>
              </w:rPr>
              <w:t>Personal, Food and</w:t>
            </w:r>
          </w:p>
        </w:tc>
        <w:tc>
          <w:tcPr>
            <w:tcW w:w="820" w:type="dxa"/>
            <w:vAlign w:val="bottom"/>
            <w:shd w:val="clear" w:color="auto" w:fill="CCEEFF"/>
          </w:tcPr>
          <w:p>
            <w:pPr>
              <w:jc w:val="right"/>
              <w:spacing w:after="0" w:line="130" w:lineRule="exact"/>
              <w:rPr>
                <w:sz w:val="20"/>
                <w:szCs w:val="20"/>
                <w:color w:val="auto"/>
              </w:rPr>
            </w:pPr>
            <w:r>
              <w:rPr>
                <w:rFonts w:ascii="Arial" w:cs="Arial" w:eastAsia="Arial" w:hAnsi="Arial"/>
                <w:sz w:val="14"/>
                <w:szCs w:val="14"/>
                <w:color w:val="auto"/>
              </w:rPr>
              <w:t>12.25%</w:t>
            </w:r>
          </w:p>
        </w:tc>
        <w:tc>
          <w:tcPr>
            <w:tcW w:w="220" w:type="dxa"/>
            <w:vAlign w:val="bottom"/>
            <w:shd w:val="clear" w:color="auto" w:fill="CCEEFF"/>
          </w:tcPr>
          <w:p>
            <w:pPr>
              <w:spacing w:after="0"/>
              <w:rPr>
                <w:sz w:val="11"/>
                <w:szCs w:val="11"/>
                <w:color w:val="auto"/>
              </w:rPr>
            </w:pPr>
          </w:p>
        </w:tc>
        <w:tc>
          <w:tcPr>
            <w:tcW w:w="840" w:type="dxa"/>
            <w:vAlign w:val="bottom"/>
            <w:shd w:val="clear" w:color="auto" w:fill="CCEEFF"/>
          </w:tcPr>
          <w:p>
            <w:pPr>
              <w:ind w:left="520"/>
              <w:spacing w:after="0" w:line="130" w:lineRule="exact"/>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ind w:right="8"/>
              <w:spacing w:after="0" w:line="130" w:lineRule="exact"/>
              <w:rPr>
                <w:sz w:val="20"/>
                <w:szCs w:val="20"/>
                <w:color w:val="auto"/>
              </w:rPr>
            </w:pPr>
            <w:r>
              <w:rPr>
                <w:rFonts w:ascii="Arial" w:cs="Arial" w:eastAsia="Arial" w:hAnsi="Arial"/>
                <w:sz w:val="14"/>
                <w:szCs w:val="14"/>
                <w:color w:val="auto"/>
              </w:rPr>
              <w:t>10,600,000</w:t>
            </w:r>
          </w:p>
        </w:tc>
        <w:tc>
          <w:tcPr>
            <w:tcW w:w="1020" w:type="dxa"/>
            <w:vAlign w:val="bottom"/>
            <w:gridSpan w:val="3"/>
            <w:shd w:val="clear" w:color="auto" w:fill="CCEEFF"/>
          </w:tcPr>
          <w:p>
            <w:pPr>
              <w:jc w:val="right"/>
              <w:ind w:right="140"/>
              <w:spacing w:after="0" w:line="130" w:lineRule="exact"/>
              <w:rPr>
                <w:sz w:val="20"/>
                <w:szCs w:val="20"/>
                <w:color w:val="auto"/>
              </w:rPr>
            </w:pPr>
            <w:r>
              <w:rPr>
                <w:rFonts w:ascii="Arial" w:cs="Arial" w:eastAsia="Arial" w:hAnsi="Arial"/>
                <w:sz w:val="14"/>
                <w:szCs w:val="14"/>
                <w:color w:val="auto"/>
              </w:rPr>
              <w:t>10,406,446</w:t>
            </w:r>
          </w:p>
        </w:tc>
        <w:tc>
          <w:tcPr>
            <w:tcW w:w="980" w:type="dxa"/>
            <w:vAlign w:val="bottom"/>
            <w:gridSpan w:val="2"/>
            <w:shd w:val="clear" w:color="auto" w:fill="CCEEFF"/>
          </w:tcPr>
          <w:p>
            <w:pPr>
              <w:jc w:val="right"/>
              <w:ind w:right="140"/>
              <w:spacing w:after="0" w:line="130" w:lineRule="exact"/>
              <w:rPr>
                <w:sz w:val="20"/>
                <w:szCs w:val="20"/>
                <w:color w:val="auto"/>
              </w:rPr>
            </w:pPr>
            <w:r>
              <w:rPr>
                <w:rFonts w:ascii="Arial" w:cs="Arial" w:eastAsia="Arial" w:hAnsi="Arial"/>
                <w:sz w:val="14"/>
                <w:szCs w:val="14"/>
                <w:color w:val="auto"/>
              </w:rPr>
              <w:t>10,694,878</w:t>
            </w:r>
          </w:p>
        </w:tc>
        <w:tc>
          <w:tcPr>
            <w:tcW w:w="0" w:type="dxa"/>
            <w:vAlign w:val="bottom"/>
          </w:tcPr>
          <w:p>
            <w:pPr>
              <w:spacing w:after="0"/>
              <w:rPr>
                <w:sz w:val="1"/>
                <w:szCs w:val="1"/>
                <w:color w:val="auto"/>
              </w:rPr>
            </w:pPr>
          </w:p>
        </w:tc>
      </w:tr>
      <w:tr>
        <w:trPr>
          <w:trHeight w:val="167"/>
        </w:trPr>
        <w:tc>
          <w:tcPr>
            <w:tcW w:w="3720" w:type="dxa"/>
            <w:vAlign w:val="bottom"/>
            <w:shd w:val="clear" w:color="auto" w:fill="CCEEFF"/>
          </w:tcPr>
          <w:p>
            <w:pPr>
              <w:spacing w:after="0"/>
              <w:rPr>
                <w:sz w:val="14"/>
                <w:szCs w:val="14"/>
                <w:color w:val="auto"/>
              </w:rPr>
            </w:pPr>
          </w:p>
        </w:tc>
        <w:tc>
          <w:tcPr>
            <w:tcW w:w="1340" w:type="dxa"/>
            <w:vAlign w:val="bottom"/>
            <w:shd w:val="clear" w:color="auto" w:fill="CCEEFF"/>
          </w:tcPr>
          <w:p>
            <w:pPr>
              <w:spacing w:after="0"/>
              <w:rPr>
                <w:sz w:val="14"/>
                <w:szCs w:val="14"/>
                <w:color w:val="auto"/>
              </w:rPr>
            </w:pPr>
          </w:p>
        </w:tc>
        <w:tc>
          <w:tcPr>
            <w:tcW w:w="14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2"/>
              </w:rPr>
              <w:t>Miscellaneous Services</w:t>
            </w:r>
          </w:p>
        </w:tc>
        <w:tc>
          <w:tcPr>
            <w:tcW w:w="8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3720" w:type="dxa"/>
            <w:vAlign w:val="bottom"/>
          </w:tcPr>
          <w:p>
            <w:pPr>
              <w:spacing w:after="0" w:line="130" w:lineRule="exact"/>
              <w:rPr>
                <w:sz w:val="20"/>
                <w:szCs w:val="20"/>
                <w:color w:val="auto"/>
              </w:rPr>
            </w:pPr>
            <w:r>
              <w:rPr>
                <w:rFonts w:ascii="Arial" w:cs="Arial" w:eastAsia="Arial" w:hAnsi="Arial"/>
                <w:sz w:val="14"/>
                <w:szCs w:val="14"/>
                <w:color w:val="auto"/>
              </w:rPr>
              <w:t>JF Acquisition, LLC</w:t>
            </w:r>
          </w:p>
        </w:tc>
        <w:tc>
          <w:tcPr>
            <w:tcW w:w="1340" w:type="dxa"/>
            <w:vAlign w:val="bottom"/>
          </w:tcPr>
          <w:p>
            <w:pPr>
              <w:jc w:val="center"/>
              <w:ind w:left="548"/>
              <w:spacing w:after="0" w:line="130" w:lineRule="exact"/>
              <w:rPr>
                <w:sz w:val="20"/>
                <w:szCs w:val="20"/>
                <w:color w:val="auto"/>
              </w:rPr>
            </w:pPr>
            <w:r>
              <w:rPr>
                <w:rFonts w:ascii="Arial" w:cs="Arial" w:eastAsia="Arial" w:hAnsi="Arial"/>
                <w:sz w:val="14"/>
                <w:szCs w:val="14"/>
                <w:color w:val="auto"/>
                <w:w w:val="91"/>
              </w:rPr>
              <w:t>06/30/2017</w:t>
            </w:r>
          </w:p>
        </w:tc>
        <w:tc>
          <w:tcPr>
            <w:tcW w:w="1480" w:type="dxa"/>
            <w:vAlign w:val="bottom"/>
          </w:tcPr>
          <w:p>
            <w:pPr>
              <w:jc w:val="center"/>
              <w:spacing w:after="0" w:line="130" w:lineRule="exact"/>
              <w:rPr>
                <w:sz w:val="20"/>
                <w:szCs w:val="20"/>
                <w:color w:val="auto"/>
              </w:rPr>
            </w:pPr>
            <w:r>
              <w:rPr>
                <w:rFonts w:ascii="Arial" w:cs="Arial" w:eastAsia="Arial" w:hAnsi="Arial"/>
                <w:sz w:val="14"/>
                <w:szCs w:val="14"/>
                <w:color w:val="auto"/>
                <w:w w:val="99"/>
              </w:rPr>
              <w:t>Distribution</w:t>
            </w:r>
          </w:p>
        </w:tc>
        <w:tc>
          <w:tcPr>
            <w:tcW w:w="820" w:type="dxa"/>
            <w:vAlign w:val="bottom"/>
          </w:tcPr>
          <w:p>
            <w:pPr>
              <w:jc w:val="right"/>
              <w:spacing w:after="0" w:line="130" w:lineRule="exact"/>
              <w:rPr>
                <w:sz w:val="20"/>
                <w:szCs w:val="20"/>
                <w:color w:val="auto"/>
              </w:rPr>
            </w:pPr>
            <w:r>
              <w:rPr>
                <w:rFonts w:ascii="Arial" w:cs="Arial" w:eastAsia="Arial" w:hAnsi="Arial"/>
                <w:sz w:val="14"/>
                <w:szCs w:val="14"/>
                <w:color w:val="auto"/>
              </w:rPr>
              <w:t>14.00%</w:t>
            </w:r>
          </w:p>
        </w:tc>
        <w:tc>
          <w:tcPr>
            <w:tcW w:w="220" w:type="dxa"/>
            <w:vAlign w:val="bottom"/>
          </w:tcPr>
          <w:p>
            <w:pPr>
              <w:spacing w:after="0"/>
              <w:rPr>
                <w:sz w:val="11"/>
                <w:szCs w:val="11"/>
                <w:color w:val="auto"/>
              </w:rPr>
            </w:pPr>
          </w:p>
        </w:tc>
        <w:tc>
          <w:tcPr>
            <w:tcW w:w="840" w:type="dxa"/>
            <w:vAlign w:val="bottom"/>
          </w:tcPr>
          <w:p>
            <w:pPr>
              <w:ind w:left="520"/>
              <w:spacing w:after="0" w:line="130" w:lineRule="exact"/>
              <w:rPr>
                <w:sz w:val="20"/>
                <w:szCs w:val="20"/>
                <w:color w:val="auto"/>
              </w:rPr>
            </w:pPr>
            <w:r>
              <w:rPr>
                <w:rFonts w:ascii="Arial" w:cs="Arial" w:eastAsia="Arial" w:hAnsi="Arial"/>
                <w:sz w:val="14"/>
                <w:szCs w:val="14"/>
                <w:color w:val="auto"/>
              </w:rPr>
              <w:t>—</w:t>
            </w:r>
          </w:p>
        </w:tc>
        <w:tc>
          <w:tcPr>
            <w:tcW w:w="820" w:type="dxa"/>
            <w:vAlign w:val="bottom"/>
          </w:tcPr>
          <w:p>
            <w:pPr>
              <w:jc w:val="right"/>
              <w:ind w:right="8"/>
              <w:spacing w:after="0" w:line="130" w:lineRule="exact"/>
              <w:rPr>
                <w:sz w:val="20"/>
                <w:szCs w:val="20"/>
                <w:color w:val="auto"/>
              </w:rPr>
            </w:pPr>
            <w:r>
              <w:rPr>
                <w:rFonts w:ascii="Arial" w:cs="Arial" w:eastAsia="Arial" w:hAnsi="Arial"/>
                <w:sz w:val="14"/>
                <w:szCs w:val="14"/>
                <w:color w:val="auto"/>
              </w:rPr>
              <w:t>17,604,973</w:t>
            </w:r>
          </w:p>
        </w:tc>
        <w:tc>
          <w:tcPr>
            <w:tcW w:w="1020" w:type="dxa"/>
            <w:vAlign w:val="bottom"/>
            <w:gridSpan w:val="3"/>
          </w:tcPr>
          <w:p>
            <w:pPr>
              <w:jc w:val="right"/>
              <w:ind w:right="140"/>
              <w:spacing w:after="0" w:line="130" w:lineRule="exact"/>
              <w:rPr>
                <w:sz w:val="20"/>
                <w:szCs w:val="20"/>
                <w:color w:val="auto"/>
              </w:rPr>
            </w:pPr>
            <w:r>
              <w:rPr>
                <w:rFonts w:ascii="Arial" w:cs="Arial" w:eastAsia="Arial" w:hAnsi="Arial"/>
                <w:sz w:val="14"/>
                <w:szCs w:val="14"/>
                <w:color w:val="auto"/>
              </w:rPr>
              <w:t>17,266,788</w:t>
            </w:r>
          </w:p>
        </w:tc>
        <w:tc>
          <w:tcPr>
            <w:tcW w:w="980" w:type="dxa"/>
            <w:vAlign w:val="bottom"/>
            <w:gridSpan w:val="2"/>
          </w:tcPr>
          <w:p>
            <w:pPr>
              <w:jc w:val="right"/>
              <w:ind w:right="140"/>
              <w:spacing w:after="0" w:line="130" w:lineRule="exact"/>
              <w:rPr>
                <w:sz w:val="20"/>
                <w:szCs w:val="20"/>
                <w:color w:val="auto"/>
              </w:rPr>
            </w:pPr>
            <w:r>
              <w:rPr>
                <w:rFonts w:ascii="Arial" w:cs="Arial" w:eastAsia="Arial" w:hAnsi="Arial"/>
                <w:sz w:val="14"/>
                <w:szCs w:val="14"/>
                <w:color w:val="auto"/>
              </w:rPr>
              <w:t>17,604,973</w:t>
            </w:r>
          </w:p>
        </w:tc>
        <w:tc>
          <w:tcPr>
            <w:tcW w:w="0" w:type="dxa"/>
            <w:vAlign w:val="bottom"/>
          </w:tcPr>
          <w:p>
            <w:pPr>
              <w:spacing w:after="0"/>
              <w:rPr>
                <w:sz w:val="1"/>
                <w:szCs w:val="1"/>
                <w:color w:val="auto"/>
              </w:rPr>
            </w:pPr>
          </w:p>
        </w:tc>
      </w:tr>
      <w:tr>
        <w:trPr>
          <w:trHeight w:val="181"/>
        </w:trPr>
        <w:tc>
          <w:tcPr>
            <w:tcW w:w="37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040" w:type="dxa"/>
            <w:vAlign w:val="bottom"/>
            <w:gridSpan w:val="2"/>
          </w:tcPr>
          <w:p>
            <w:pPr>
              <w:jc w:val="right"/>
              <w:ind w:right="119"/>
              <w:spacing w:after="0"/>
              <w:rPr>
                <w:sz w:val="20"/>
                <w:szCs w:val="20"/>
                <w:color w:val="auto"/>
              </w:rPr>
            </w:pPr>
            <w:r>
              <w:rPr>
                <w:rFonts w:ascii="Arial" w:cs="Arial" w:eastAsia="Arial" w:hAnsi="Arial"/>
                <w:sz w:val="14"/>
                <w:szCs w:val="14"/>
                <w:color w:val="auto"/>
              </w:rPr>
              <w:t>(PIK 2.00%)</w:t>
            </w:r>
          </w:p>
        </w:tc>
        <w:tc>
          <w:tcPr>
            <w:tcW w:w="8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0"/>
        </w:trPr>
        <w:tc>
          <w:tcPr>
            <w:tcW w:w="372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Learning Care Group (US) Inc.</w:t>
            </w:r>
          </w:p>
        </w:tc>
        <w:tc>
          <w:tcPr>
            <w:tcW w:w="1340" w:type="dxa"/>
            <w:vAlign w:val="bottom"/>
            <w:shd w:val="clear" w:color="auto" w:fill="CCEEFF"/>
          </w:tcPr>
          <w:p>
            <w:pPr>
              <w:jc w:val="center"/>
              <w:ind w:left="548"/>
              <w:spacing w:after="0" w:line="130" w:lineRule="exact"/>
              <w:rPr>
                <w:sz w:val="20"/>
                <w:szCs w:val="20"/>
                <w:color w:val="auto"/>
              </w:rPr>
            </w:pPr>
            <w:r>
              <w:rPr>
                <w:rFonts w:ascii="Arial" w:cs="Arial" w:eastAsia="Arial" w:hAnsi="Arial"/>
                <w:sz w:val="14"/>
                <w:szCs w:val="14"/>
                <w:color w:val="auto"/>
                <w:w w:val="91"/>
              </w:rPr>
              <w:t>05/08/2020</w:t>
            </w:r>
          </w:p>
        </w:tc>
        <w:tc>
          <w:tcPr>
            <w:tcW w:w="1480" w:type="dxa"/>
            <w:vAlign w:val="bottom"/>
            <w:shd w:val="clear" w:color="auto" w:fill="CCEEFF"/>
          </w:tcPr>
          <w:p>
            <w:pPr>
              <w:jc w:val="center"/>
              <w:spacing w:after="0" w:line="130" w:lineRule="exact"/>
              <w:rPr>
                <w:sz w:val="20"/>
                <w:szCs w:val="20"/>
                <w:color w:val="auto"/>
              </w:rPr>
            </w:pPr>
            <w:r>
              <w:rPr>
                <w:rFonts w:ascii="Arial" w:cs="Arial" w:eastAsia="Arial" w:hAnsi="Arial"/>
                <w:sz w:val="14"/>
                <w:szCs w:val="14"/>
                <w:color w:val="auto"/>
                <w:w w:val="93"/>
              </w:rPr>
              <w:t>Education</w:t>
            </w:r>
          </w:p>
        </w:tc>
        <w:tc>
          <w:tcPr>
            <w:tcW w:w="820" w:type="dxa"/>
            <w:vAlign w:val="bottom"/>
            <w:shd w:val="clear" w:color="auto" w:fill="CCEEFF"/>
          </w:tcPr>
          <w:p>
            <w:pPr>
              <w:jc w:val="right"/>
              <w:spacing w:after="0" w:line="130" w:lineRule="exact"/>
              <w:rPr>
                <w:sz w:val="20"/>
                <w:szCs w:val="20"/>
                <w:color w:val="auto"/>
              </w:rPr>
            </w:pPr>
            <w:r>
              <w:rPr>
                <w:rFonts w:ascii="Arial" w:cs="Arial" w:eastAsia="Arial" w:hAnsi="Arial"/>
                <w:sz w:val="14"/>
                <w:szCs w:val="14"/>
                <w:color w:val="auto"/>
              </w:rPr>
              <w:t>15.00%</w:t>
            </w:r>
          </w:p>
        </w:tc>
        <w:tc>
          <w:tcPr>
            <w:tcW w:w="220" w:type="dxa"/>
            <w:vAlign w:val="bottom"/>
            <w:shd w:val="clear" w:color="auto" w:fill="CCEEFF"/>
          </w:tcPr>
          <w:p>
            <w:pPr>
              <w:spacing w:after="0"/>
              <w:rPr>
                <w:sz w:val="11"/>
                <w:szCs w:val="11"/>
                <w:color w:val="auto"/>
              </w:rPr>
            </w:pPr>
          </w:p>
        </w:tc>
        <w:tc>
          <w:tcPr>
            <w:tcW w:w="840" w:type="dxa"/>
            <w:vAlign w:val="bottom"/>
            <w:shd w:val="clear" w:color="auto" w:fill="CCEEFF"/>
          </w:tcPr>
          <w:p>
            <w:pPr>
              <w:ind w:left="520"/>
              <w:spacing w:after="0" w:line="130" w:lineRule="exact"/>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ind w:right="8"/>
              <w:spacing w:after="0" w:line="130" w:lineRule="exact"/>
              <w:rPr>
                <w:sz w:val="20"/>
                <w:szCs w:val="20"/>
                <w:color w:val="auto"/>
              </w:rPr>
            </w:pPr>
            <w:r>
              <w:rPr>
                <w:rFonts w:ascii="Arial" w:cs="Arial" w:eastAsia="Arial" w:hAnsi="Arial"/>
                <w:sz w:val="14"/>
                <w:szCs w:val="14"/>
                <w:color w:val="auto"/>
              </w:rPr>
              <w:t>7,757,188</w:t>
            </w:r>
          </w:p>
        </w:tc>
        <w:tc>
          <w:tcPr>
            <w:tcW w:w="1020" w:type="dxa"/>
            <w:vAlign w:val="bottom"/>
            <w:gridSpan w:val="3"/>
            <w:shd w:val="clear" w:color="auto" w:fill="CCEEFF"/>
          </w:tcPr>
          <w:p>
            <w:pPr>
              <w:jc w:val="right"/>
              <w:ind w:right="140"/>
              <w:spacing w:after="0" w:line="130" w:lineRule="exact"/>
              <w:rPr>
                <w:sz w:val="20"/>
                <w:szCs w:val="20"/>
                <w:color w:val="auto"/>
              </w:rPr>
            </w:pPr>
            <w:r>
              <w:rPr>
                <w:rFonts w:ascii="Arial" w:cs="Arial" w:eastAsia="Arial" w:hAnsi="Arial"/>
                <w:sz w:val="14"/>
                <w:szCs w:val="14"/>
                <w:color w:val="auto"/>
              </w:rPr>
              <w:t>7,328,702</w:t>
            </w:r>
          </w:p>
        </w:tc>
        <w:tc>
          <w:tcPr>
            <w:tcW w:w="980" w:type="dxa"/>
            <w:vAlign w:val="bottom"/>
            <w:gridSpan w:val="2"/>
            <w:shd w:val="clear" w:color="auto" w:fill="CCEEFF"/>
          </w:tcPr>
          <w:p>
            <w:pPr>
              <w:jc w:val="right"/>
              <w:ind w:right="140"/>
              <w:spacing w:after="0" w:line="130" w:lineRule="exact"/>
              <w:rPr>
                <w:sz w:val="20"/>
                <w:szCs w:val="20"/>
                <w:color w:val="auto"/>
              </w:rPr>
            </w:pPr>
            <w:r>
              <w:rPr>
                <w:rFonts w:ascii="Arial" w:cs="Arial" w:eastAsia="Arial" w:hAnsi="Arial"/>
                <w:sz w:val="14"/>
                <w:szCs w:val="14"/>
                <w:color w:val="auto"/>
              </w:rPr>
              <w:t>7,757,188</w:t>
            </w:r>
          </w:p>
        </w:tc>
        <w:tc>
          <w:tcPr>
            <w:tcW w:w="0" w:type="dxa"/>
            <w:vAlign w:val="bottom"/>
          </w:tcPr>
          <w:p>
            <w:pPr>
              <w:spacing w:after="0"/>
              <w:rPr>
                <w:sz w:val="1"/>
                <w:szCs w:val="1"/>
                <w:color w:val="auto"/>
              </w:rPr>
            </w:pPr>
          </w:p>
        </w:tc>
      </w:tr>
      <w:tr>
        <w:trPr>
          <w:trHeight w:val="181"/>
        </w:trPr>
        <w:tc>
          <w:tcPr>
            <w:tcW w:w="372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c>
          <w:tcPr>
            <w:tcW w:w="148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jc w:val="right"/>
              <w:ind w:right="119"/>
              <w:spacing w:after="0"/>
              <w:rPr>
                <w:sz w:val="20"/>
                <w:szCs w:val="20"/>
                <w:color w:val="auto"/>
              </w:rPr>
            </w:pPr>
            <w:r>
              <w:rPr>
                <w:rFonts w:ascii="Arial" w:cs="Arial" w:eastAsia="Arial" w:hAnsi="Arial"/>
                <w:sz w:val="14"/>
                <w:szCs w:val="14"/>
                <w:color w:val="auto"/>
              </w:rPr>
              <w:t>(PIK 15.00%)</w:t>
            </w:r>
          </w:p>
        </w:tc>
        <w:tc>
          <w:tcPr>
            <w:tcW w:w="84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30"/>
        </w:trPr>
        <w:tc>
          <w:tcPr>
            <w:tcW w:w="3720" w:type="dxa"/>
            <w:vAlign w:val="bottom"/>
          </w:tcPr>
          <w:p>
            <w:pPr>
              <w:spacing w:after="0" w:line="130" w:lineRule="exact"/>
              <w:rPr>
                <w:sz w:val="20"/>
                <w:szCs w:val="20"/>
                <w:color w:val="auto"/>
              </w:rPr>
            </w:pPr>
            <w:r>
              <w:rPr>
                <w:rFonts w:ascii="Arial" w:cs="Arial" w:eastAsia="Arial" w:hAnsi="Arial"/>
                <w:sz w:val="14"/>
                <w:szCs w:val="14"/>
                <w:color w:val="auto"/>
              </w:rPr>
              <w:t>LTI Flexible Products, Inc.</w:t>
            </w:r>
          </w:p>
        </w:tc>
        <w:tc>
          <w:tcPr>
            <w:tcW w:w="1340" w:type="dxa"/>
            <w:vAlign w:val="bottom"/>
          </w:tcPr>
          <w:p>
            <w:pPr>
              <w:jc w:val="center"/>
              <w:ind w:left="548"/>
              <w:spacing w:after="0" w:line="130" w:lineRule="exact"/>
              <w:rPr>
                <w:sz w:val="20"/>
                <w:szCs w:val="20"/>
                <w:color w:val="auto"/>
              </w:rPr>
            </w:pPr>
            <w:r>
              <w:rPr>
                <w:rFonts w:ascii="Arial" w:cs="Arial" w:eastAsia="Arial" w:hAnsi="Arial"/>
                <w:sz w:val="14"/>
                <w:szCs w:val="14"/>
                <w:color w:val="auto"/>
                <w:w w:val="91"/>
              </w:rPr>
              <w:t>01/19/2019</w:t>
            </w:r>
          </w:p>
        </w:tc>
        <w:tc>
          <w:tcPr>
            <w:tcW w:w="1480" w:type="dxa"/>
            <w:vAlign w:val="bottom"/>
          </w:tcPr>
          <w:p>
            <w:pPr>
              <w:jc w:val="center"/>
              <w:spacing w:after="0" w:line="130" w:lineRule="exact"/>
              <w:rPr>
                <w:sz w:val="20"/>
                <w:szCs w:val="20"/>
                <w:color w:val="auto"/>
              </w:rPr>
            </w:pPr>
            <w:r>
              <w:rPr>
                <w:rFonts w:ascii="Arial" w:cs="Arial" w:eastAsia="Arial" w:hAnsi="Arial"/>
                <w:sz w:val="14"/>
                <w:szCs w:val="14"/>
                <w:color w:val="auto"/>
                <w:w w:val="91"/>
              </w:rPr>
              <w:t>Chemicals, Plastics and</w:t>
            </w:r>
          </w:p>
        </w:tc>
        <w:tc>
          <w:tcPr>
            <w:tcW w:w="820" w:type="dxa"/>
            <w:vAlign w:val="bottom"/>
          </w:tcPr>
          <w:p>
            <w:pPr>
              <w:jc w:val="right"/>
              <w:spacing w:after="0" w:line="130" w:lineRule="exact"/>
              <w:rPr>
                <w:sz w:val="20"/>
                <w:szCs w:val="20"/>
                <w:color w:val="auto"/>
              </w:rPr>
            </w:pPr>
            <w:r>
              <w:rPr>
                <w:rFonts w:ascii="Arial" w:cs="Arial" w:eastAsia="Arial" w:hAnsi="Arial"/>
                <w:sz w:val="14"/>
                <w:szCs w:val="14"/>
                <w:color w:val="auto"/>
              </w:rPr>
              <w:t>12.50%</w:t>
            </w:r>
          </w:p>
        </w:tc>
        <w:tc>
          <w:tcPr>
            <w:tcW w:w="220" w:type="dxa"/>
            <w:vAlign w:val="bottom"/>
          </w:tcPr>
          <w:p>
            <w:pPr>
              <w:spacing w:after="0"/>
              <w:rPr>
                <w:sz w:val="11"/>
                <w:szCs w:val="11"/>
                <w:color w:val="auto"/>
              </w:rPr>
            </w:pPr>
          </w:p>
        </w:tc>
        <w:tc>
          <w:tcPr>
            <w:tcW w:w="840" w:type="dxa"/>
            <w:vAlign w:val="bottom"/>
          </w:tcPr>
          <w:p>
            <w:pPr>
              <w:ind w:left="520"/>
              <w:spacing w:after="0" w:line="130" w:lineRule="exact"/>
              <w:rPr>
                <w:sz w:val="20"/>
                <w:szCs w:val="20"/>
                <w:color w:val="auto"/>
              </w:rPr>
            </w:pPr>
            <w:r>
              <w:rPr>
                <w:rFonts w:ascii="Arial" w:cs="Arial" w:eastAsia="Arial" w:hAnsi="Arial"/>
                <w:sz w:val="14"/>
                <w:szCs w:val="14"/>
                <w:color w:val="auto"/>
              </w:rPr>
              <w:t>—</w:t>
            </w:r>
          </w:p>
        </w:tc>
        <w:tc>
          <w:tcPr>
            <w:tcW w:w="820" w:type="dxa"/>
            <w:vAlign w:val="bottom"/>
          </w:tcPr>
          <w:p>
            <w:pPr>
              <w:jc w:val="right"/>
              <w:ind w:right="8"/>
              <w:spacing w:after="0" w:line="130" w:lineRule="exact"/>
              <w:rPr>
                <w:sz w:val="20"/>
                <w:szCs w:val="20"/>
                <w:color w:val="auto"/>
              </w:rPr>
            </w:pPr>
            <w:r>
              <w:rPr>
                <w:rFonts w:ascii="Arial" w:cs="Arial" w:eastAsia="Arial" w:hAnsi="Arial"/>
                <w:sz w:val="14"/>
                <w:szCs w:val="14"/>
                <w:color w:val="auto"/>
              </w:rPr>
              <w:t>30,000,000</w:t>
            </w:r>
          </w:p>
        </w:tc>
        <w:tc>
          <w:tcPr>
            <w:tcW w:w="1020" w:type="dxa"/>
            <w:vAlign w:val="bottom"/>
            <w:gridSpan w:val="3"/>
          </w:tcPr>
          <w:p>
            <w:pPr>
              <w:jc w:val="right"/>
              <w:ind w:right="140"/>
              <w:spacing w:after="0" w:line="130" w:lineRule="exact"/>
              <w:rPr>
                <w:sz w:val="20"/>
                <w:szCs w:val="20"/>
                <w:color w:val="auto"/>
              </w:rPr>
            </w:pPr>
            <w:r>
              <w:rPr>
                <w:rFonts w:ascii="Arial" w:cs="Arial" w:eastAsia="Arial" w:hAnsi="Arial"/>
                <w:sz w:val="14"/>
                <w:szCs w:val="14"/>
                <w:color w:val="auto"/>
              </w:rPr>
              <w:t>30,000,000</w:t>
            </w:r>
          </w:p>
        </w:tc>
        <w:tc>
          <w:tcPr>
            <w:tcW w:w="980" w:type="dxa"/>
            <w:vAlign w:val="bottom"/>
            <w:gridSpan w:val="2"/>
          </w:tcPr>
          <w:p>
            <w:pPr>
              <w:jc w:val="right"/>
              <w:ind w:right="140"/>
              <w:spacing w:after="0" w:line="130" w:lineRule="exact"/>
              <w:rPr>
                <w:sz w:val="20"/>
                <w:szCs w:val="20"/>
                <w:color w:val="auto"/>
              </w:rPr>
            </w:pPr>
            <w:r>
              <w:rPr>
                <w:rFonts w:ascii="Arial" w:cs="Arial" w:eastAsia="Arial" w:hAnsi="Arial"/>
                <w:sz w:val="14"/>
                <w:szCs w:val="14"/>
                <w:color w:val="auto"/>
              </w:rPr>
              <w:t>30,600,000</w:t>
            </w:r>
          </w:p>
        </w:tc>
        <w:tc>
          <w:tcPr>
            <w:tcW w:w="0" w:type="dxa"/>
            <w:vAlign w:val="bottom"/>
          </w:tcPr>
          <w:p>
            <w:pPr>
              <w:spacing w:after="0"/>
              <w:rPr>
                <w:sz w:val="1"/>
                <w:szCs w:val="1"/>
                <w:color w:val="auto"/>
              </w:rPr>
            </w:pPr>
          </w:p>
        </w:tc>
      </w:tr>
      <w:tr>
        <w:trPr>
          <w:trHeight w:val="167"/>
        </w:trPr>
        <w:tc>
          <w:tcPr>
            <w:tcW w:w="37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480" w:type="dxa"/>
            <w:vAlign w:val="bottom"/>
          </w:tcPr>
          <w:p>
            <w:pPr>
              <w:jc w:val="center"/>
              <w:spacing w:after="0"/>
              <w:rPr>
                <w:sz w:val="20"/>
                <w:szCs w:val="20"/>
                <w:color w:val="auto"/>
              </w:rPr>
            </w:pPr>
            <w:r>
              <w:rPr>
                <w:rFonts w:ascii="Arial" w:cs="Arial" w:eastAsia="Arial" w:hAnsi="Arial"/>
                <w:sz w:val="14"/>
                <w:szCs w:val="14"/>
                <w:color w:val="auto"/>
                <w:w w:val="91"/>
              </w:rPr>
              <w:t>Rubber</w:t>
            </w:r>
          </w:p>
        </w:tc>
        <w:tc>
          <w:tcPr>
            <w:tcW w:w="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372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 xml:space="preserve">LTI Flexible Products, Inc. </w:t>
            </w:r>
            <w:r>
              <w:rPr>
                <w:rFonts w:ascii="Arial" w:cs="Arial" w:eastAsia="Arial" w:hAnsi="Arial"/>
                <w:sz w:val="12"/>
                <w:szCs w:val="12"/>
                <w:color w:val="auto"/>
              </w:rPr>
              <w:t>(9)</w:t>
            </w:r>
          </w:p>
        </w:tc>
        <w:tc>
          <w:tcPr>
            <w:tcW w:w="1340" w:type="dxa"/>
            <w:vAlign w:val="bottom"/>
            <w:shd w:val="clear" w:color="auto" w:fill="CCEEFF"/>
          </w:tcPr>
          <w:p>
            <w:pPr>
              <w:jc w:val="center"/>
              <w:ind w:left="548"/>
              <w:spacing w:after="0" w:line="130" w:lineRule="exact"/>
              <w:rPr>
                <w:sz w:val="20"/>
                <w:szCs w:val="20"/>
                <w:color w:val="auto"/>
              </w:rPr>
            </w:pPr>
            <w:r>
              <w:rPr>
                <w:rFonts w:ascii="Arial" w:cs="Arial" w:eastAsia="Arial" w:hAnsi="Arial"/>
                <w:sz w:val="14"/>
                <w:szCs w:val="14"/>
                <w:color w:val="auto"/>
                <w:w w:val="91"/>
              </w:rPr>
              <w:t>01/11/2014</w:t>
            </w:r>
          </w:p>
        </w:tc>
        <w:tc>
          <w:tcPr>
            <w:tcW w:w="1480" w:type="dxa"/>
            <w:vAlign w:val="bottom"/>
            <w:shd w:val="clear" w:color="auto" w:fill="CCEEFF"/>
          </w:tcPr>
          <w:p>
            <w:pPr>
              <w:jc w:val="center"/>
              <w:spacing w:after="0" w:line="130" w:lineRule="exact"/>
              <w:rPr>
                <w:sz w:val="20"/>
                <w:szCs w:val="20"/>
                <w:color w:val="auto"/>
              </w:rPr>
            </w:pPr>
            <w:r>
              <w:rPr>
                <w:rFonts w:ascii="Arial" w:cs="Arial" w:eastAsia="Arial" w:hAnsi="Arial"/>
                <w:sz w:val="14"/>
                <w:szCs w:val="14"/>
                <w:color w:val="auto"/>
                <w:w w:val="91"/>
              </w:rPr>
              <w:t>Chemicals, Plastics and</w:t>
            </w:r>
          </w:p>
        </w:tc>
        <w:tc>
          <w:tcPr>
            <w:tcW w:w="820" w:type="dxa"/>
            <w:vAlign w:val="bottom"/>
            <w:shd w:val="clear" w:color="auto" w:fill="CCEEFF"/>
          </w:tcPr>
          <w:p>
            <w:pPr>
              <w:jc w:val="right"/>
              <w:ind w:right="128"/>
              <w:spacing w:after="0" w:line="130"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1"/>
                <w:szCs w:val="11"/>
                <w:color w:val="auto"/>
              </w:rPr>
            </w:pPr>
          </w:p>
        </w:tc>
        <w:tc>
          <w:tcPr>
            <w:tcW w:w="840" w:type="dxa"/>
            <w:vAlign w:val="bottom"/>
            <w:shd w:val="clear" w:color="auto" w:fill="CCEEFF"/>
          </w:tcPr>
          <w:p>
            <w:pPr>
              <w:ind w:left="520"/>
              <w:spacing w:after="0" w:line="130" w:lineRule="exact"/>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ind w:right="8"/>
              <w:spacing w:after="0" w:line="130" w:lineRule="exact"/>
              <w:rPr>
                <w:sz w:val="20"/>
                <w:szCs w:val="20"/>
                <w:color w:val="auto"/>
              </w:rPr>
            </w:pPr>
            <w:r>
              <w:rPr>
                <w:rFonts w:ascii="Arial" w:cs="Arial" w:eastAsia="Arial" w:hAnsi="Arial"/>
                <w:sz w:val="14"/>
                <w:szCs w:val="14"/>
                <w:color w:val="auto"/>
              </w:rPr>
              <w:t>5,000,000</w:t>
            </w:r>
          </w:p>
        </w:tc>
        <w:tc>
          <w:tcPr>
            <w:tcW w:w="1020" w:type="dxa"/>
            <w:vAlign w:val="bottom"/>
            <w:gridSpan w:val="3"/>
            <w:shd w:val="clear" w:color="auto" w:fill="CCEEFF"/>
          </w:tcPr>
          <w:p>
            <w:pPr>
              <w:jc w:val="right"/>
              <w:ind w:right="140"/>
              <w:spacing w:after="0" w:line="130" w:lineRule="exact"/>
              <w:rPr>
                <w:sz w:val="20"/>
                <w:szCs w:val="20"/>
                <w:color w:val="auto"/>
              </w:rPr>
            </w:pPr>
            <w:r>
              <w:rPr>
                <w:rFonts w:ascii="Arial" w:cs="Arial" w:eastAsia="Arial" w:hAnsi="Arial"/>
                <w:sz w:val="14"/>
                <w:szCs w:val="14"/>
                <w:color w:val="auto"/>
              </w:rPr>
              <w:t>4,825,000</w:t>
            </w:r>
          </w:p>
        </w:tc>
        <w:tc>
          <w:tcPr>
            <w:tcW w:w="980" w:type="dxa"/>
            <w:vAlign w:val="bottom"/>
            <w:gridSpan w:val="2"/>
            <w:shd w:val="clear" w:color="auto" w:fill="CCEEFF"/>
          </w:tcPr>
          <w:p>
            <w:pPr>
              <w:jc w:val="right"/>
              <w:ind w:right="140"/>
              <w:spacing w:after="0" w:line="130" w:lineRule="exact"/>
              <w:rPr>
                <w:sz w:val="20"/>
                <w:szCs w:val="20"/>
                <w:color w:val="auto"/>
              </w:rPr>
            </w:pPr>
            <w:r>
              <w:rPr>
                <w:rFonts w:ascii="Arial" w:cs="Arial" w:eastAsia="Arial" w:hAnsi="Arial"/>
                <w:sz w:val="14"/>
                <w:szCs w:val="14"/>
                <w:color w:val="auto"/>
              </w:rPr>
              <w:t>5,100,000</w:t>
            </w:r>
          </w:p>
        </w:tc>
        <w:tc>
          <w:tcPr>
            <w:tcW w:w="0" w:type="dxa"/>
            <w:vAlign w:val="bottom"/>
          </w:tcPr>
          <w:p>
            <w:pPr>
              <w:spacing w:after="0"/>
              <w:rPr>
                <w:sz w:val="1"/>
                <w:szCs w:val="1"/>
                <w:color w:val="auto"/>
              </w:rPr>
            </w:pPr>
          </w:p>
        </w:tc>
      </w:tr>
      <w:tr>
        <w:trPr>
          <w:trHeight w:val="167"/>
        </w:trPr>
        <w:tc>
          <w:tcPr>
            <w:tcW w:w="3720" w:type="dxa"/>
            <w:vAlign w:val="bottom"/>
            <w:shd w:val="clear" w:color="auto" w:fill="CCEEFF"/>
          </w:tcPr>
          <w:p>
            <w:pPr>
              <w:spacing w:after="0"/>
              <w:rPr>
                <w:sz w:val="14"/>
                <w:szCs w:val="14"/>
                <w:color w:val="auto"/>
              </w:rPr>
            </w:pPr>
          </w:p>
        </w:tc>
        <w:tc>
          <w:tcPr>
            <w:tcW w:w="1340" w:type="dxa"/>
            <w:vAlign w:val="bottom"/>
            <w:shd w:val="clear" w:color="auto" w:fill="CCEEFF"/>
          </w:tcPr>
          <w:p>
            <w:pPr>
              <w:spacing w:after="0"/>
              <w:rPr>
                <w:sz w:val="14"/>
                <w:szCs w:val="14"/>
                <w:color w:val="auto"/>
              </w:rPr>
            </w:pPr>
          </w:p>
        </w:tc>
        <w:tc>
          <w:tcPr>
            <w:tcW w:w="14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1"/>
              </w:rPr>
              <w:t>Rubber</w:t>
            </w:r>
          </w:p>
        </w:tc>
        <w:tc>
          <w:tcPr>
            <w:tcW w:w="8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3720" w:type="dxa"/>
            <w:vAlign w:val="bottom"/>
          </w:tcPr>
          <w:p>
            <w:pPr>
              <w:spacing w:after="0" w:line="149" w:lineRule="exact"/>
              <w:rPr>
                <w:sz w:val="20"/>
                <w:szCs w:val="20"/>
                <w:color w:val="auto"/>
              </w:rPr>
            </w:pPr>
            <w:r>
              <w:rPr>
                <w:rFonts w:ascii="Arial" w:cs="Arial" w:eastAsia="Arial" w:hAnsi="Arial"/>
                <w:sz w:val="14"/>
                <w:szCs w:val="14"/>
                <w:color w:val="auto"/>
              </w:rPr>
              <w:t>MSPark, Inc.</w:t>
            </w:r>
          </w:p>
        </w:tc>
        <w:tc>
          <w:tcPr>
            <w:tcW w:w="1340" w:type="dxa"/>
            <w:vAlign w:val="bottom"/>
          </w:tcPr>
          <w:p>
            <w:pPr>
              <w:jc w:val="center"/>
              <w:ind w:left="548"/>
              <w:spacing w:after="0" w:line="149" w:lineRule="exact"/>
              <w:rPr>
                <w:sz w:val="20"/>
                <w:szCs w:val="20"/>
                <w:color w:val="auto"/>
              </w:rPr>
            </w:pPr>
            <w:r>
              <w:rPr>
                <w:rFonts w:ascii="Arial" w:cs="Arial" w:eastAsia="Arial" w:hAnsi="Arial"/>
                <w:sz w:val="14"/>
                <w:szCs w:val="14"/>
                <w:color w:val="auto"/>
                <w:w w:val="91"/>
              </w:rPr>
              <w:t>06/15/2017</w:t>
            </w:r>
          </w:p>
        </w:tc>
        <w:tc>
          <w:tcPr>
            <w:tcW w:w="1480" w:type="dxa"/>
            <w:vAlign w:val="bottom"/>
          </w:tcPr>
          <w:p>
            <w:pPr>
              <w:jc w:val="center"/>
              <w:spacing w:after="0" w:line="149" w:lineRule="exact"/>
              <w:rPr>
                <w:sz w:val="20"/>
                <w:szCs w:val="20"/>
                <w:color w:val="auto"/>
              </w:rPr>
            </w:pPr>
            <w:r>
              <w:rPr>
                <w:rFonts w:ascii="Arial" w:cs="Arial" w:eastAsia="Arial" w:hAnsi="Arial"/>
                <w:sz w:val="14"/>
                <w:szCs w:val="14"/>
                <w:color w:val="auto"/>
                <w:w w:val="94"/>
              </w:rPr>
              <w:t>Printing and Publishing</w:t>
            </w: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14.50%</w:t>
            </w:r>
          </w:p>
        </w:tc>
        <w:tc>
          <w:tcPr>
            <w:tcW w:w="220" w:type="dxa"/>
            <w:vAlign w:val="bottom"/>
          </w:tcPr>
          <w:p>
            <w:pPr>
              <w:jc w:val="right"/>
              <w:spacing w:after="0"/>
              <w:rPr>
                <w:sz w:val="20"/>
                <w:szCs w:val="20"/>
                <w:color w:val="auto"/>
              </w:rPr>
            </w:pPr>
            <w:r>
              <w:rPr>
                <w:rFonts w:ascii="Arial" w:cs="Arial" w:eastAsia="Arial" w:hAnsi="Arial"/>
                <w:sz w:val="12"/>
                <w:szCs w:val="12"/>
                <w:color w:val="auto"/>
                <w:w w:val="95"/>
              </w:rPr>
              <w:t>(7)</w:t>
            </w:r>
          </w:p>
        </w:tc>
        <w:tc>
          <w:tcPr>
            <w:tcW w:w="840" w:type="dxa"/>
            <w:vAlign w:val="bottom"/>
          </w:tcPr>
          <w:p>
            <w:pPr>
              <w:ind w:left="520"/>
              <w:spacing w:after="0" w:line="149" w:lineRule="exact"/>
              <w:rPr>
                <w:sz w:val="20"/>
                <w:szCs w:val="20"/>
                <w:color w:val="auto"/>
              </w:rPr>
            </w:pPr>
            <w:r>
              <w:rPr>
                <w:rFonts w:ascii="Arial" w:cs="Arial" w:eastAsia="Arial" w:hAnsi="Arial"/>
                <w:sz w:val="14"/>
                <w:szCs w:val="14"/>
                <w:color w:val="auto"/>
              </w:rPr>
              <w:t>—</w:t>
            </w:r>
          </w:p>
        </w:tc>
        <w:tc>
          <w:tcPr>
            <w:tcW w:w="820" w:type="dxa"/>
            <w:vAlign w:val="bottom"/>
          </w:tcPr>
          <w:p>
            <w:pPr>
              <w:jc w:val="right"/>
              <w:ind w:right="8"/>
              <w:spacing w:after="0" w:line="149" w:lineRule="exact"/>
              <w:rPr>
                <w:sz w:val="20"/>
                <w:szCs w:val="20"/>
                <w:color w:val="auto"/>
              </w:rPr>
            </w:pPr>
            <w:r>
              <w:rPr>
                <w:rFonts w:ascii="Arial" w:cs="Arial" w:eastAsia="Arial" w:hAnsi="Arial"/>
                <w:sz w:val="14"/>
                <w:szCs w:val="14"/>
                <w:color w:val="auto"/>
              </w:rPr>
              <w:t>15,000,000</w:t>
            </w:r>
          </w:p>
        </w:tc>
        <w:tc>
          <w:tcPr>
            <w:tcW w:w="1020" w:type="dxa"/>
            <w:vAlign w:val="bottom"/>
            <w:gridSpan w:val="3"/>
          </w:tcPr>
          <w:p>
            <w:pPr>
              <w:jc w:val="right"/>
              <w:ind w:right="140"/>
              <w:spacing w:after="0" w:line="149" w:lineRule="exact"/>
              <w:rPr>
                <w:sz w:val="20"/>
                <w:szCs w:val="20"/>
                <w:color w:val="auto"/>
              </w:rPr>
            </w:pPr>
            <w:r>
              <w:rPr>
                <w:rFonts w:ascii="Arial" w:cs="Arial" w:eastAsia="Arial" w:hAnsi="Arial"/>
                <w:sz w:val="14"/>
                <w:szCs w:val="14"/>
                <w:color w:val="auto"/>
              </w:rPr>
              <w:t>14,707,114</w:t>
            </w:r>
          </w:p>
        </w:tc>
        <w:tc>
          <w:tcPr>
            <w:tcW w:w="98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14,700,000</w:t>
            </w:r>
          </w:p>
        </w:tc>
        <w:tc>
          <w:tcPr>
            <w:tcW w:w="0" w:type="dxa"/>
            <w:vAlign w:val="bottom"/>
          </w:tcPr>
          <w:p>
            <w:pPr>
              <w:spacing w:after="0"/>
              <w:rPr>
                <w:sz w:val="1"/>
                <w:szCs w:val="1"/>
                <w:color w:val="auto"/>
              </w:rPr>
            </w:pPr>
          </w:p>
        </w:tc>
      </w:tr>
      <w:tr>
        <w:trPr>
          <w:trHeight w:val="130"/>
        </w:trPr>
        <w:tc>
          <w:tcPr>
            <w:tcW w:w="372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Power Products, LLC</w:t>
            </w:r>
          </w:p>
        </w:tc>
        <w:tc>
          <w:tcPr>
            <w:tcW w:w="1340" w:type="dxa"/>
            <w:vAlign w:val="bottom"/>
            <w:shd w:val="clear" w:color="auto" w:fill="CCEEFF"/>
          </w:tcPr>
          <w:p>
            <w:pPr>
              <w:jc w:val="center"/>
              <w:ind w:left="548"/>
              <w:spacing w:after="0" w:line="130" w:lineRule="exact"/>
              <w:rPr>
                <w:sz w:val="20"/>
                <w:szCs w:val="20"/>
                <w:color w:val="auto"/>
              </w:rPr>
            </w:pPr>
            <w:r>
              <w:rPr>
                <w:rFonts w:ascii="Arial" w:cs="Arial" w:eastAsia="Arial" w:hAnsi="Arial"/>
                <w:sz w:val="14"/>
                <w:szCs w:val="14"/>
                <w:color w:val="auto"/>
                <w:w w:val="91"/>
              </w:rPr>
              <w:t>12/11/2020</w:t>
            </w:r>
          </w:p>
        </w:tc>
        <w:tc>
          <w:tcPr>
            <w:tcW w:w="1480" w:type="dxa"/>
            <w:vAlign w:val="bottom"/>
            <w:shd w:val="clear" w:color="auto" w:fill="CCEEFF"/>
          </w:tcPr>
          <w:p>
            <w:pPr>
              <w:jc w:val="center"/>
              <w:spacing w:after="0" w:line="130" w:lineRule="exact"/>
              <w:rPr>
                <w:sz w:val="20"/>
                <w:szCs w:val="20"/>
                <w:color w:val="auto"/>
              </w:rPr>
            </w:pPr>
            <w:r>
              <w:rPr>
                <w:rFonts w:ascii="Arial" w:cs="Arial" w:eastAsia="Arial" w:hAnsi="Arial"/>
                <w:sz w:val="14"/>
                <w:szCs w:val="14"/>
                <w:color w:val="auto"/>
                <w:w w:val="93"/>
              </w:rPr>
              <w:t>Electronics</w:t>
            </w:r>
          </w:p>
        </w:tc>
        <w:tc>
          <w:tcPr>
            <w:tcW w:w="820" w:type="dxa"/>
            <w:vAlign w:val="bottom"/>
            <w:shd w:val="clear" w:color="auto" w:fill="CCEEFF"/>
          </w:tcPr>
          <w:p>
            <w:pPr>
              <w:jc w:val="right"/>
              <w:spacing w:after="0" w:line="130" w:lineRule="exact"/>
              <w:rPr>
                <w:sz w:val="20"/>
                <w:szCs w:val="20"/>
                <w:color w:val="auto"/>
              </w:rPr>
            </w:pPr>
            <w:r>
              <w:rPr>
                <w:rFonts w:ascii="Arial" w:cs="Arial" w:eastAsia="Arial" w:hAnsi="Arial"/>
                <w:sz w:val="14"/>
                <w:szCs w:val="14"/>
                <w:color w:val="auto"/>
              </w:rPr>
              <w:t>12.75%</w:t>
            </w:r>
          </w:p>
        </w:tc>
        <w:tc>
          <w:tcPr>
            <w:tcW w:w="220" w:type="dxa"/>
            <w:vAlign w:val="bottom"/>
            <w:shd w:val="clear" w:color="auto" w:fill="CCEEFF"/>
          </w:tcPr>
          <w:p>
            <w:pPr>
              <w:spacing w:after="0"/>
              <w:rPr>
                <w:sz w:val="11"/>
                <w:szCs w:val="11"/>
                <w:color w:val="auto"/>
              </w:rPr>
            </w:pPr>
          </w:p>
        </w:tc>
        <w:tc>
          <w:tcPr>
            <w:tcW w:w="840" w:type="dxa"/>
            <w:vAlign w:val="bottom"/>
            <w:shd w:val="clear" w:color="auto" w:fill="CCEEFF"/>
          </w:tcPr>
          <w:p>
            <w:pPr>
              <w:ind w:left="520"/>
              <w:spacing w:after="0" w:line="130" w:lineRule="exact"/>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ind w:right="8"/>
              <w:spacing w:after="0" w:line="130" w:lineRule="exact"/>
              <w:rPr>
                <w:sz w:val="20"/>
                <w:szCs w:val="20"/>
                <w:color w:val="auto"/>
              </w:rPr>
            </w:pPr>
            <w:r>
              <w:rPr>
                <w:rFonts w:ascii="Arial" w:cs="Arial" w:eastAsia="Arial" w:hAnsi="Arial"/>
                <w:sz w:val="14"/>
                <w:szCs w:val="14"/>
                <w:color w:val="auto"/>
              </w:rPr>
              <w:t>15,000,000</w:t>
            </w:r>
          </w:p>
        </w:tc>
        <w:tc>
          <w:tcPr>
            <w:tcW w:w="1020" w:type="dxa"/>
            <w:vAlign w:val="bottom"/>
            <w:gridSpan w:val="3"/>
            <w:shd w:val="clear" w:color="auto" w:fill="CCEEFF"/>
          </w:tcPr>
          <w:p>
            <w:pPr>
              <w:jc w:val="right"/>
              <w:ind w:right="140"/>
              <w:spacing w:after="0" w:line="130" w:lineRule="exact"/>
              <w:rPr>
                <w:sz w:val="20"/>
                <w:szCs w:val="20"/>
                <w:color w:val="auto"/>
              </w:rPr>
            </w:pPr>
            <w:r>
              <w:rPr>
                <w:rFonts w:ascii="Arial" w:cs="Arial" w:eastAsia="Arial" w:hAnsi="Arial"/>
                <w:sz w:val="14"/>
                <w:szCs w:val="14"/>
                <w:color w:val="auto"/>
              </w:rPr>
              <w:t>14,741,324</w:t>
            </w:r>
          </w:p>
        </w:tc>
        <w:tc>
          <w:tcPr>
            <w:tcW w:w="980" w:type="dxa"/>
            <w:vAlign w:val="bottom"/>
            <w:gridSpan w:val="2"/>
            <w:shd w:val="clear" w:color="auto" w:fill="CCEEFF"/>
          </w:tcPr>
          <w:p>
            <w:pPr>
              <w:jc w:val="right"/>
              <w:ind w:right="140"/>
              <w:spacing w:after="0" w:line="130" w:lineRule="exact"/>
              <w:rPr>
                <w:sz w:val="20"/>
                <w:szCs w:val="20"/>
                <w:color w:val="auto"/>
              </w:rPr>
            </w:pPr>
            <w:r>
              <w:rPr>
                <w:rFonts w:ascii="Arial" w:cs="Arial" w:eastAsia="Arial" w:hAnsi="Arial"/>
                <w:sz w:val="14"/>
                <w:szCs w:val="14"/>
                <w:color w:val="auto"/>
              </w:rPr>
              <w:t>14,873,765</w:t>
            </w:r>
          </w:p>
        </w:tc>
        <w:tc>
          <w:tcPr>
            <w:tcW w:w="0" w:type="dxa"/>
            <w:vAlign w:val="bottom"/>
          </w:tcPr>
          <w:p>
            <w:pPr>
              <w:spacing w:after="0"/>
              <w:rPr>
                <w:sz w:val="1"/>
                <w:szCs w:val="1"/>
                <w:color w:val="auto"/>
              </w:rPr>
            </w:pPr>
          </w:p>
        </w:tc>
      </w:tr>
      <w:tr>
        <w:trPr>
          <w:trHeight w:val="181"/>
        </w:trPr>
        <w:tc>
          <w:tcPr>
            <w:tcW w:w="372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c>
          <w:tcPr>
            <w:tcW w:w="148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jc w:val="right"/>
              <w:ind w:right="119"/>
              <w:spacing w:after="0"/>
              <w:rPr>
                <w:sz w:val="20"/>
                <w:szCs w:val="20"/>
                <w:color w:val="auto"/>
              </w:rPr>
            </w:pPr>
            <w:r>
              <w:rPr>
                <w:rFonts w:ascii="Arial" w:cs="Arial" w:eastAsia="Arial" w:hAnsi="Arial"/>
                <w:sz w:val="14"/>
                <w:szCs w:val="14"/>
                <w:color w:val="auto"/>
              </w:rPr>
              <w:t>(PIK 2.00%)</w:t>
            </w:r>
          </w:p>
        </w:tc>
        <w:tc>
          <w:tcPr>
            <w:tcW w:w="84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48"/>
        </w:trPr>
        <w:tc>
          <w:tcPr>
            <w:tcW w:w="3720" w:type="dxa"/>
            <w:vAlign w:val="bottom"/>
          </w:tcPr>
          <w:p>
            <w:pPr>
              <w:spacing w:after="0" w:line="149" w:lineRule="exact"/>
              <w:rPr>
                <w:sz w:val="20"/>
                <w:szCs w:val="20"/>
                <w:color w:val="auto"/>
              </w:rPr>
            </w:pPr>
            <w:r>
              <w:rPr>
                <w:rFonts w:ascii="Arial" w:cs="Arial" w:eastAsia="Arial" w:hAnsi="Arial"/>
                <w:sz w:val="14"/>
                <w:szCs w:val="14"/>
                <w:color w:val="auto"/>
              </w:rPr>
              <w:t>Randall-Reilly Publishing Company, LLC</w:t>
            </w:r>
          </w:p>
        </w:tc>
        <w:tc>
          <w:tcPr>
            <w:tcW w:w="1340" w:type="dxa"/>
            <w:vAlign w:val="bottom"/>
          </w:tcPr>
          <w:p>
            <w:pPr>
              <w:jc w:val="center"/>
              <w:ind w:left="548"/>
              <w:spacing w:after="0" w:line="149" w:lineRule="exact"/>
              <w:rPr>
                <w:sz w:val="20"/>
                <w:szCs w:val="20"/>
                <w:color w:val="auto"/>
              </w:rPr>
            </w:pPr>
            <w:r>
              <w:rPr>
                <w:rFonts w:ascii="Arial" w:cs="Arial" w:eastAsia="Arial" w:hAnsi="Arial"/>
                <w:sz w:val="14"/>
                <w:szCs w:val="14"/>
                <w:color w:val="auto"/>
                <w:w w:val="91"/>
              </w:rPr>
              <w:t>04/15/2019</w:t>
            </w:r>
          </w:p>
        </w:tc>
        <w:tc>
          <w:tcPr>
            <w:tcW w:w="1480" w:type="dxa"/>
            <w:vAlign w:val="bottom"/>
          </w:tcPr>
          <w:p>
            <w:pPr>
              <w:jc w:val="center"/>
              <w:spacing w:after="0" w:line="149" w:lineRule="exact"/>
              <w:rPr>
                <w:sz w:val="20"/>
                <w:szCs w:val="20"/>
                <w:color w:val="auto"/>
              </w:rPr>
            </w:pPr>
            <w:r>
              <w:rPr>
                <w:rFonts w:ascii="Arial" w:cs="Arial" w:eastAsia="Arial" w:hAnsi="Arial"/>
                <w:sz w:val="14"/>
                <w:szCs w:val="14"/>
                <w:color w:val="auto"/>
                <w:w w:val="96"/>
              </w:rPr>
              <w:t>Other Media</w:t>
            </w: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12.50%</w:t>
            </w:r>
          </w:p>
        </w:tc>
        <w:tc>
          <w:tcPr>
            <w:tcW w:w="220" w:type="dxa"/>
            <w:vAlign w:val="bottom"/>
          </w:tcPr>
          <w:p>
            <w:pPr>
              <w:jc w:val="right"/>
              <w:spacing w:after="0"/>
              <w:rPr>
                <w:sz w:val="20"/>
                <w:szCs w:val="20"/>
                <w:color w:val="auto"/>
              </w:rPr>
            </w:pPr>
            <w:r>
              <w:rPr>
                <w:rFonts w:ascii="Arial" w:cs="Arial" w:eastAsia="Arial" w:hAnsi="Arial"/>
                <w:sz w:val="12"/>
                <w:szCs w:val="12"/>
                <w:color w:val="auto"/>
                <w:w w:val="95"/>
              </w:rPr>
              <w:t>(7)</w:t>
            </w:r>
          </w:p>
        </w:tc>
        <w:tc>
          <w:tcPr>
            <w:tcW w:w="840" w:type="dxa"/>
            <w:vAlign w:val="bottom"/>
          </w:tcPr>
          <w:p>
            <w:pPr>
              <w:ind w:left="520"/>
              <w:spacing w:after="0" w:line="149" w:lineRule="exact"/>
              <w:rPr>
                <w:sz w:val="20"/>
                <w:szCs w:val="20"/>
                <w:color w:val="auto"/>
              </w:rPr>
            </w:pPr>
            <w:r>
              <w:rPr>
                <w:rFonts w:ascii="Arial" w:cs="Arial" w:eastAsia="Arial" w:hAnsi="Arial"/>
                <w:sz w:val="14"/>
                <w:szCs w:val="14"/>
                <w:color w:val="auto"/>
              </w:rPr>
              <w:t>—</w:t>
            </w:r>
          </w:p>
        </w:tc>
        <w:tc>
          <w:tcPr>
            <w:tcW w:w="820" w:type="dxa"/>
            <w:vAlign w:val="bottom"/>
          </w:tcPr>
          <w:p>
            <w:pPr>
              <w:jc w:val="right"/>
              <w:ind w:right="8"/>
              <w:spacing w:after="0" w:line="149" w:lineRule="exact"/>
              <w:rPr>
                <w:sz w:val="20"/>
                <w:szCs w:val="20"/>
                <w:color w:val="auto"/>
              </w:rPr>
            </w:pPr>
            <w:r>
              <w:rPr>
                <w:rFonts w:ascii="Arial" w:cs="Arial" w:eastAsia="Arial" w:hAnsi="Arial"/>
                <w:sz w:val="14"/>
                <w:szCs w:val="14"/>
                <w:color w:val="auto"/>
              </w:rPr>
              <w:t>30,400,000</w:t>
            </w:r>
          </w:p>
        </w:tc>
        <w:tc>
          <w:tcPr>
            <w:tcW w:w="1020" w:type="dxa"/>
            <w:vAlign w:val="bottom"/>
            <w:gridSpan w:val="3"/>
          </w:tcPr>
          <w:p>
            <w:pPr>
              <w:jc w:val="right"/>
              <w:ind w:right="140"/>
              <w:spacing w:after="0" w:line="149" w:lineRule="exact"/>
              <w:rPr>
                <w:sz w:val="20"/>
                <w:szCs w:val="20"/>
                <w:color w:val="auto"/>
              </w:rPr>
            </w:pPr>
            <w:r>
              <w:rPr>
                <w:rFonts w:ascii="Arial" w:cs="Arial" w:eastAsia="Arial" w:hAnsi="Arial"/>
                <w:sz w:val="14"/>
                <w:szCs w:val="14"/>
                <w:color w:val="auto"/>
              </w:rPr>
              <w:t>29,808,958</w:t>
            </w:r>
          </w:p>
        </w:tc>
        <w:tc>
          <w:tcPr>
            <w:tcW w:w="98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30,232,475</w:t>
            </w:r>
          </w:p>
        </w:tc>
        <w:tc>
          <w:tcPr>
            <w:tcW w:w="0" w:type="dxa"/>
            <w:vAlign w:val="bottom"/>
          </w:tcPr>
          <w:p>
            <w:pPr>
              <w:spacing w:after="0"/>
              <w:rPr>
                <w:sz w:val="1"/>
                <w:szCs w:val="1"/>
                <w:color w:val="auto"/>
              </w:rPr>
            </w:pPr>
          </w:p>
        </w:tc>
      </w:tr>
      <w:tr>
        <w:trPr>
          <w:trHeight w:val="130"/>
        </w:trPr>
        <w:tc>
          <w:tcPr>
            <w:tcW w:w="372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Varel International Energy Mezzanine Funding Corp.</w:t>
            </w:r>
          </w:p>
        </w:tc>
        <w:tc>
          <w:tcPr>
            <w:tcW w:w="1340" w:type="dxa"/>
            <w:vAlign w:val="bottom"/>
            <w:shd w:val="clear" w:color="auto" w:fill="CCEEFF"/>
          </w:tcPr>
          <w:p>
            <w:pPr>
              <w:jc w:val="center"/>
              <w:ind w:left="548"/>
              <w:spacing w:after="0" w:line="130" w:lineRule="exact"/>
              <w:rPr>
                <w:sz w:val="20"/>
                <w:szCs w:val="20"/>
                <w:color w:val="auto"/>
              </w:rPr>
            </w:pPr>
            <w:r>
              <w:rPr>
                <w:rFonts w:ascii="Arial" w:cs="Arial" w:eastAsia="Arial" w:hAnsi="Arial"/>
                <w:sz w:val="14"/>
                <w:szCs w:val="14"/>
                <w:color w:val="auto"/>
                <w:w w:val="91"/>
              </w:rPr>
              <w:t>01/15/2018</w:t>
            </w:r>
          </w:p>
        </w:tc>
        <w:tc>
          <w:tcPr>
            <w:tcW w:w="1480" w:type="dxa"/>
            <w:vAlign w:val="bottom"/>
            <w:shd w:val="clear" w:color="auto" w:fill="CCEEFF"/>
          </w:tcPr>
          <w:p>
            <w:pPr>
              <w:jc w:val="center"/>
              <w:spacing w:after="0" w:line="130" w:lineRule="exact"/>
              <w:rPr>
                <w:sz w:val="20"/>
                <w:szCs w:val="20"/>
                <w:color w:val="auto"/>
              </w:rPr>
            </w:pPr>
            <w:r>
              <w:rPr>
                <w:rFonts w:ascii="Arial" w:cs="Arial" w:eastAsia="Arial" w:hAnsi="Arial"/>
                <w:sz w:val="14"/>
                <w:szCs w:val="14"/>
                <w:color w:val="auto"/>
                <w:w w:val="91"/>
              </w:rPr>
              <w:t>Oil and Gas</w:t>
            </w:r>
          </w:p>
        </w:tc>
        <w:tc>
          <w:tcPr>
            <w:tcW w:w="820" w:type="dxa"/>
            <w:vAlign w:val="bottom"/>
            <w:shd w:val="clear" w:color="auto" w:fill="CCEEFF"/>
          </w:tcPr>
          <w:p>
            <w:pPr>
              <w:jc w:val="right"/>
              <w:spacing w:after="0" w:line="130" w:lineRule="exact"/>
              <w:rPr>
                <w:sz w:val="20"/>
                <w:szCs w:val="20"/>
                <w:color w:val="auto"/>
              </w:rPr>
            </w:pPr>
            <w:r>
              <w:rPr>
                <w:rFonts w:ascii="Arial" w:cs="Arial" w:eastAsia="Arial" w:hAnsi="Arial"/>
                <w:sz w:val="14"/>
                <w:szCs w:val="14"/>
                <w:color w:val="auto"/>
              </w:rPr>
              <w:t>14.00%</w:t>
            </w:r>
          </w:p>
        </w:tc>
        <w:tc>
          <w:tcPr>
            <w:tcW w:w="220" w:type="dxa"/>
            <w:vAlign w:val="bottom"/>
            <w:shd w:val="clear" w:color="auto" w:fill="CCEEFF"/>
          </w:tcPr>
          <w:p>
            <w:pPr>
              <w:spacing w:after="0"/>
              <w:rPr>
                <w:sz w:val="11"/>
                <w:szCs w:val="11"/>
                <w:color w:val="auto"/>
              </w:rPr>
            </w:pPr>
          </w:p>
        </w:tc>
        <w:tc>
          <w:tcPr>
            <w:tcW w:w="840" w:type="dxa"/>
            <w:vAlign w:val="bottom"/>
            <w:shd w:val="clear" w:color="auto" w:fill="CCEEFF"/>
          </w:tcPr>
          <w:p>
            <w:pPr>
              <w:ind w:left="520"/>
              <w:spacing w:after="0" w:line="130" w:lineRule="exact"/>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ind w:right="8"/>
              <w:spacing w:after="0" w:line="130" w:lineRule="exact"/>
              <w:rPr>
                <w:sz w:val="20"/>
                <w:szCs w:val="20"/>
                <w:color w:val="auto"/>
              </w:rPr>
            </w:pPr>
            <w:r>
              <w:rPr>
                <w:rFonts w:ascii="Arial" w:cs="Arial" w:eastAsia="Arial" w:hAnsi="Arial"/>
                <w:sz w:val="14"/>
                <w:szCs w:val="14"/>
                <w:color w:val="auto"/>
              </w:rPr>
              <w:t>37,449,581</w:t>
            </w:r>
          </w:p>
        </w:tc>
        <w:tc>
          <w:tcPr>
            <w:tcW w:w="1020" w:type="dxa"/>
            <w:vAlign w:val="bottom"/>
            <w:gridSpan w:val="3"/>
            <w:shd w:val="clear" w:color="auto" w:fill="CCEEFF"/>
          </w:tcPr>
          <w:p>
            <w:pPr>
              <w:jc w:val="right"/>
              <w:ind w:right="140"/>
              <w:spacing w:after="0" w:line="130" w:lineRule="exact"/>
              <w:rPr>
                <w:sz w:val="20"/>
                <w:szCs w:val="20"/>
                <w:color w:val="auto"/>
              </w:rPr>
            </w:pPr>
            <w:r>
              <w:rPr>
                <w:rFonts w:ascii="Arial" w:cs="Arial" w:eastAsia="Arial" w:hAnsi="Arial"/>
                <w:sz w:val="14"/>
                <w:szCs w:val="14"/>
                <w:color w:val="auto"/>
              </w:rPr>
              <w:t>36,857,509</w:t>
            </w:r>
          </w:p>
        </w:tc>
        <w:tc>
          <w:tcPr>
            <w:tcW w:w="980" w:type="dxa"/>
            <w:vAlign w:val="bottom"/>
            <w:gridSpan w:val="2"/>
            <w:shd w:val="clear" w:color="auto" w:fill="CCEEFF"/>
          </w:tcPr>
          <w:p>
            <w:pPr>
              <w:jc w:val="right"/>
              <w:ind w:right="140"/>
              <w:spacing w:after="0" w:line="130" w:lineRule="exact"/>
              <w:rPr>
                <w:sz w:val="20"/>
                <w:szCs w:val="20"/>
                <w:color w:val="auto"/>
              </w:rPr>
            </w:pPr>
            <w:r>
              <w:rPr>
                <w:rFonts w:ascii="Arial" w:cs="Arial" w:eastAsia="Arial" w:hAnsi="Arial"/>
                <w:sz w:val="14"/>
                <w:szCs w:val="14"/>
                <w:color w:val="auto"/>
              </w:rPr>
              <w:t>37,183,523</w:t>
            </w:r>
          </w:p>
        </w:tc>
        <w:tc>
          <w:tcPr>
            <w:tcW w:w="0" w:type="dxa"/>
            <w:vAlign w:val="bottom"/>
          </w:tcPr>
          <w:p>
            <w:pPr>
              <w:spacing w:after="0"/>
              <w:rPr>
                <w:sz w:val="1"/>
                <w:szCs w:val="1"/>
                <w:color w:val="auto"/>
              </w:rPr>
            </w:pPr>
          </w:p>
        </w:tc>
      </w:tr>
      <w:tr>
        <w:trPr>
          <w:trHeight w:val="181"/>
        </w:trPr>
        <w:tc>
          <w:tcPr>
            <w:tcW w:w="372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c>
          <w:tcPr>
            <w:tcW w:w="148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jc w:val="right"/>
              <w:ind w:right="119"/>
              <w:spacing w:after="0"/>
              <w:rPr>
                <w:sz w:val="20"/>
                <w:szCs w:val="20"/>
                <w:color w:val="auto"/>
              </w:rPr>
            </w:pPr>
            <w:r>
              <w:rPr>
                <w:rFonts w:ascii="Arial" w:cs="Arial" w:eastAsia="Arial" w:hAnsi="Arial"/>
                <w:sz w:val="14"/>
                <w:szCs w:val="14"/>
                <w:color w:val="auto"/>
              </w:rPr>
              <w:t>(PIK 4.00%)</w:t>
            </w:r>
          </w:p>
        </w:tc>
        <w:tc>
          <w:tcPr>
            <w:tcW w:w="84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48"/>
        </w:trPr>
        <w:tc>
          <w:tcPr>
            <w:tcW w:w="3720" w:type="dxa"/>
            <w:vAlign w:val="bottom"/>
          </w:tcPr>
          <w:p>
            <w:pPr>
              <w:spacing w:after="0" w:line="149" w:lineRule="exact"/>
              <w:rPr>
                <w:sz w:val="20"/>
                <w:szCs w:val="20"/>
                <w:color w:val="auto"/>
              </w:rPr>
            </w:pPr>
            <w:r>
              <w:rPr>
                <w:rFonts w:ascii="Arial" w:cs="Arial" w:eastAsia="Arial" w:hAnsi="Arial"/>
                <w:sz w:val="14"/>
                <w:szCs w:val="14"/>
                <w:color w:val="auto"/>
              </w:rPr>
              <w:t>Vestcom International, Inc.</w:t>
            </w:r>
          </w:p>
        </w:tc>
        <w:tc>
          <w:tcPr>
            <w:tcW w:w="1340" w:type="dxa"/>
            <w:vAlign w:val="bottom"/>
          </w:tcPr>
          <w:p>
            <w:pPr>
              <w:jc w:val="center"/>
              <w:ind w:left="548"/>
              <w:spacing w:after="0" w:line="149" w:lineRule="exact"/>
              <w:rPr>
                <w:sz w:val="20"/>
                <w:szCs w:val="20"/>
                <w:color w:val="auto"/>
              </w:rPr>
            </w:pPr>
            <w:r>
              <w:rPr>
                <w:rFonts w:ascii="Arial" w:cs="Arial" w:eastAsia="Arial" w:hAnsi="Arial"/>
                <w:sz w:val="14"/>
                <w:szCs w:val="14"/>
                <w:color w:val="auto"/>
                <w:w w:val="91"/>
              </w:rPr>
              <w:t>06/27/2019</w:t>
            </w:r>
          </w:p>
        </w:tc>
        <w:tc>
          <w:tcPr>
            <w:tcW w:w="1480" w:type="dxa"/>
            <w:vAlign w:val="bottom"/>
          </w:tcPr>
          <w:p>
            <w:pPr>
              <w:jc w:val="center"/>
              <w:spacing w:after="0" w:line="149" w:lineRule="exact"/>
              <w:rPr>
                <w:sz w:val="20"/>
                <w:szCs w:val="20"/>
                <w:color w:val="auto"/>
              </w:rPr>
            </w:pPr>
            <w:r>
              <w:rPr>
                <w:rFonts w:ascii="Arial" w:cs="Arial" w:eastAsia="Arial" w:hAnsi="Arial"/>
                <w:sz w:val="14"/>
                <w:szCs w:val="14"/>
                <w:color w:val="auto"/>
                <w:w w:val="94"/>
              </w:rPr>
              <w:t>Printing and Publishing</w:t>
            </w: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12.00%</w:t>
            </w:r>
          </w:p>
        </w:tc>
        <w:tc>
          <w:tcPr>
            <w:tcW w:w="220" w:type="dxa"/>
            <w:vAlign w:val="bottom"/>
          </w:tcPr>
          <w:p>
            <w:pPr>
              <w:spacing w:after="0"/>
              <w:rPr>
                <w:sz w:val="12"/>
                <w:szCs w:val="12"/>
                <w:color w:val="auto"/>
              </w:rPr>
            </w:pPr>
          </w:p>
        </w:tc>
        <w:tc>
          <w:tcPr>
            <w:tcW w:w="840" w:type="dxa"/>
            <w:vAlign w:val="bottom"/>
          </w:tcPr>
          <w:p>
            <w:pPr>
              <w:ind w:left="520"/>
              <w:spacing w:after="0" w:line="149" w:lineRule="exact"/>
              <w:rPr>
                <w:sz w:val="20"/>
                <w:szCs w:val="20"/>
                <w:color w:val="auto"/>
              </w:rPr>
            </w:pPr>
            <w:r>
              <w:rPr>
                <w:rFonts w:ascii="Arial" w:cs="Arial" w:eastAsia="Arial" w:hAnsi="Arial"/>
                <w:sz w:val="14"/>
                <w:szCs w:val="14"/>
                <w:color w:val="auto"/>
              </w:rPr>
              <w:t>—</w:t>
            </w:r>
          </w:p>
        </w:tc>
        <w:tc>
          <w:tcPr>
            <w:tcW w:w="820" w:type="dxa"/>
            <w:vAlign w:val="bottom"/>
          </w:tcPr>
          <w:p>
            <w:pPr>
              <w:jc w:val="right"/>
              <w:ind w:right="8"/>
              <w:spacing w:after="0" w:line="149" w:lineRule="exact"/>
              <w:rPr>
                <w:sz w:val="20"/>
                <w:szCs w:val="20"/>
                <w:color w:val="auto"/>
              </w:rPr>
            </w:pPr>
            <w:r>
              <w:rPr>
                <w:rFonts w:ascii="Arial" w:cs="Arial" w:eastAsia="Arial" w:hAnsi="Arial"/>
                <w:sz w:val="14"/>
                <w:szCs w:val="14"/>
                <w:color w:val="auto"/>
              </w:rPr>
              <w:t>39,892,933</w:t>
            </w:r>
          </w:p>
        </w:tc>
        <w:tc>
          <w:tcPr>
            <w:tcW w:w="1020" w:type="dxa"/>
            <w:vAlign w:val="bottom"/>
            <w:gridSpan w:val="3"/>
          </w:tcPr>
          <w:p>
            <w:pPr>
              <w:jc w:val="right"/>
              <w:ind w:right="140"/>
              <w:spacing w:after="0" w:line="149" w:lineRule="exact"/>
              <w:rPr>
                <w:sz w:val="20"/>
                <w:szCs w:val="20"/>
                <w:color w:val="auto"/>
              </w:rPr>
            </w:pPr>
            <w:r>
              <w:rPr>
                <w:rFonts w:ascii="Arial" w:cs="Arial" w:eastAsia="Arial" w:hAnsi="Arial"/>
                <w:sz w:val="14"/>
                <w:szCs w:val="14"/>
                <w:color w:val="auto"/>
              </w:rPr>
              <w:t>39,177,714</w:t>
            </w:r>
          </w:p>
        </w:tc>
        <w:tc>
          <w:tcPr>
            <w:tcW w:w="98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40,042,026</w:t>
            </w:r>
          </w:p>
        </w:tc>
        <w:tc>
          <w:tcPr>
            <w:tcW w:w="0" w:type="dxa"/>
            <w:vAlign w:val="bottom"/>
          </w:tcPr>
          <w:p>
            <w:pPr>
              <w:spacing w:after="0"/>
              <w:rPr>
                <w:sz w:val="1"/>
                <w:szCs w:val="1"/>
                <w:color w:val="auto"/>
              </w:rPr>
            </w:pPr>
          </w:p>
        </w:tc>
      </w:tr>
      <w:tr>
        <w:trPr>
          <w:trHeight w:val="115"/>
        </w:trPr>
        <w:tc>
          <w:tcPr>
            <w:tcW w:w="372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14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20" w:type="dxa"/>
            <w:vAlign w:val="bottom"/>
            <w:tcBorders>
              <w:top w:val="single" w:sz="8" w:color="auto"/>
            </w:tcBorders>
          </w:tcPr>
          <w:p>
            <w:pPr>
              <w:spacing w:after="0"/>
              <w:rPr>
                <w:sz w:val="10"/>
                <w:szCs w:val="10"/>
                <w:color w:val="auto"/>
              </w:rPr>
            </w:pPr>
          </w:p>
        </w:tc>
        <w:tc>
          <w:tcPr>
            <w:tcW w:w="140" w:type="dxa"/>
            <w:vAlign w:val="bottom"/>
          </w:tcPr>
          <w:p>
            <w:pPr>
              <w:spacing w:after="0"/>
              <w:rPr>
                <w:sz w:val="10"/>
                <w:szCs w:val="10"/>
                <w:color w:val="auto"/>
              </w:rPr>
            </w:pPr>
          </w:p>
        </w:tc>
        <w:tc>
          <w:tcPr>
            <w:tcW w:w="840" w:type="dxa"/>
            <w:vAlign w:val="bottom"/>
            <w:tcBorders>
              <w:top w:val="single" w:sz="8" w:color="auto"/>
            </w:tcBorders>
          </w:tcPr>
          <w:p>
            <w:pPr>
              <w:spacing w:after="0"/>
              <w:rPr>
                <w:sz w:val="10"/>
                <w:szCs w:val="10"/>
                <w:color w:val="auto"/>
              </w:rPr>
            </w:pP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372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Total Subordinated Debt/Corporate Notes</w:t>
            </w:r>
          </w:p>
        </w:tc>
        <w:tc>
          <w:tcPr>
            <w:tcW w:w="1340" w:type="dxa"/>
            <w:vAlign w:val="bottom"/>
            <w:shd w:val="clear" w:color="auto" w:fill="CCEEFF"/>
          </w:tcPr>
          <w:p>
            <w:pPr>
              <w:spacing w:after="0"/>
              <w:rPr>
                <w:sz w:val="12"/>
                <w:szCs w:val="12"/>
                <w:color w:val="auto"/>
              </w:rPr>
            </w:pPr>
          </w:p>
        </w:tc>
        <w:tc>
          <w:tcPr>
            <w:tcW w:w="14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020" w:type="dxa"/>
            <w:vAlign w:val="bottom"/>
            <w:gridSpan w:val="3"/>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304,975,083</w:t>
            </w:r>
          </w:p>
        </w:tc>
        <w:tc>
          <w:tcPr>
            <w:tcW w:w="9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309,761,173</w:t>
            </w:r>
          </w:p>
        </w:tc>
        <w:tc>
          <w:tcPr>
            <w:tcW w:w="0" w:type="dxa"/>
            <w:vAlign w:val="bottom"/>
          </w:tcPr>
          <w:p>
            <w:pPr>
              <w:spacing w:after="0"/>
              <w:rPr>
                <w:sz w:val="1"/>
                <w:szCs w:val="1"/>
                <w:color w:val="auto"/>
              </w:rPr>
            </w:pPr>
          </w:p>
        </w:tc>
      </w:tr>
      <w:tr>
        <w:trPr>
          <w:trHeight w:val="155"/>
        </w:trPr>
        <w:tc>
          <w:tcPr>
            <w:tcW w:w="3720" w:type="dxa"/>
            <w:vAlign w:val="bottom"/>
          </w:tcPr>
          <w:p>
            <w:pPr>
              <w:spacing w:after="0" w:line="155" w:lineRule="exact"/>
              <w:rPr>
                <w:sz w:val="20"/>
                <w:szCs w:val="20"/>
                <w:color w:val="auto"/>
              </w:rPr>
            </w:pPr>
            <w:r>
              <w:rPr>
                <w:rFonts w:ascii="Arial" w:cs="Arial" w:eastAsia="Arial" w:hAnsi="Arial"/>
                <w:sz w:val="14"/>
                <w:szCs w:val="14"/>
                <w:b w:val="1"/>
                <w:bCs w:val="1"/>
                <w:color w:val="auto"/>
              </w:rPr>
              <w:t xml:space="preserve">Preferred Equity/Partnership Interests—1.2% </w:t>
            </w:r>
            <w:r>
              <w:rPr>
                <w:rFonts w:ascii="Arial" w:cs="Arial" w:eastAsia="Arial" w:hAnsi="Arial"/>
                <w:sz w:val="12"/>
                <w:szCs w:val="12"/>
                <w:b w:val="1"/>
                <w:bCs w:val="1"/>
                <w:color w:val="auto"/>
              </w:rPr>
              <w:t>(6)</w:t>
            </w:r>
          </w:p>
        </w:tc>
        <w:tc>
          <w:tcPr>
            <w:tcW w:w="134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20" w:type="dxa"/>
            <w:vAlign w:val="bottom"/>
            <w:tcBorders>
              <w:top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840" w:type="dxa"/>
            <w:vAlign w:val="bottom"/>
            <w:tcBorders>
              <w:top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0"/>
        </w:trPr>
        <w:tc>
          <w:tcPr>
            <w:tcW w:w="372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AH Holdings, Inc.</w:t>
            </w:r>
          </w:p>
        </w:tc>
        <w:tc>
          <w:tcPr>
            <w:tcW w:w="1340" w:type="dxa"/>
            <w:vAlign w:val="bottom"/>
            <w:shd w:val="clear" w:color="auto" w:fill="CCEEFF"/>
          </w:tcPr>
          <w:p>
            <w:pPr>
              <w:ind w:left="880"/>
              <w:spacing w:after="0" w:line="130" w:lineRule="exact"/>
              <w:rPr>
                <w:sz w:val="20"/>
                <w:szCs w:val="20"/>
                <w:color w:val="auto"/>
              </w:rPr>
            </w:pPr>
            <w:r>
              <w:rPr>
                <w:rFonts w:ascii="Arial" w:cs="Arial" w:eastAsia="Arial" w:hAnsi="Arial"/>
                <w:sz w:val="14"/>
                <w:szCs w:val="14"/>
                <w:color w:val="auto"/>
              </w:rPr>
              <w:t>—</w:t>
            </w:r>
          </w:p>
        </w:tc>
        <w:tc>
          <w:tcPr>
            <w:tcW w:w="1480" w:type="dxa"/>
            <w:vAlign w:val="bottom"/>
            <w:shd w:val="clear" w:color="auto" w:fill="CCEEFF"/>
          </w:tcPr>
          <w:p>
            <w:pPr>
              <w:jc w:val="center"/>
              <w:spacing w:after="0" w:line="130" w:lineRule="exact"/>
              <w:rPr>
                <w:sz w:val="20"/>
                <w:szCs w:val="20"/>
                <w:color w:val="auto"/>
              </w:rPr>
            </w:pPr>
            <w:r>
              <w:rPr>
                <w:rFonts w:ascii="Arial" w:cs="Arial" w:eastAsia="Arial" w:hAnsi="Arial"/>
                <w:sz w:val="14"/>
                <w:szCs w:val="14"/>
                <w:color w:val="auto"/>
                <w:w w:val="92"/>
              </w:rPr>
              <w:t>Healthcare, Education</w:t>
            </w:r>
          </w:p>
        </w:tc>
        <w:tc>
          <w:tcPr>
            <w:tcW w:w="820" w:type="dxa"/>
            <w:vAlign w:val="bottom"/>
            <w:shd w:val="clear" w:color="auto" w:fill="CCEEFF"/>
          </w:tcPr>
          <w:p>
            <w:pPr>
              <w:jc w:val="right"/>
              <w:spacing w:after="0" w:line="130" w:lineRule="exact"/>
              <w:rPr>
                <w:sz w:val="20"/>
                <w:szCs w:val="20"/>
                <w:color w:val="auto"/>
              </w:rPr>
            </w:pPr>
            <w:r>
              <w:rPr>
                <w:rFonts w:ascii="Arial" w:cs="Arial" w:eastAsia="Arial" w:hAnsi="Arial"/>
                <w:sz w:val="14"/>
                <w:szCs w:val="14"/>
                <w:color w:val="auto"/>
              </w:rPr>
              <w:t>6.00%</w:t>
            </w:r>
          </w:p>
        </w:tc>
        <w:tc>
          <w:tcPr>
            <w:tcW w:w="220" w:type="dxa"/>
            <w:vAlign w:val="bottom"/>
            <w:shd w:val="clear" w:color="auto" w:fill="CCEEFF"/>
          </w:tcPr>
          <w:p>
            <w:pPr>
              <w:spacing w:after="0"/>
              <w:rPr>
                <w:sz w:val="11"/>
                <w:szCs w:val="11"/>
                <w:color w:val="auto"/>
              </w:rPr>
            </w:pPr>
          </w:p>
        </w:tc>
        <w:tc>
          <w:tcPr>
            <w:tcW w:w="840" w:type="dxa"/>
            <w:vAlign w:val="bottom"/>
            <w:shd w:val="clear" w:color="auto" w:fill="CCEEFF"/>
          </w:tcPr>
          <w:p>
            <w:pPr>
              <w:ind w:left="520"/>
              <w:spacing w:after="0" w:line="130" w:lineRule="exact"/>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ind w:right="8"/>
              <w:spacing w:after="0" w:line="130" w:lineRule="exact"/>
              <w:rPr>
                <w:sz w:val="20"/>
                <w:szCs w:val="20"/>
                <w:color w:val="auto"/>
              </w:rPr>
            </w:pPr>
            <w:r>
              <w:rPr>
                <w:rFonts w:ascii="Arial" w:cs="Arial" w:eastAsia="Arial" w:hAnsi="Arial"/>
                <w:sz w:val="14"/>
                <w:szCs w:val="14"/>
                <w:color w:val="auto"/>
              </w:rPr>
              <w:t>211</w:t>
            </w:r>
          </w:p>
        </w:tc>
        <w:tc>
          <w:tcPr>
            <w:tcW w:w="1020" w:type="dxa"/>
            <w:vAlign w:val="bottom"/>
            <w:gridSpan w:val="3"/>
            <w:shd w:val="clear" w:color="auto" w:fill="CCEEFF"/>
          </w:tcPr>
          <w:p>
            <w:pPr>
              <w:jc w:val="right"/>
              <w:ind w:right="140"/>
              <w:spacing w:after="0" w:line="130" w:lineRule="exact"/>
              <w:rPr>
                <w:sz w:val="20"/>
                <w:szCs w:val="20"/>
                <w:color w:val="auto"/>
              </w:rPr>
            </w:pPr>
            <w:r>
              <w:rPr>
                <w:rFonts w:ascii="Arial" w:cs="Arial" w:eastAsia="Arial" w:hAnsi="Arial"/>
                <w:sz w:val="14"/>
                <w:szCs w:val="14"/>
                <w:color w:val="auto"/>
              </w:rPr>
              <w:t>500,000</w:t>
            </w:r>
          </w:p>
        </w:tc>
        <w:tc>
          <w:tcPr>
            <w:tcW w:w="980" w:type="dxa"/>
            <w:vAlign w:val="bottom"/>
            <w:gridSpan w:val="2"/>
            <w:shd w:val="clear" w:color="auto" w:fill="CCEEFF"/>
          </w:tcPr>
          <w:p>
            <w:pPr>
              <w:jc w:val="right"/>
              <w:ind w:right="140"/>
              <w:spacing w:after="0" w:line="130" w:lineRule="exact"/>
              <w:rPr>
                <w:sz w:val="20"/>
                <w:szCs w:val="20"/>
                <w:color w:val="auto"/>
              </w:rPr>
            </w:pPr>
            <w:r>
              <w:rPr>
                <w:rFonts w:ascii="Arial" w:cs="Arial" w:eastAsia="Arial" w:hAnsi="Arial"/>
                <w:sz w:val="14"/>
                <w:szCs w:val="14"/>
                <w:color w:val="auto"/>
              </w:rPr>
              <w:t>831,461</w:t>
            </w:r>
          </w:p>
        </w:tc>
        <w:tc>
          <w:tcPr>
            <w:tcW w:w="0" w:type="dxa"/>
            <w:vAlign w:val="bottom"/>
          </w:tcPr>
          <w:p>
            <w:pPr>
              <w:spacing w:after="0"/>
              <w:rPr>
                <w:sz w:val="1"/>
                <w:szCs w:val="1"/>
                <w:color w:val="auto"/>
              </w:rPr>
            </w:pPr>
          </w:p>
        </w:tc>
      </w:tr>
      <w:tr>
        <w:trPr>
          <w:trHeight w:val="167"/>
        </w:trPr>
        <w:tc>
          <w:tcPr>
            <w:tcW w:w="3720" w:type="dxa"/>
            <w:vAlign w:val="bottom"/>
            <w:shd w:val="clear" w:color="auto" w:fill="CCEEFF"/>
          </w:tcPr>
          <w:p>
            <w:pPr>
              <w:spacing w:after="0"/>
              <w:rPr>
                <w:sz w:val="14"/>
                <w:szCs w:val="14"/>
                <w:color w:val="auto"/>
              </w:rPr>
            </w:pPr>
          </w:p>
        </w:tc>
        <w:tc>
          <w:tcPr>
            <w:tcW w:w="1340" w:type="dxa"/>
            <w:vAlign w:val="bottom"/>
            <w:shd w:val="clear" w:color="auto" w:fill="CCEEFF"/>
          </w:tcPr>
          <w:p>
            <w:pPr>
              <w:spacing w:after="0"/>
              <w:rPr>
                <w:sz w:val="14"/>
                <w:szCs w:val="14"/>
                <w:color w:val="auto"/>
              </w:rPr>
            </w:pPr>
          </w:p>
        </w:tc>
        <w:tc>
          <w:tcPr>
            <w:tcW w:w="14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2"/>
              </w:rPr>
              <w:t>and Childcare</w:t>
            </w:r>
          </w:p>
        </w:tc>
        <w:tc>
          <w:tcPr>
            <w:tcW w:w="8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3720" w:type="dxa"/>
            <w:vAlign w:val="bottom"/>
          </w:tcPr>
          <w:p>
            <w:pPr>
              <w:spacing w:after="0" w:line="149" w:lineRule="exact"/>
              <w:rPr>
                <w:sz w:val="20"/>
                <w:szCs w:val="20"/>
                <w:color w:val="auto"/>
              </w:rPr>
            </w:pPr>
            <w:r>
              <w:rPr>
                <w:rFonts w:ascii="Arial" w:cs="Arial" w:eastAsia="Arial" w:hAnsi="Arial"/>
                <w:sz w:val="14"/>
                <w:szCs w:val="14"/>
                <w:color w:val="auto"/>
              </w:rPr>
              <w:t>AHC Mezzanine, LLC</w:t>
            </w:r>
          </w:p>
        </w:tc>
        <w:tc>
          <w:tcPr>
            <w:tcW w:w="1340" w:type="dxa"/>
            <w:vAlign w:val="bottom"/>
          </w:tcPr>
          <w:p>
            <w:pPr>
              <w:ind w:left="880"/>
              <w:spacing w:after="0" w:line="149" w:lineRule="exact"/>
              <w:rPr>
                <w:sz w:val="20"/>
                <w:szCs w:val="20"/>
                <w:color w:val="auto"/>
              </w:rPr>
            </w:pPr>
            <w:r>
              <w:rPr>
                <w:rFonts w:ascii="Arial" w:cs="Arial" w:eastAsia="Arial" w:hAnsi="Arial"/>
                <w:sz w:val="14"/>
                <w:szCs w:val="14"/>
                <w:color w:val="auto"/>
              </w:rPr>
              <w:t>—</w:t>
            </w:r>
          </w:p>
        </w:tc>
        <w:tc>
          <w:tcPr>
            <w:tcW w:w="1480" w:type="dxa"/>
            <w:vAlign w:val="bottom"/>
          </w:tcPr>
          <w:p>
            <w:pPr>
              <w:jc w:val="center"/>
              <w:spacing w:after="0" w:line="149" w:lineRule="exact"/>
              <w:rPr>
                <w:sz w:val="20"/>
                <w:szCs w:val="20"/>
                <w:color w:val="auto"/>
              </w:rPr>
            </w:pPr>
            <w:r>
              <w:rPr>
                <w:rFonts w:ascii="Arial" w:cs="Arial" w:eastAsia="Arial" w:hAnsi="Arial"/>
                <w:sz w:val="14"/>
                <w:szCs w:val="14"/>
                <w:color w:val="auto"/>
                <w:w w:val="96"/>
              </w:rPr>
              <w:t>Other Media</w:t>
            </w:r>
          </w:p>
        </w:tc>
        <w:tc>
          <w:tcPr>
            <w:tcW w:w="820" w:type="dxa"/>
            <w:vAlign w:val="bottom"/>
          </w:tcPr>
          <w:p>
            <w:pPr>
              <w:jc w:val="right"/>
              <w:ind w:right="128"/>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840" w:type="dxa"/>
            <w:vAlign w:val="bottom"/>
          </w:tcPr>
          <w:p>
            <w:pPr>
              <w:ind w:left="520"/>
              <w:spacing w:after="0" w:line="149" w:lineRule="exact"/>
              <w:rPr>
                <w:sz w:val="20"/>
                <w:szCs w:val="20"/>
                <w:color w:val="auto"/>
              </w:rPr>
            </w:pPr>
            <w:r>
              <w:rPr>
                <w:rFonts w:ascii="Arial" w:cs="Arial" w:eastAsia="Arial" w:hAnsi="Arial"/>
                <w:sz w:val="14"/>
                <w:szCs w:val="14"/>
                <w:color w:val="auto"/>
              </w:rPr>
              <w:t>—</w:t>
            </w:r>
          </w:p>
        </w:tc>
        <w:tc>
          <w:tcPr>
            <w:tcW w:w="820" w:type="dxa"/>
            <w:vAlign w:val="bottom"/>
          </w:tcPr>
          <w:p>
            <w:pPr>
              <w:jc w:val="right"/>
              <w:ind w:right="8"/>
              <w:spacing w:after="0" w:line="149" w:lineRule="exact"/>
              <w:rPr>
                <w:sz w:val="20"/>
                <w:szCs w:val="20"/>
                <w:color w:val="auto"/>
              </w:rPr>
            </w:pPr>
            <w:r>
              <w:rPr>
                <w:rFonts w:ascii="Arial" w:cs="Arial" w:eastAsia="Arial" w:hAnsi="Arial"/>
                <w:sz w:val="14"/>
                <w:szCs w:val="14"/>
                <w:color w:val="auto"/>
              </w:rPr>
              <w:t>7,505</w:t>
            </w:r>
          </w:p>
        </w:tc>
        <w:tc>
          <w:tcPr>
            <w:tcW w:w="1020" w:type="dxa"/>
            <w:vAlign w:val="bottom"/>
            <w:gridSpan w:val="3"/>
          </w:tcPr>
          <w:p>
            <w:pPr>
              <w:jc w:val="right"/>
              <w:ind w:right="140"/>
              <w:spacing w:after="0" w:line="149" w:lineRule="exact"/>
              <w:rPr>
                <w:sz w:val="20"/>
                <w:szCs w:val="20"/>
                <w:color w:val="auto"/>
              </w:rPr>
            </w:pPr>
            <w:r>
              <w:rPr>
                <w:rFonts w:ascii="Arial" w:cs="Arial" w:eastAsia="Arial" w:hAnsi="Arial"/>
                <w:sz w:val="14"/>
                <w:szCs w:val="14"/>
                <w:color w:val="auto"/>
              </w:rPr>
              <w:t>318,896</w:t>
            </w:r>
          </w:p>
        </w:tc>
        <w:tc>
          <w:tcPr>
            <w:tcW w:w="980" w:type="dxa"/>
            <w:vAlign w:val="bottom"/>
            <w:gridSpan w:val="2"/>
          </w:tcPr>
          <w:p>
            <w:pPr>
              <w:ind w:left="62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0"/>
        </w:trPr>
        <w:tc>
          <w:tcPr>
            <w:tcW w:w="372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Alegeus Technologies Holdings Corp., Series A</w:t>
            </w:r>
          </w:p>
        </w:tc>
        <w:tc>
          <w:tcPr>
            <w:tcW w:w="1340" w:type="dxa"/>
            <w:vAlign w:val="bottom"/>
            <w:shd w:val="clear" w:color="auto" w:fill="CCEEFF"/>
          </w:tcPr>
          <w:p>
            <w:pPr>
              <w:ind w:left="880"/>
              <w:spacing w:after="0" w:line="130" w:lineRule="exact"/>
              <w:rPr>
                <w:sz w:val="20"/>
                <w:szCs w:val="20"/>
                <w:color w:val="auto"/>
              </w:rPr>
            </w:pPr>
            <w:r>
              <w:rPr>
                <w:rFonts w:ascii="Arial" w:cs="Arial" w:eastAsia="Arial" w:hAnsi="Arial"/>
                <w:sz w:val="14"/>
                <w:szCs w:val="14"/>
                <w:color w:val="auto"/>
              </w:rPr>
              <w:t>—</w:t>
            </w:r>
          </w:p>
        </w:tc>
        <w:tc>
          <w:tcPr>
            <w:tcW w:w="1480" w:type="dxa"/>
            <w:vAlign w:val="bottom"/>
            <w:shd w:val="clear" w:color="auto" w:fill="CCEEFF"/>
          </w:tcPr>
          <w:p>
            <w:pPr>
              <w:jc w:val="center"/>
              <w:spacing w:after="0" w:line="130" w:lineRule="exact"/>
              <w:rPr>
                <w:sz w:val="20"/>
                <w:szCs w:val="20"/>
                <w:color w:val="auto"/>
              </w:rPr>
            </w:pPr>
            <w:r>
              <w:rPr>
                <w:rFonts w:ascii="Arial" w:cs="Arial" w:eastAsia="Arial" w:hAnsi="Arial"/>
                <w:sz w:val="14"/>
                <w:szCs w:val="14"/>
                <w:color w:val="auto"/>
                <w:w w:val="93"/>
              </w:rPr>
              <w:t>Financial Services</w:t>
            </w:r>
          </w:p>
        </w:tc>
        <w:tc>
          <w:tcPr>
            <w:tcW w:w="820" w:type="dxa"/>
            <w:vAlign w:val="bottom"/>
            <w:shd w:val="clear" w:color="auto" w:fill="CCEEFF"/>
          </w:tcPr>
          <w:p>
            <w:pPr>
              <w:jc w:val="right"/>
              <w:ind w:right="128"/>
              <w:spacing w:after="0" w:line="130"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1"/>
                <w:szCs w:val="11"/>
                <w:color w:val="auto"/>
              </w:rPr>
            </w:pPr>
          </w:p>
        </w:tc>
        <w:tc>
          <w:tcPr>
            <w:tcW w:w="840" w:type="dxa"/>
            <w:vAlign w:val="bottom"/>
            <w:shd w:val="clear" w:color="auto" w:fill="CCEEFF"/>
          </w:tcPr>
          <w:p>
            <w:pPr>
              <w:ind w:left="520"/>
              <w:spacing w:after="0" w:line="130" w:lineRule="exact"/>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ind w:right="8"/>
              <w:spacing w:after="0" w:line="130" w:lineRule="exact"/>
              <w:rPr>
                <w:sz w:val="20"/>
                <w:szCs w:val="20"/>
                <w:color w:val="auto"/>
              </w:rPr>
            </w:pPr>
            <w:r>
              <w:rPr>
                <w:rFonts w:ascii="Arial" w:cs="Arial" w:eastAsia="Arial" w:hAnsi="Arial"/>
                <w:sz w:val="14"/>
                <w:szCs w:val="14"/>
                <w:color w:val="auto"/>
              </w:rPr>
              <w:t>949</w:t>
            </w:r>
          </w:p>
        </w:tc>
        <w:tc>
          <w:tcPr>
            <w:tcW w:w="1020" w:type="dxa"/>
            <w:vAlign w:val="bottom"/>
            <w:gridSpan w:val="3"/>
            <w:shd w:val="clear" w:color="auto" w:fill="CCEEFF"/>
          </w:tcPr>
          <w:p>
            <w:pPr>
              <w:jc w:val="right"/>
              <w:ind w:right="140"/>
              <w:spacing w:after="0" w:line="130" w:lineRule="exact"/>
              <w:rPr>
                <w:sz w:val="20"/>
                <w:szCs w:val="20"/>
                <w:color w:val="auto"/>
              </w:rPr>
            </w:pPr>
            <w:r>
              <w:rPr>
                <w:rFonts w:ascii="Arial" w:cs="Arial" w:eastAsia="Arial" w:hAnsi="Arial"/>
                <w:sz w:val="14"/>
                <w:szCs w:val="14"/>
                <w:color w:val="auto"/>
              </w:rPr>
              <w:t>949,050</w:t>
            </w:r>
          </w:p>
        </w:tc>
        <w:tc>
          <w:tcPr>
            <w:tcW w:w="980" w:type="dxa"/>
            <w:vAlign w:val="bottom"/>
            <w:gridSpan w:val="2"/>
            <w:shd w:val="clear" w:color="auto" w:fill="CCEEFF"/>
          </w:tcPr>
          <w:p>
            <w:pPr>
              <w:jc w:val="right"/>
              <w:ind w:right="140"/>
              <w:spacing w:after="0" w:line="130" w:lineRule="exact"/>
              <w:rPr>
                <w:sz w:val="20"/>
                <w:szCs w:val="20"/>
                <w:color w:val="auto"/>
              </w:rPr>
            </w:pPr>
            <w:r>
              <w:rPr>
                <w:rFonts w:ascii="Arial" w:cs="Arial" w:eastAsia="Arial" w:hAnsi="Arial"/>
                <w:sz w:val="14"/>
                <w:szCs w:val="14"/>
                <w:color w:val="auto"/>
              </w:rPr>
              <w:t>701,561</w:t>
            </w:r>
          </w:p>
        </w:tc>
        <w:tc>
          <w:tcPr>
            <w:tcW w:w="0" w:type="dxa"/>
            <w:vAlign w:val="bottom"/>
          </w:tcPr>
          <w:p>
            <w:pPr>
              <w:spacing w:after="0"/>
              <w:rPr>
                <w:sz w:val="1"/>
                <w:szCs w:val="1"/>
                <w:color w:val="auto"/>
              </w:rPr>
            </w:pPr>
          </w:p>
        </w:tc>
      </w:tr>
      <w:tr>
        <w:trPr>
          <w:trHeight w:val="167"/>
        </w:trPr>
        <w:tc>
          <w:tcPr>
            <w:tcW w:w="3720" w:type="dxa"/>
            <w:vAlign w:val="bottom"/>
            <w:shd w:val="clear" w:color="auto" w:fill="CCEEFF"/>
          </w:tcPr>
          <w:p>
            <w:pPr>
              <w:ind w:left="160"/>
              <w:spacing w:after="0"/>
              <w:rPr>
                <w:sz w:val="20"/>
                <w:szCs w:val="20"/>
                <w:color w:val="auto"/>
              </w:rPr>
            </w:pPr>
            <w:r>
              <w:rPr>
                <w:rFonts w:ascii="Arial" w:cs="Arial" w:eastAsia="Arial" w:hAnsi="Arial"/>
                <w:sz w:val="14"/>
                <w:szCs w:val="14"/>
                <w:color w:val="auto"/>
              </w:rPr>
              <w:t>(Alegeus Technologies, LLC)</w:t>
            </w:r>
          </w:p>
        </w:tc>
        <w:tc>
          <w:tcPr>
            <w:tcW w:w="1340" w:type="dxa"/>
            <w:vAlign w:val="bottom"/>
            <w:shd w:val="clear" w:color="auto" w:fill="CCEEFF"/>
          </w:tcPr>
          <w:p>
            <w:pPr>
              <w:spacing w:after="0"/>
              <w:rPr>
                <w:sz w:val="14"/>
                <w:szCs w:val="14"/>
                <w:color w:val="auto"/>
              </w:rPr>
            </w:pPr>
          </w:p>
        </w:tc>
        <w:tc>
          <w:tcPr>
            <w:tcW w:w="14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3720" w:type="dxa"/>
            <w:vAlign w:val="bottom"/>
          </w:tcPr>
          <w:p>
            <w:pPr>
              <w:spacing w:after="0" w:line="130" w:lineRule="exact"/>
              <w:rPr>
                <w:sz w:val="20"/>
                <w:szCs w:val="20"/>
                <w:color w:val="auto"/>
              </w:rPr>
            </w:pPr>
            <w:r>
              <w:rPr>
                <w:rFonts w:ascii="Arial" w:cs="Arial" w:eastAsia="Arial" w:hAnsi="Arial"/>
                <w:sz w:val="14"/>
                <w:szCs w:val="14"/>
                <w:color w:val="auto"/>
              </w:rPr>
              <w:t>CI (IHS) Investment Holdings, LLC</w:t>
            </w:r>
          </w:p>
        </w:tc>
        <w:tc>
          <w:tcPr>
            <w:tcW w:w="1340" w:type="dxa"/>
            <w:vAlign w:val="bottom"/>
          </w:tcPr>
          <w:p>
            <w:pPr>
              <w:ind w:left="880"/>
              <w:spacing w:after="0" w:line="130" w:lineRule="exact"/>
              <w:rPr>
                <w:sz w:val="20"/>
                <w:szCs w:val="20"/>
                <w:color w:val="auto"/>
              </w:rPr>
            </w:pPr>
            <w:r>
              <w:rPr>
                <w:rFonts w:ascii="Arial" w:cs="Arial" w:eastAsia="Arial" w:hAnsi="Arial"/>
                <w:sz w:val="14"/>
                <w:szCs w:val="14"/>
                <w:color w:val="auto"/>
              </w:rPr>
              <w:t>—</w:t>
            </w:r>
          </w:p>
        </w:tc>
        <w:tc>
          <w:tcPr>
            <w:tcW w:w="1480" w:type="dxa"/>
            <w:vAlign w:val="bottom"/>
          </w:tcPr>
          <w:p>
            <w:pPr>
              <w:jc w:val="center"/>
              <w:spacing w:after="0" w:line="130" w:lineRule="exact"/>
              <w:rPr>
                <w:sz w:val="20"/>
                <w:szCs w:val="20"/>
                <w:color w:val="auto"/>
              </w:rPr>
            </w:pPr>
            <w:r>
              <w:rPr>
                <w:rFonts w:ascii="Arial" w:cs="Arial" w:eastAsia="Arial" w:hAnsi="Arial"/>
                <w:sz w:val="14"/>
                <w:szCs w:val="14"/>
                <w:color w:val="auto"/>
                <w:w w:val="92"/>
              </w:rPr>
              <w:t>Healthcare, Education</w:t>
            </w:r>
          </w:p>
        </w:tc>
        <w:tc>
          <w:tcPr>
            <w:tcW w:w="820" w:type="dxa"/>
            <w:vAlign w:val="bottom"/>
          </w:tcPr>
          <w:p>
            <w:pPr>
              <w:jc w:val="right"/>
              <w:spacing w:after="0" w:line="130" w:lineRule="exact"/>
              <w:rPr>
                <w:sz w:val="20"/>
                <w:szCs w:val="20"/>
                <w:color w:val="auto"/>
              </w:rPr>
            </w:pPr>
            <w:r>
              <w:rPr>
                <w:rFonts w:ascii="Arial" w:cs="Arial" w:eastAsia="Arial" w:hAnsi="Arial"/>
                <w:sz w:val="14"/>
                <w:szCs w:val="14"/>
                <w:color w:val="auto"/>
              </w:rPr>
              <w:t>8.00%</w:t>
            </w:r>
          </w:p>
        </w:tc>
        <w:tc>
          <w:tcPr>
            <w:tcW w:w="220" w:type="dxa"/>
            <w:vAlign w:val="bottom"/>
          </w:tcPr>
          <w:p>
            <w:pPr>
              <w:spacing w:after="0"/>
              <w:rPr>
                <w:sz w:val="11"/>
                <w:szCs w:val="11"/>
                <w:color w:val="auto"/>
              </w:rPr>
            </w:pPr>
          </w:p>
        </w:tc>
        <w:tc>
          <w:tcPr>
            <w:tcW w:w="840" w:type="dxa"/>
            <w:vAlign w:val="bottom"/>
          </w:tcPr>
          <w:p>
            <w:pPr>
              <w:ind w:left="520"/>
              <w:spacing w:after="0" w:line="130" w:lineRule="exact"/>
              <w:rPr>
                <w:sz w:val="20"/>
                <w:szCs w:val="20"/>
                <w:color w:val="auto"/>
              </w:rPr>
            </w:pPr>
            <w:r>
              <w:rPr>
                <w:rFonts w:ascii="Arial" w:cs="Arial" w:eastAsia="Arial" w:hAnsi="Arial"/>
                <w:sz w:val="14"/>
                <w:szCs w:val="14"/>
                <w:color w:val="auto"/>
              </w:rPr>
              <w:t>—</w:t>
            </w:r>
          </w:p>
        </w:tc>
        <w:tc>
          <w:tcPr>
            <w:tcW w:w="820" w:type="dxa"/>
            <w:vAlign w:val="bottom"/>
          </w:tcPr>
          <w:p>
            <w:pPr>
              <w:jc w:val="right"/>
              <w:ind w:right="8"/>
              <w:spacing w:after="0" w:line="130" w:lineRule="exact"/>
              <w:rPr>
                <w:sz w:val="20"/>
                <w:szCs w:val="20"/>
                <w:color w:val="auto"/>
              </w:rPr>
            </w:pPr>
            <w:r>
              <w:rPr>
                <w:rFonts w:ascii="Arial" w:cs="Arial" w:eastAsia="Arial" w:hAnsi="Arial"/>
                <w:sz w:val="14"/>
                <w:szCs w:val="14"/>
                <w:color w:val="auto"/>
              </w:rPr>
              <w:t>76,357</w:t>
            </w:r>
          </w:p>
        </w:tc>
        <w:tc>
          <w:tcPr>
            <w:tcW w:w="1020" w:type="dxa"/>
            <w:vAlign w:val="bottom"/>
            <w:gridSpan w:val="3"/>
          </w:tcPr>
          <w:p>
            <w:pPr>
              <w:jc w:val="right"/>
              <w:ind w:right="140"/>
              <w:spacing w:after="0" w:line="130" w:lineRule="exact"/>
              <w:rPr>
                <w:sz w:val="20"/>
                <w:szCs w:val="20"/>
                <w:color w:val="auto"/>
              </w:rPr>
            </w:pPr>
            <w:r>
              <w:rPr>
                <w:rFonts w:ascii="Arial" w:cs="Arial" w:eastAsia="Arial" w:hAnsi="Arial"/>
                <w:sz w:val="14"/>
                <w:szCs w:val="14"/>
                <w:color w:val="auto"/>
              </w:rPr>
              <w:t>765,307</w:t>
            </w:r>
          </w:p>
        </w:tc>
        <w:tc>
          <w:tcPr>
            <w:tcW w:w="980" w:type="dxa"/>
            <w:vAlign w:val="bottom"/>
            <w:gridSpan w:val="2"/>
          </w:tcPr>
          <w:p>
            <w:pPr>
              <w:jc w:val="right"/>
              <w:ind w:right="140"/>
              <w:spacing w:after="0" w:line="130" w:lineRule="exact"/>
              <w:rPr>
                <w:sz w:val="20"/>
                <w:szCs w:val="20"/>
                <w:color w:val="auto"/>
              </w:rPr>
            </w:pPr>
            <w:r>
              <w:rPr>
                <w:rFonts w:ascii="Arial" w:cs="Arial" w:eastAsia="Arial" w:hAnsi="Arial"/>
                <w:sz w:val="14"/>
                <w:szCs w:val="14"/>
                <w:color w:val="auto"/>
              </w:rPr>
              <w:t>1,406,567</w:t>
            </w:r>
          </w:p>
        </w:tc>
        <w:tc>
          <w:tcPr>
            <w:tcW w:w="0" w:type="dxa"/>
            <w:vAlign w:val="bottom"/>
          </w:tcPr>
          <w:p>
            <w:pPr>
              <w:spacing w:after="0"/>
              <w:rPr>
                <w:sz w:val="1"/>
                <w:szCs w:val="1"/>
                <w:color w:val="auto"/>
              </w:rPr>
            </w:pPr>
          </w:p>
        </w:tc>
      </w:tr>
      <w:tr>
        <w:trPr>
          <w:trHeight w:val="167"/>
        </w:trPr>
        <w:tc>
          <w:tcPr>
            <w:tcW w:w="3720" w:type="dxa"/>
            <w:vAlign w:val="bottom"/>
          </w:tcPr>
          <w:p>
            <w:pPr>
              <w:ind w:left="160"/>
              <w:spacing w:after="0"/>
              <w:rPr>
                <w:sz w:val="20"/>
                <w:szCs w:val="20"/>
                <w:color w:val="auto"/>
              </w:rPr>
            </w:pPr>
            <w:r>
              <w:rPr>
                <w:rFonts w:ascii="Arial" w:cs="Arial" w:eastAsia="Arial" w:hAnsi="Arial"/>
                <w:sz w:val="14"/>
                <w:szCs w:val="14"/>
                <w:color w:val="auto"/>
              </w:rPr>
              <w:t>(Interactive Health Solutions, Inc.)</w:t>
            </w:r>
          </w:p>
        </w:tc>
        <w:tc>
          <w:tcPr>
            <w:tcW w:w="1340" w:type="dxa"/>
            <w:vAlign w:val="bottom"/>
          </w:tcPr>
          <w:p>
            <w:pPr>
              <w:spacing w:after="0"/>
              <w:rPr>
                <w:sz w:val="14"/>
                <w:szCs w:val="14"/>
                <w:color w:val="auto"/>
              </w:rPr>
            </w:pPr>
          </w:p>
        </w:tc>
        <w:tc>
          <w:tcPr>
            <w:tcW w:w="1480" w:type="dxa"/>
            <w:vAlign w:val="bottom"/>
          </w:tcPr>
          <w:p>
            <w:pPr>
              <w:jc w:val="center"/>
              <w:spacing w:after="0"/>
              <w:rPr>
                <w:sz w:val="20"/>
                <w:szCs w:val="20"/>
                <w:color w:val="auto"/>
              </w:rPr>
            </w:pPr>
            <w:r>
              <w:rPr>
                <w:rFonts w:ascii="Arial" w:cs="Arial" w:eastAsia="Arial" w:hAnsi="Arial"/>
                <w:sz w:val="14"/>
                <w:szCs w:val="14"/>
                <w:color w:val="auto"/>
                <w:w w:val="92"/>
              </w:rPr>
              <w:t>and Childcare</w:t>
            </w:r>
          </w:p>
        </w:tc>
        <w:tc>
          <w:tcPr>
            <w:tcW w:w="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372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 xml:space="preserve">CI (IHS) Investment Holdings, LLC </w:t>
            </w:r>
            <w:r>
              <w:rPr>
                <w:rFonts w:ascii="Arial" w:cs="Arial" w:eastAsia="Arial" w:hAnsi="Arial"/>
                <w:sz w:val="12"/>
                <w:szCs w:val="12"/>
                <w:color w:val="auto"/>
              </w:rPr>
              <w:t>(9)</w:t>
            </w:r>
          </w:p>
        </w:tc>
        <w:tc>
          <w:tcPr>
            <w:tcW w:w="1340" w:type="dxa"/>
            <w:vAlign w:val="bottom"/>
            <w:shd w:val="clear" w:color="auto" w:fill="CCEEFF"/>
          </w:tcPr>
          <w:p>
            <w:pPr>
              <w:ind w:left="880"/>
              <w:spacing w:after="0" w:line="130" w:lineRule="exact"/>
              <w:rPr>
                <w:sz w:val="20"/>
                <w:szCs w:val="20"/>
                <w:color w:val="auto"/>
              </w:rPr>
            </w:pPr>
            <w:r>
              <w:rPr>
                <w:rFonts w:ascii="Arial" w:cs="Arial" w:eastAsia="Arial" w:hAnsi="Arial"/>
                <w:sz w:val="14"/>
                <w:szCs w:val="14"/>
                <w:color w:val="auto"/>
              </w:rPr>
              <w:t>—</w:t>
            </w:r>
          </w:p>
        </w:tc>
        <w:tc>
          <w:tcPr>
            <w:tcW w:w="1480" w:type="dxa"/>
            <w:vAlign w:val="bottom"/>
            <w:shd w:val="clear" w:color="auto" w:fill="CCEEFF"/>
          </w:tcPr>
          <w:p>
            <w:pPr>
              <w:jc w:val="center"/>
              <w:spacing w:after="0" w:line="130" w:lineRule="exact"/>
              <w:rPr>
                <w:sz w:val="20"/>
                <w:szCs w:val="20"/>
                <w:color w:val="auto"/>
              </w:rPr>
            </w:pPr>
            <w:r>
              <w:rPr>
                <w:rFonts w:ascii="Arial" w:cs="Arial" w:eastAsia="Arial" w:hAnsi="Arial"/>
                <w:sz w:val="14"/>
                <w:szCs w:val="14"/>
                <w:color w:val="auto"/>
                <w:w w:val="92"/>
              </w:rPr>
              <w:t>Healthcare, Education</w:t>
            </w:r>
          </w:p>
        </w:tc>
        <w:tc>
          <w:tcPr>
            <w:tcW w:w="820" w:type="dxa"/>
            <w:vAlign w:val="bottom"/>
            <w:shd w:val="clear" w:color="auto" w:fill="CCEEFF"/>
          </w:tcPr>
          <w:p>
            <w:pPr>
              <w:jc w:val="right"/>
              <w:ind w:right="128"/>
              <w:spacing w:after="0" w:line="130"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1"/>
                <w:szCs w:val="11"/>
                <w:color w:val="auto"/>
              </w:rPr>
            </w:pPr>
          </w:p>
        </w:tc>
        <w:tc>
          <w:tcPr>
            <w:tcW w:w="840" w:type="dxa"/>
            <w:vAlign w:val="bottom"/>
            <w:shd w:val="clear" w:color="auto" w:fill="CCEEFF"/>
          </w:tcPr>
          <w:p>
            <w:pPr>
              <w:ind w:left="520"/>
              <w:spacing w:after="0" w:line="130" w:lineRule="exact"/>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ind w:right="8"/>
              <w:spacing w:after="0" w:line="130" w:lineRule="exact"/>
              <w:rPr>
                <w:sz w:val="20"/>
                <w:szCs w:val="20"/>
                <w:color w:val="auto"/>
              </w:rPr>
            </w:pPr>
            <w:r>
              <w:rPr>
                <w:rFonts w:ascii="Arial" w:cs="Arial" w:eastAsia="Arial" w:hAnsi="Arial"/>
                <w:sz w:val="14"/>
                <w:szCs w:val="14"/>
                <w:color w:val="auto"/>
              </w:rPr>
              <w:t>38,179</w:t>
            </w:r>
          </w:p>
        </w:tc>
        <w:tc>
          <w:tcPr>
            <w:tcW w:w="1020" w:type="dxa"/>
            <w:vAlign w:val="bottom"/>
            <w:gridSpan w:val="3"/>
            <w:shd w:val="clear" w:color="auto" w:fill="CCEEFF"/>
          </w:tcPr>
          <w:p>
            <w:pPr>
              <w:jc w:val="right"/>
              <w:ind w:right="140"/>
              <w:spacing w:after="0" w:line="130" w:lineRule="exact"/>
              <w:rPr>
                <w:sz w:val="20"/>
                <w:szCs w:val="20"/>
                <w:color w:val="auto"/>
              </w:rPr>
            </w:pPr>
            <w:r>
              <w:rPr>
                <w:rFonts w:ascii="Arial" w:cs="Arial" w:eastAsia="Arial" w:hAnsi="Arial"/>
                <w:sz w:val="14"/>
                <w:szCs w:val="14"/>
                <w:color w:val="auto"/>
              </w:rPr>
              <w:t>382,654</w:t>
            </w:r>
          </w:p>
        </w:tc>
        <w:tc>
          <w:tcPr>
            <w:tcW w:w="980" w:type="dxa"/>
            <w:vAlign w:val="bottom"/>
            <w:gridSpan w:val="2"/>
            <w:shd w:val="clear" w:color="auto" w:fill="CCEEFF"/>
          </w:tcPr>
          <w:p>
            <w:pPr>
              <w:jc w:val="right"/>
              <w:ind w:right="140"/>
              <w:spacing w:after="0" w:line="130" w:lineRule="exact"/>
              <w:rPr>
                <w:sz w:val="20"/>
                <w:szCs w:val="20"/>
                <w:color w:val="auto"/>
              </w:rPr>
            </w:pPr>
            <w:r>
              <w:rPr>
                <w:rFonts w:ascii="Arial" w:cs="Arial" w:eastAsia="Arial" w:hAnsi="Arial"/>
                <w:sz w:val="14"/>
                <w:szCs w:val="14"/>
                <w:color w:val="auto"/>
              </w:rPr>
              <w:t>703,284</w:t>
            </w:r>
          </w:p>
        </w:tc>
        <w:tc>
          <w:tcPr>
            <w:tcW w:w="0" w:type="dxa"/>
            <w:vAlign w:val="bottom"/>
          </w:tcPr>
          <w:p>
            <w:pPr>
              <w:spacing w:after="0"/>
              <w:rPr>
                <w:sz w:val="1"/>
                <w:szCs w:val="1"/>
                <w:color w:val="auto"/>
              </w:rPr>
            </w:pPr>
          </w:p>
        </w:tc>
      </w:tr>
      <w:tr>
        <w:trPr>
          <w:trHeight w:val="167"/>
        </w:trPr>
        <w:tc>
          <w:tcPr>
            <w:tcW w:w="3720" w:type="dxa"/>
            <w:vAlign w:val="bottom"/>
            <w:shd w:val="clear" w:color="auto" w:fill="CCEEFF"/>
          </w:tcPr>
          <w:p>
            <w:pPr>
              <w:ind w:left="160"/>
              <w:spacing w:after="0"/>
              <w:rPr>
                <w:sz w:val="20"/>
                <w:szCs w:val="20"/>
                <w:color w:val="auto"/>
              </w:rPr>
            </w:pPr>
            <w:r>
              <w:rPr>
                <w:rFonts w:ascii="Arial" w:cs="Arial" w:eastAsia="Arial" w:hAnsi="Arial"/>
                <w:sz w:val="14"/>
                <w:szCs w:val="14"/>
                <w:color w:val="auto"/>
              </w:rPr>
              <w:t>(Interactive Health Solutions, Inc.)</w:t>
            </w:r>
          </w:p>
        </w:tc>
        <w:tc>
          <w:tcPr>
            <w:tcW w:w="1340" w:type="dxa"/>
            <w:vAlign w:val="bottom"/>
            <w:shd w:val="clear" w:color="auto" w:fill="CCEEFF"/>
          </w:tcPr>
          <w:p>
            <w:pPr>
              <w:spacing w:after="0"/>
              <w:rPr>
                <w:sz w:val="14"/>
                <w:szCs w:val="14"/>
                <w:color w:val="auto"/>
              </w:rPr>
            </w:pPr>
          </w:p>
        </w:tc>
        <w:tc>
          <w:tcPr>
            <w:tcW w:w="14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2"/>
              </w:rPr>
              <w:t>and Childcare</w:t>
            </w:r>
          </w:p>
        </w:tc>
        <w:tc>
          <w:tcPr>
            <w:tcW w:w="8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3720" w:type="dxa"/>
            <w:vAlign w:val="bottom"/>
          </w:tcPr>
          <w:p>
            <w:pPr>
              <w:spacing w:after="0" w:line="130" w:lineRule="exact"/>
              <w:rPr>
                <w:sz w:val="20"/>
                <w:szCs w:val="20"/>
                <w:color w:val="auto"/>
              </w:rPr>
            </w:pPr>
            <w:r>
              <w:rPr>
                <w:rFonts w:ascii="Arial" w:cs="Arial" w:eastAsia="Arial" w:hAnsi="Arial"/>
                <w:sz w:val="14"/>
                <w:szCs w:val="14"/>
                <w:color w:val="auto"/>
              </w:rPr>
              <w:t>Convergint Technologies Holdings, LLC</w:t>
            </w:r>
          </w:p>
        </w:tc>
        <w:tc>
          <w:tcPr>
            <w:tcW w:w="1340" w:type="dxa"/>
            <w:vAlign w:val="bottom"/>
          </w:tcPr>
          <w:p>
            <w:pPr>
              <w:ind w:left="880"/>
              <w:spacing w:after="0" w:line="130" w:lineRule="exact"/>
              <w:rPr>
                <w:sz w:val="20"/>
                <w:szCs w:val="20"/>
                <w:color w:val="auto"/>
              </w:rPr>
            </w:pPr>
            <w:r>
              <w:rPr>
                <w:rFonts w:ascii="Arial" w:cs="Arial" w:eastAsia="Arial" w:hAnsi="Arial"/>
                <w:sz w:val="14"/>
                <w:szCs w:val="14"/>
                <w:color w:val="auto"/>
              </w:rPr>
              <w:t>—</w:t>
            </w:r>
          </w:p>
        </w:tc>
        <w:tc>
          <w:tcPr>
            <w:tcW w:w="1480" w:type="dxa"/>
            <w:vAlign w:val="bottom"/>
          </w:tcPr>
          <w:p>
            <w:pPr>
              <w:jc w:val="center"/>
              <w:spacing w:after="0" w:line="130" w:lineRule="exact"/>
              <w:rPr>
                <w:sz w:val="20"/>
                <w:szCs w:val="20"/>
                <w:color w:val="auto"/>
              </w:rPr>
            </w:pPr>
            <w:r>
              <w:rPr>
                <w:rFonts w:ascii="Arial" w:cs="Arial" w:eastAsia="Arial" w:hAnsi="Arial"/>
                <w:sz w:val="14"/>
                <w:szCs w:val="14"/>
                <w:color w:val="auto"/>
                <w:w w:val="93"/>
              </w:rPr>
              <w:t>Electronics</w:t>
            </w:r>
          </w:p>
        </w:tc>
        <w:tc>
          <w:tcPr>
            <w:tcW w:w="820" w:type="dxa"/>
            <w:vAlign w:val="bottom"/>
          </w:tcPr>
          <w:p>
            <w:pPr>
              <w:jc w:val="right"/>
              <w:spacing w:after="0" w:line="130" w:lineRule="exact"/>
              <w:rPr>
                <w:sz w:val="20"/>
                <w:szCs w:val="20"/>
                <w:color w:val="auto"/>
              </w:rPr>
            </w:pPr>
            <w:r>
              <w:rPr>
                <w:rFonts w:ascii="Arial" w:cs="Arial" w:eastAsia="Arial" w:hAnsi="Arial"/>
                <w:sz w:val="14"/>
                <w:szCs w:val="14"/>
                <w:color w:val="auto"/>
              </w:rPr>
              <w:t>8.00%</w:t>
            </w:r>
          </w:p>
        </w:tc>
        <w:tc>
          <w:tcPr>
            <w:tcW w:w="220" w:type="dxa"/>
            <w:vAlign w:val="bottom"/>
          </w:tcPr>
          <w:p>
            <w:pPr>
              <w:spacing w:after="0"/>
              <w:rPr>
                <w:sz w:val="11"/>
                <w:szCs w:val="11"/>
                <w:color w:val="auto"/>
              </w:rPr>
            </w:pPr>
          </w:p>
        </w:tc>
        <w:tc>
          <w:tcPr>
            <w:tcW w:w="840" w:type="dxa"/>
            <w:vAlign w:val="bottom"/>
          </w:tcPr>
          <w:p>
            <w:pPr>
              <w:ind w:left="520"/>
              <w:spacing w:after="0" w:line="130" w:lineRule="exact"/>
              <w:rPr>
                <w:sz w:val="20"/>
                <w:szCs w:val="20"/>
                <w:color w:val="auto"/>
              </w:rPr>
            </w:pPr>
            <w:r>
              <w:rPr>
                <w:rFonts w:ascii="Arial" w:cs="Arial" w:eastAsia="Arial" w:hAnsi="Arial"/>
                <w:sz w:val="14"/>
                <w:szCs w:val="14"/>
                <w:color w:val="auto"/>
              </w:rPr>
              <w:t>—</w:t>
            </w:r>
          </w:p>
        </w:tc>
        <w:tc>
          <w:tcPr>
            <w:tcW w:w="820" w:type="dxa"/>
            <w:vAlign w:val="bottom"/>
          </w:tcPr>
          <w:p>
            <w:pPr>
              <w:jc w:val="right"/>
              <w:ind w:right="8"/>
              <w:spacing w:after="0" w:line="130" w:lineRule="exact"/>
              <w:rPr>
                <w:sz w:val="20"/>
                <w:szCs w:val="20"/>
                <w:color w:val="auto"/>
              </w:rPr>
            </w:pPr>
            <w:r>
              <w:rPr>
                <w:rFonts w:ascii="Arial" w:cs="Arial" w:eastAsia="Arial" w:hAnsi="Arial"/>
                <w:sz w:val="14"/>
                <w:szCs w:val="14"/>
                <w:color w:val="auto"/>
              </w:rPr>
              <w:t>2,375</w:t>
            </w:r>
          </w:p>
        </w:tc>
        <w:tc>
          <w:tcPr>
            <w:tcW w:w="1020" w:type="dxa"/>
            <w:vAlign w:val="bottom"/>
            <w:gridSpan w:val="3"/>
          </w:tcPr>
          <w:p>
            <w:pPr>
              <w:jc w:val="right"/>
              <w:ind w:right="140"/>
              <w:spacing w:after="0" w:line="130" w:lineRule="exact"/>
              <w:rPr>
                <w:sz w:val="20"/>
                <w:szCs w:val="20"/>
                <w:color w:val="auto"/>
              </w:rPr>
            </w:pPr>
            <w:r>
              <w:rPr>
                <w:rFonts w:ascii="Arial" w:cs="Arial" w:eastAsia="Arial" w:hAnsi="Arial"/>
                <w:sz w:val="14"/>
                <w:szCs w:val="14"/>
                <w:color w:val="auto"/>
              </w:rPr>
              <w:t>2,375,000</w:t>
            </w:r>
          </w:p>
        </w:tc>
        <w:tc>
          <w:tcPr>
            <w:tcW w:w="980" w:type="dxa"/>
            <w:vAlign w:val="bottom"/>
            <w:gridSpan w:val="2"/>
          </w:tcPr>
          <w:p>
            <w:pPr>
              <w:jc w:val="right"/>
              <w:ind w:right="140"/>
              <w:spacing w:after="0" w:line="130" w:lineRule="exact"/>
              <w:rPr>
                <w:sz w:val="20"/>
                <w:szCs w:val="20"/>
                <w:color w:val="auto"/>
              </w:rPr>
            </w:pPr>
            <w:r>
              <w:rPr>
                <w:rFonts w:ascii="Arial" w:cs="Arial" w:eastAsia="Arial" w:hAnsi="Arial"/>
                <w:sz w:val="14"/>
                <w:szCs w:val="14"/>
                <w:color w:val="auto"/>
              </w:rPr>
              <w:t>2,581,944</w:t>
            </w:r>
          </w:p>
        </w:tc>
        <w:tc>
          <w:tcPr>
            <w:tcW w:w="0" w:type="dxa"/>
            <w:vAlign w:val="bottom"/>
          </w:tcPr>
          <w:p>
            <w:pPr>
              <w:spacing w:after="0"/>
              <w:rPr>
                <w:sz w:val="1"/>
                <w:szCs w:val="1"/>
                <w:color w:val="auto"/>
              </w:rPr>
            </w:pPr>
          </w:p>
        </w:tc>
      </w:tr>
      <w:tr>
        <w:trPr>
          <w:trHeight w:val="167"/>
        </w:trPr>
        <w:tc>
          <w:tcPr>
            <w:tcW w:w="3720" w:type="dxa"/>
            <w:vAlign w:val="bottom"/>
          </w:tcPr>
          <w:p>
            <w:pPr>
              <w:ind w:left="160"/>
              <w:spacing w:after="0"/>
              <w:rPr>
                <w:sz w:val="20"/>
                <w:szCs w:val="20"/>
                <w:color w:val="auto"/>
              </w:rPr>
            </w:pPr>
            <w:r>
              <w:rPr>
                <w:rFonts w:ascii="Arial" w:cs="Arial" w:eastAsia="Arial" w:hAnsi="Arial"/>
                <w:sz w:val="14"/>
                <w:szCs w:val="14"/>
                <w:color w:val="auto"/>
              </w:rPr>
              <w:t>(Convergint Technologies LLC)</w:t>
            </w:r>
          </w:p>
        </w:tc>
        <w:tc>
          <w:tcPr>
            <w:tcW w:w="13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7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HW Topco, Inc.</w:t>
            </w:r>
          </w:p>
        </w:tc>
        <w:tc>
          <w:tcPr>
            <w:tcW w:w="1340" w:type="dxa"/>
            <w:vAlign w:val="bottom"/>
            <w:shd w:val="clear" w:color="auto" w:fill="CCEEFF"/>
          </w:tcPr>
          <w:p>
            <w:pPr>
              <w:ind w:left="880"/>
              <w:spacing w:after="0" w:line="149" w:lineRule="exact"/>
              <w:rPr>
                <w:sz w:val="20"/>
                <w:szCs w:val="20"/>
                <w:color w:val="auto"/>
              </w:rPr>
            </w:pPr>
            <w:r>
              <w:rPr>
                <w:rFonts w:ascii="Arial" w:cs="Arial" w:eastAsia="Arial" w:hAnsi="Arial"/>
                <w:sz w:val="14"/>
                <w:szCs w:val="14"/>
                <w:color w:val="auto"/>
              </w:rPr>
              <w:t>—</w:t>
            </w:r>
          </w:p>
        </w:tc>
        <w:tc>
          <w:tcPr>
            <w:tcW w:w="148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6"/>
              </w:rPr>
              <w:t>Other Media</w:t>
            </w: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8.00%</w:t>
            </w:r>
          </w:p>
        </w:tc>
        <w:tc>
          <w:tcPr>
            <w:tcW w:w="220" w:type="dxa"/>
            <w:vAlign w:val="bottom"/>
            <w:shd w:val="clear" w:color="auto" w:fill="CCEEFF"/>
          </w:tcPr>
          <w:p>
            <w:pPr>
              <w:spacing w:after="0"/>
              <w:rPr>
                <w:sz w:val="12"/>
                <w:szCs w:val="12"/>
                <w:color w:val="auto"/>
              </w:rPr>
            </w:pPr>
          </w:p>
        </w:tc>
        <w:tc>
          <w:tcPr>
            <w:tcW w:w="840" w:type="dxa"/>
            <w:vAlign w:val="bottom"/>
            <w:shd w:val="clear" w:color="auto" w:fill="CCEEFF"/>
          </w:tcPr>
          <w:p>
            <w:pPr>
              <w:ind w:left="520"/>
              <w:spacing w:after="0" w:line="149" w:lineRule="exact"/>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rPr>
              <w:t>3,591</w:t>
            </w:r>
          </w:p>
        </w:tc>
        <w:tc>
          <w:tcPr>
            <w:tcW w:w="1020" w:type="dxa"/>
            <w:vAlign w:val="bottom"/>
            <w:gridSpan w:val="3"/>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24,177</w:t>
            </w:r>
          </w:p>
        </w:tc>
        <w:tc>
          <w:tcPr>
            <w:tcW w:w="9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36,795</w:t>
            </w:r>
          </w:p>
        </w:tc>
        <w:tc>
          <w:tcPr>
            <w:tcW w:w="0" w:type="dxa"/>
            <w:vAlign w:val="bottom"/>
          </w:tcPr>
          <w:p>
            <w:pPr>
              <w:spacing w:after="0"/>
              <w:rPr>
                <w:sz w:val="1"/>
                <w:szCs w:val="1"/>
                <w:color w:val="auto"/>
              </w:rPr>
            </w:pPr>
          </w:p>
        </w:tc>
      </w:tr>
      <w:tr>
        <w:trPr>
          <w:trHeight w:val="148"/>
        </w:trPr>
        <w:tc>
          <w:tcPr>
            <w:tcW w:w="3720" w:type="dxa"/>
            <w:vAlign w:val="bottom"/>
          </w:tcPr>
          <w:p>
            <w:pPr>
              <w:spacing w:after="0" w:line="149" w:lineRule="exact"/>
              <w:rPr>
                <w:sz w:val="20"/>
                <w:szCs w:val="20"/>
                <w:color w:val="auto"/>
              </w:rPr>
            </w:pPr>
            <w:r>
              <w:rPr>
                <w:rFonts w:ascii="Arial" w:cs="Arial" w:eastAsia="Arial" w:hAnsi="Arial"/>
                <w:sz w:val="14"/>
                <w:szCs w:val="14"/>
                <w:color w:val="auto"/>
              </w:rPr>
              <w:t>TZ Holdings, L.P., Series A</w:t>
            </w:r>
          </w:p>
        </w:tc>
        <w:tc>
          <w:tcPr>
            <w:tcW w:w="1340" w:type="dxa"/>
            <w:vAlign w:val="bottom"/>
          </w:tcPr>
          <w:p>
            <w:pPr>
              <w:ind w:left="880"/>
              <w:spacing w:after="0" w:line="149" w:lineRule="exact"/>
              <w:rPr>
                <w:sz w:val="20"/>
                <w:szCs w:val="20"/>
                <w:color w:val="auto"/>
              </w:rPr>
            </w:pPr>
            <w:r>
              <w:rPr>
                <w:rFonts w:ascii="Arial" w:cs="Arial" w:eastAsia="Arial" w:hAnsi="Arial"/>
                <w:sz w:val="14"/>
                <w:szCs w:val="14"/>
                <w:color w:val="auto"/>
              </w:rPr>
              <w:t>—</w:t>
            </w:r>
          </w:p>
        </w:tc>
        <w:tc>
          <w:tcPr>
            <w:tcW w:w="1480" w:type="dxa"/>
            <w:vAlign w:val="bottom"/>
          </w:tcPr>
          <w:p>
            <w:pPr>
              <w:jc w:val="center"/>
              <w:spacing w:after="0" w:line="149" w:lineRule="exact"/>
              <w:rPr>
                <w:sz w:val="20"/>
                <w:szCs w:val="20"/>
                <w:color w:val="auto"/>
              </w:rPr>
            </w:pPr>
            <w:r>
              <w:rPr>
                <w:rFonts w:ascii="Arial" w:cs="Arial" w:eastAsia="Arial" w:hAnsi="Arial"/>
                <w:sz w:val="14"/>
                <w:szCs w:val="14"/>
                <w:color w:val="auto"/>
                <w:w w:val="91"/>
              </w:rPr>
              <w:t>Insurance</w:t>
            </w:r>
          </w:p>
        </w:tc>
        <w:tc>
          <w:tcPr>
            <w:tcW w:w="820" w:type="dxa"/>
            <w:vAlign w:val="bottom"/>
          </w:tcPr>
          <w:p>
            <w:pPr>
              <w:jc w:val="right"/>
              <w:ind w:right="128"/>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840" w:type="dxa"/>
            <w:vAlign w:val="bottom"/>
          </w:tcPr>
          <w:p>
            <w:pPr>
              <w:ind w:left="520"/>
              <w:spacing w:after="0" w:line="149" w:lineRule="exact"/>
              <w:rPr>
                <w:sz w:val="20"/>
                <w:szCs w:val="20"/>
                <w:color w:val="auto"/>
              </w:rPr>
            </w:pPr>
            <w:r>
              <w:rPr>
                <w:rFonts w:ascii="Arial" w:cs="Arial" w:eastAsia="Arial" w:hAnsi="Arial"/>
                <w:sz w:val="14"/>
                <w:szCs w:val="14"/>
                <w:color w:val="auto"/>
              </w:rPr>
              <w:t>—</w:t>
            </w:r>
          </w:p>
        </w:tc>
        <w:tc>
          <w:tcPr>
            <w:tcW w:w="820" w:type="dxa"/>
            <w:vAlign w:val="bottom"/>
          </w:tcPr>
          <w:p>
            <w:pPr>
              <w:jc w:val="right"/>
              <w:ind w:right="8"/>
              <w:spacing w:after="0" w:line="149" w:lineRule="exact"/>
              <w:rPr>
                <w:sz w:val="20"/>
                <w:szCs w:val="20"/>
                <w:color w:val="auto"/>
              </w:rPr>
            </w:pPr>
            <w:r>
              <w:rPr>
                <w:rFonts w:ascii="Arial" w:cs="Arial" w:eastAsia="Arial" w:hAnsi="Arial"/>
                <w:sz w:val="14"/>
                <w:szCs w:val="14"/>
                <w:color w:val="auto"/>
              </w:rPr>
              <w:t>686</w:t>
            </w:r>
          </w:p>
        </w:tc>
        <w:tc>
          <w:tcPr>
            <w:tcW w:w="1020" w:type="dxa"/>
            <w:vAlign w:val="bottom"/>
            <w:gridSpan w:val="3"/>
          </w:tcPr>
          <w:p>
            <w:pPr>
              <w:jc w:val="right"/>
              <w:ind w:right="140"/>
              <w:spacing w:after="0" w:line="149" w:lineRule="exact"/>
              <w:rPr>
                <w:sz w:val="20"/>
                <w:szCs w:val="20"/>
                <w:color w:val="auto"/>
              </w:rPr>
            </w:pPr>
            <w:r>
              <w:rPr>
                <w:rFonts w:ascii="Arial" w:cs="Arial" w:eastAsia="Arial" w:hAnsi="Arial"/>
                <w:sz w:val="14"/>
                <w:szCs w:val="14"/>
                <w:color w:val="auto"/>
              </w:rPr>
              <w:t>685,820</w:t>
            </w:r>
          </w:p>
        </w:tc>
        <w:tc>
          <w:tcPr>
            <w:tcW w:w="98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685,820</w:t>
            </w:r>
          </w:p>
        </w:tc>
        <w:tc>
          <w:tcPr>
            <w:tcW w:w="0" w:type="dxa"/>
            <w:vAlign w:val="bottom"/>
          </w:tcPr>
          <w:p>
            <w:pPr>
              <w:spacing w:after="0"/>
              <w:rPr>
                <w:sz w:val="1"/>
                <w:szCs w:val="1"/>
                <w:color w:val="auto"/>
              </w:rPr>
            </w:pPr>
          </w:p>
        </w:tc>
      </w:tr>
      <w:tr>
        <w:trPr>
          <w:trHeight w:val="148"/>
        </w:trPr>
        <w:tc>
          <w:tcPr>
            <w:tcW w:w="37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TZ Holdings, L.P., Series B</w:t>
            </w:r>
          </w:p>
        </w:tc>
        <w:tc>
          <w:tcPr>
            <w:tcW w:w="1340" w:type="dxa"/>
            <w:vAlign w:val="bottom"/>
            <w:shd w:val="clear" w:color="auto" w:fill="CCEEFF"/>
          </w:tcPr>
          <w:p>
            <w:pPr>
              <w:ind w:left="880"/>
              <w:spacing w:after="0" w:line="149" w:lineRule="exact"/>
              <w:rPr>
                <w:sz w:val="20"/>
                <w:szCs w:val="20"/>
                <w:color w:val="auto"/>
              </w:rPr>
            </w:pPr>
            <w:r>
              <w:rPr>
                <w:rFonts w:ascii="Arial" w:cs="Arial" w:eastAsia="Arial" w:hAnsi="Arial"/>
                <w:sz w:val="14"/>
                <w:szCs w:val="14"/>
                <w:color w:val="auto"/>
              </w:rPr>
              <w:t>—</w:t>
            </w:r>
          </w:p>
        </w:tc>
        <w:tc>
          <w:tcPr>
            <w:tcW w:w="148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1"/>
              </w:rPr>
              <w:t>Insurance</w:t>
            </w: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6.50%</w:t>
            </w:r>
          </w:p>
        </w:tc>
        <w:tc>
          <w:tcPr>
            <w:tcW w:w="220" w:type="dxa"/>
            <w:vAlign w:val="bottom"/>
            <w:shd w:val="clear" w:color="auto" w:fill="CCEEFF"/>
          </w:tcPr>
          <w:p>
            <w:pPr>
              <w:spacing w:after="0"/>
              <w:rPr>
                <w:sz w:val="12"/>
                <w:szCs w:val="12"/>
                <w:color w:val="auto"/>
              </w:rPr>
            </w:pPr>
          </w:p>
        </w:tc>
        <w:tc>
          <w:tcPr>
            <w:tcW w:w="840" w:type="dxa"/>
            <w:vAlign w:val="bottom"/>
            <w:shd w:val="clear" w:color="auto" w:fill="CCEEFF"/>
          </w:tcPr>
          <w:p>
            <w:pPr>
              <w:ind w:left="520"/>
              <w:spacing w:after="0" w:line="149" w:lineRule="exact"/>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rPr>
              <w:t>1,312</w:t>
            </w:r>
          </w:p>
        </w:tc>
        <w:tc>
          <w:tcPr>
            <w:tcW w:w="1020" w:type="dxa"/>
            <w:vAlign w:val="bottom"/>
            <w:gridSpan w:val="3"/>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1,312,006</w:t>
            </w:r>
          </w:p>
        </w:tc>
        <w:tc>
          <w:tcPr>
            <w:tcW w:w="9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1,223,425</w:t>
            </w:r>
          </w:p>
        </w:tc>
        <w:tc>
          <w:tcPr>
            <w:tcW w:w="0" w:type="dxa"/>
            <w:vAlign w:val="bottom"/>
          </w:tcPr>
          <w:p>
            <w:pPr>
              <w:spacing w:after="0"/>
              <w:rPr>
                <w:sz w:val="1"/>
                <w:szCs w:val="1"/>
                <w:color w:val="auto"/>
              </w:rPr>
            </w:pPr>
          </w:p>
        </w:tc>
      </w:tr>
      <w:tr>
        <w:trPr>
          <w:trHeight w:val="155"/>
        </w:trPr>
        <w:tc>
          <w:tcPr>
            <w:tcW w:w="3720" w:type="dxa"/>
            <w:vAlign w:val="bottom"/>
          </w:tcPr>
          <w:p>
            <w:pPr>
              <w:spacing w:after="0" w:line="149" w:lineRule="exact"/>
              <w:rPr>
                <w:sz w:val="20"/>
                <w:szCs w:val="20"/>
                <w:color w:val="auto"/>
              </w:rPr>
            </w:pPr>
            <w:r>
              <w:rPr>
                <w:rFonts w:ascii="Arial" w:cs="Arial" w:eastAsia="Arial" w:hAnsi="Arial"/>
                <w:sz w:val="14"/>
                <w:szCs w:val="14"/>
                <w:color w:val="auto"/>
              </w:rPr>
              <w:t>VRide Holdings, Inc.</w:t>
            </w:r>
          </w:p>
        </w:tc>
        <w:tc>
          <w:tcPr>
            <w:tcW w:w="1340" w:type="dxa"/>
            <w:vAlign w:val="bottom"/>
          </w:tcPr>
          <w:p>
            <w:pPr>
              <w:ind w:left="880"/>
              <w:spacing w:after="0" w:line="149" w:lineRule="exact"/>
              <w:rPr>
                <w:sz w:val="20"/>
                <w:szCs w:val="20"/>
                <w:color w:val="auto"/>
              </w:rPr>
            </w:pPr>
            <w:r>
              <w:rPr>
                <w:rFonts w:ascii="Arial" w:cs="Arial" w:eastAsia="Arial" w:hAnsi="Arial"/>
                <w:sz w:val="14"/>
                <w:szCs w:val="14"/>
                <w:color w:val="auto"/>
              </w:rPr>
              <w:t>—</w:t>
            </w:r>
          </w:p>
        </w:tc>
        <w:tc>
          <w:tcPr>
            <w:tcW w:w="1480" w:type="dxa"/>
            <w:vAlign w:val="bottom"/>
          </w:tcPr>
          <w:p>
            <w:pPr>
              <w:jc w:val="center"/>
              <w:spacing w:after="0" w:line="149" w:lineRule="exact"/>
              <w:rPr>
                <w:sz w:val="20"/>
                <w:szCs w:val="20"/>
                <w:color w:val="auto"/>
              </w:rPr>
            </w:pPr>
            <w:r>
              <w:rPr>
                <w:rFonts w:ascii="Arial" w:cs="Arial" w:eastAsia="Arial" w:hAnsi="Arial"/>
                <w:sz w:val="14"/>
                <w:szCs w:val="14"/>
                <w:color w:val="auto"/>
                <w:w w:val="92"/>
              </w:rPr>
              <w:t>Personal Transportation</w:t>
            </w: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8.00%</w:t>
            </w:r>
          </w:p>
        </w:tc>
        <w:tc>
          <w:tcPr>
            <w:tcW w:w="220" w:type="dxa"/>
            <w:vAlign w:val="bottom"/>
          </w:tcPr>
          <w:p>
            <w:pPr>
              <w:spacing w:after="0"/>
              <w:rPr>
                <w:sz w:val="13"/>
                <w:szCs w:val="13"/>
                <w:color w:val="auto"/>
              </w:rPr>
            </w:pPr>
          </w:p>
        </w:tc>
        <w:tc>
          <w:tcPr>
            <w:tcW w:w="840" w:type="dxa"/>
            <w:vAlign w:val="bottom"/>
          </w:tcPr>
          <w:p>
            <w:pPr>
              <w:ind w:left="520"/>
              <w:spacing w:after="0" w:line="149" w:lineRule="exact"/>
              <w:rPr>
                <w:sz w:val="20"/>
                <w:szCs w:val="20"/>
                <w:color w:val="auto"/>
              </w:rPr>
            </w:pPr>
            <w:r>
              <w:rPr>
                <w:rFonts w:ascii="Arial" w:cs="Arial" w:eastAsia="Arial" w:hAnsi="Arial"/>
                <w:sz w:val="14"/>
                <w:szCs w:val="14"/>
                <w:color w:val="auto"/>
              </w:rPr>
              <w:t>—</w:t>
            </w:r>
          </w:p>
        </w:tc>
        <w:tc>
          <w:tcPr>
            <w:tcW w:w="820" w:type="dxa"/>
            <w:vAlign w:val="bottom"/>
          </w:tcPr>
          <w:p>
            <w:pPr>
              <w:jc w:val="right"/>
              <w:ind w:right="8"/>
              <w:spacing w:after="0" w:line="149" w:lineRule="exact"/>
              <w:rPr>
                <w:sz w:val="20"/>
                <w:szCs w:val="20"/>
                <w:color w:val="auto"/>
              </w:rPr>
            </w:pPr>
            <w:r>
              <w:rPr>
                <w:rFonts w:ascii="Arial" w:cs="Arial" w:eastAsia="Arial" w:hAnsi="Arial"/>
                <w:sz w:val="14"/>
                <w:szCs w:val="14"/>
                <w:color w:val="auto"/>
              </w:rPr>
              <w:t>1,824,167</w:t>
            </w:r>
          </w:p>
        </w:tc>
        <w:tc>
          <w:tcPr>
            <w:tcW w:w="60" w:type="dxa"/>
            <w:vAlign w:val="bottom"/>
          </w:tcPr>
          <w:p>
            <w:pPr>
              <w:spacing w:after="0"/>
              <w:rPr>
                <w:sz w:val="13"/>
                <w:szCs w:val="13"/>
                <w:color w:val="auto"/>
              </w:rPr>
            </w:pPr>
          </w:p>
        </w:tc>
        <w:tc>
          <w:tcPr>
            <w:tcW w:w="82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1,824,167</w:t>
            </w:r>
          </w:p>
        </w:tc>
        <w:tc>
          <w:tcPr>
            <w:tcW w:w="140" w:type="dxa"/>
            <w:vAlign w:val="bottom"/>
          </w:tcPr>
          <w:p>
            <w:pPr>
              <w:spacing w:after="0"/>
              <w:rPr>
                <w:sz w:val="13"/>
                <w:szCs w:val="13"/>
                <w:color w:val="auto"/>
              </w:rPr>
            </w:pPr>
          </w:p>
        </w:tc>
        <w:tc>
          <w:tcPr>
            <w:tcW w:w="84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121,104</w:t>
            </w: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372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Total Preferred Equity/Partnership Interests</w:t>
            </w:r>
          </w:p>
        </w:tc>
        <w:tc>
          <w:tcPr>
            <w:tcW w:w="1340" w:type="dxa"/>
            <w:vAlign w:val="bottom"/>
            <w:shd w:val="clear" w:color="auto" w:fill="CCEEFF"/>
          </w:tcPr>
          <w:p>
            <w:pPr>
              <w:spacing w:after="0"/>
              <w:rPr>
                <w:sz w:val="12"/>
                <w:szCs w:val="12"/>
                <w:color w:val="auto"/>
              </w:rPr>
            </w:pPr>
          </w:p>
        </w:tc>
        <w:tc>
          <w:tcPr>
            <w:tcW w:w="14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2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9,137,077</w:t>
            </w:r>
          </w:p>
        </w:tc>
        <w:tc>
          <w:tcPr>
            <w:tcW w:w="140" w:type="dxa"/>
            <w:vAlign w:val="bottom"/>
            <w:shd w:val="clear" w:color="auto" w:fill="CCEEFF"/>
          </w:tcPr>
          <w:p>
            <w:pPr>
              <w:spacing w:after="0"/>
              <w:rPr>
                <w:sz w:val="12"/>
                <w:szCs w:val="12"/>
                <w:color w:val="auto"/>
              </w:rPr>
            </w:pPr>
          </w:p>
        </w:tc>
        <w:tc>
          <w:tcPr>
            <w:tcW w:w="84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8,291,961</w:t>
            </w: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bl>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240"/>
          </w:cols>
          <w:pgMar w:left="320" w:top="459" w:right="3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PENNANTPARK INVESTMENT CORPORATION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SCHEDULE OF INVESTMENTS—(Continued)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2013</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5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w w:val="89"/>
              </w:rPr>
              <w:t>Basis Point</w:t>
            </w:r>
          </w:p>
        </w:tc>
        <w:tc>
          <w:tcPr>
            <w:tcW w:w="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45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640" w:type="dxa"/>
            <w:vAlign w:val="bottom"/>
            <w:vMerge w:val="restart"/>
          </w:tcPr>
          <w:p>
            <w:pPr>
              <w:ind w:left="60"/>
              <w:spacing w:after="0"/>
              <w:rPr>
                <w:sz w:val="20"/>
                <w:szCs w:val="20"/>
                <w:color w:val="auto"/>
              </w:rPr>
            </w:pPr>
            <w:r>
              <w:rPr>
                <w:rFonts w:ascii="Arial" w:cs="Arial" w:eastAsia="Arial" w:hAnsi="Arial"/>
                <w:sz w:val="14"/>
                <w:szCs w:val="14"/>
                <w:b w:val="1"/>
                <w:bCs w:val="1"/>
                <w:color w:val="auto"/>
              </w:rPr>
              <w:t>Current</w:t>
            </w:r>
          </w:p>
        </w:tc>
        <w:tc>
          <w:tcPr>
            <w:tcW w:w="9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Spread</w:t>
            </w:r>
          </w:p>
        </w:tc>
        <w:tc>
          <w:tcPr>
            <w:tcW w:w="860" w:type="dxa"/>
            <w:vAlign w:val="bottom"/>
            <w:vMerge w:val="restart"/>
          </w:tcPr>
          <w:p>
            <w:pPr>
              <w:jc w:val="right"/>
              <w:ind w:right="268"/>
              <w:spacing w:after="0"/>
              <w:rPr>
                <w:sz w:val="20"/>
                <w:szCs w:val="20"/>
                <w:color w:val="auto"/>
              </w:rPr>
            </w:pPr>
            <w:r>
              <w:rPr>
                <w:rFonts w:ascii="Arial" w:cs="Arial" w:eastAsia="Arial" w:hAnsi="Arial"/>
                <w:sz w:val="14"/>
                <w:szCs w:val="14"/>
                <w:b w:val="1"/>
                <w:bCs w:val="1"/>
                <w:color w:val="auto"/>
              </w:rPr>
              <w:t>Par /</w:t>
            </w: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560" w:type="dxa"/>
            <w:vAlign w:val="bottom"/>
            <w:vMerge w:val="restart"/>
          </w:tcPr>
          <w:p>
            <w:pPr>
              <w:spacing w:after="0"/>
              <w:rPr>
                <w:sz w:val="20"/>
                <w:szCs w:val="20"/>
                <w:color w:val="auto"/>
              </w:rPr>
            </w:pPr>
            <w:r>
              <w:rPr>
                <w:rFonts w:ascii="Arial" w:cs="Arial" w:eastAsia="Arial" w:hAnsi="Arial"/>
                <w:sz w:val="14"/>
                <w:szCs w:val="14"/>
                <w:b w:val="1"/>
                <w:bCs w:val="1"/>
                <w:color w:val="auto"/>
              </w:rPr>
              <w:t>Issuer Name</w:t>
            </w:r>
          </w:p>
        </w:tc>
        <w:tc>
          <w:tcPr>
            <w:tcW w:w="740" w:type="dxa"/>
            <w:vAlign w:val="bottom"/>
            <w:vMerge w:val="restart"/>
          </w:tcPr>
          <w:p>
            <w:pPr>
              <w:ind w:left="80"/>
              <w:spacing w:after="0"/>
              <w:rPr>
                <w:sz w:val="20"/>
                <w:szCs w:val="20"/>
                <w:color w:val="auto"/>
              </w:rPr>
            </w:pPr>
            <w:r>
              <w:rPr>
                <w:rFonts w:ascii="Arial" w:cs="Arial" w:eastAsia="Arial" w:hAnsi="Arial"/>
                <w:sz w:val="14"/>
                <w:szCs w:val="14"/>
                <w:b w:val="1"/>
                <w:bCs w:val="1"/>
                <w:color w:val="auto"/>
              </w:rPr>
              <w:t>Maturity</w:t>
            </w:r>
          </w:p>
        </w:tc>
        <w:tc>
          <w:tcPr>
            <w:tcW w:w="13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7"/>
              </w:rPr>
              <w:t>Industry</w:t>
            </w:r>
          </w:p>
        </w:tc>
        <w:tc>
          <w:tcPr>
            <w:tcW w:w="640" w:type="dxa"/>
            <w:vAlign w:val="bottom"/>
            <w:vMerge w:val="continue"/>
          </w:tcPr>
          <w:p>
            <w:pPr>
              <w:spacing w:after="0"/>
              <w:rPr>
                <w:sz w:val="12"/>
                <w:szCs w:val="12"/>
                <w:color w:val="auto"/>
              </w:rPr>
            </w:pPr>
          </w:p>
        </w:tc>
        <w:tc>
          <w:tcPr>
            <w:tcW w:w="9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Above</w:t>
            </w:r>
          </w:p>
        </w:tc>
        <w:tc>
          <w:tcPr>
            <w:tcW w:w="86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2"/>
            <w:vMerge w:val="restart"/>
          </w:tcPr>
          <w:p>
            <w:pPr>
              <w:ind w:left="240"/>
              <w:spacing w:after="0"/>
              <w:rPr>
                <w:sz w:val="20"/>
                <w:szCs w:val="20"/>
                <w:color w:val="auto"/>
              </w:rPr>
            </w:pPr>
            <w:r>
              <w:rPr>
                <w:rFonts w:ascii="Arial" w:cs="Arial" w:eastAsia="Arial" w:hAnsi="Arial"/>
                <w:sz w:val="14"/>
                <w:szCs w:val="14"/>
                <w:b w:val="1"/>
                <w:bCs w:val="1"/>
                <w:color w:val="auto"/>
              </w:rPr>
              <w:t>Cost</w:t>
            </w:r>
          </w:p>
        </w:tc>
        <w:tc>
          <w:tcPr>
            <w:tcW w:w="100" w:type="dxa"/>
            <w:vAlign w:val="bottom"/>
          </w:tcPr>
          <w:p>
            <w:pPr>
              <w:spacing w:after="0"/>
              <w:rPr>
                <w:sz w:val="12"/>
                <w:szCs w:val="12"/>
                <w:color w:val="auto"/>
              </w:rPr>
            </w:pPr>
          </w:p>
        </w:tc>
        <w:tc>
          <w:tcPr>
            <w:tcW w:w="106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 xml:space="preserve">Fair Value </w:t>
            </w:r>
            <w:r>
              <w:rPr>
                <w:rFonts w:ascii="Arial" w:cs="Arial" w:eastAsia="Arial" w:hAnsi="Arial"/>
                <w:sz w:val="12"/>
                <w:szCs w:val="12"/>
                <w:b w:val="1"/>
                <w:bCs w:val="1"/>
                <w:color w:val="auto"/>
              </w:rPr>
              <w:t>(3)</w:t>
            </w:r>
          </w:p>
        </w:tc>
        <w:tc>
          <w:tcPr>
            <w:tcW w:w="0" w:type="dxa"/>
            <w:vAlign w:val="bottom"/>
          </w:tcPr>
          <w:p>
            <w:pPr>
              <w:spacing w:after="0"/>
              <w:rPr>
                <w:sz w:val="1"/>
                <w:szCs w:val="1"/>
                <w:color w:val="auto"/>
              </w:rPr>
            </w:pPr>
          </w:p>
        </w:tc>
      </w:tr>
      <w:tr>
        <w:trPr>
          <w:trHeight w:val="171"/>
        </w:trPr>
        <w:tc>
          <w:tcPr>
            <w:tcW w:w="4560" w:type="dxa"/>
            <w:vAlign w:val="bottom"/>
            <w:vMerge w:val="continue"/>
          </w:tcPr>
          <w:p>
            <w:pPr>
              <w:spacing w:after="0"/>
              <w:rPr>
                <w:sz w:val="14"/>
                <w:szCs w:val="14"/>
                <w:color w:val="auto"/>
              </w:rPr>
            </w:pPr>
          </w:p>
        </w:tc>
        <w:tc>
          <w:tcPr>
            <w:tcW w:w="740" w:type="dxa"/>
            <w:vAlign w:val="bottom"/>
            <w:vMerge w:val="continue"/>
          </w:tcPr>
          <w:p>
            <w:pPr>
              <w:spacing w:after="0"/>
              <w:rPr>
                <w:sz w:val="14"/>
                <w:szCs w:val="14"/>
                <w:color w:val="auto"/>
              </w:rPr>
            </w:pPr>
          </w:p>
        </w:tc>
        <w:tc>
          <w:tcPr>
            <w:tcW w:w="1380" w:type="dxa"/>
            <w:vAlign w:val="bottom"/>
            <w:vMerge w:val="continue"/>
          </w:tcPr>
          <w:p>
            <w:pPr>
              <w:spacing w:after="0"/>
              <w:rPr>
                <w:sz w:val="14"/>
                <w:szCs w:val="14"/>
                <w:color w:val="auto"/>
              </w:rPr>
            </w:pPr>
          </w:p>
        </w:tc>
        <w:tc>
          <w:tcPr>
            <w:tcW w:w="640" w:type="dxa"/>
            <w:vAlign w:val="bottom"/>
          </w:tcPr>
          <w:p>
            <w:pPr>
              <w:ind w:left="60"/>
              <w:spacing w:after="0"/>
              <w:rPr>
                <w:sz w:val="20"/>
                <w:szCs w:val="20"/>
                <w:color w:val="auto"/>
              </w:rPr>
            </w:pPr>
            <w:r>
              <w:rPr>
                <w:rFonts w:ascii="Arial" w:cs="Arial" w:eastAsia="Arial" w:hAnsi="Arial"/>
                <w:sz w:val="14"/>
                <w:szCs w:val="14"/>
                <w:b w:val="1"/>
                <w:bCs w:val="1"/>
                <w:color w:val="auto"/>
              </w:rPr>
              <w:t>Coupon</w:t>
            </w: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w w:val="94"/>
              </w:rPr>
              <w:t xml:space="preserve">Index </w:t>
            </w:r>
            <w:r>
              <w:rPr>
                <w:rFonts w:ascii="Arial" w:cs="Arial" w:eastAsia="Arial" w:hAnsi="Arial"/>
                <w:sz w:val="12"/>
                <w:szCs w:val="12"/>
                <w:b w:val="1"/>
                <w:bCs w:val="1"/>
                <w:color w:val="auto"/>
                <w:w w:val="94"/>
              </w:rPr>
              <w:t>(4)</w:t>
            </w:r>
          </w:p>
        </w:tc>
        <w:tc>
          <w:tcPr>
            <w:tcW w:w="860" w:type="dxa"/>
            <w:vAlign w:val="bottom"/>
          </w:tcPr>
          <w:p>
            <w:pPr>
              <w:jc w:val="right"/>
              <w:ind w:right="208"/>
              <w:spacing w:after="0"/>
              <w:rPr>
                <w:sz w:val="20"/>
                <w:szCs w:val="20"/>
                <w:color w:val="auto"/>
              </w:rPr>
            </w:pPr>
            <w:r>
              <w:rPr>
                <w:rFonts w:ascii="Arial" w:cs="Arial" w:eastAsia="Arial" w:hAnsi="Arial"/>
                <w:sz w:val="14"/>
                <w:szCs w:val="14"/>
                <w:b w:val="1"/>
                <w:bCs w:val="1"/>
                <w:color w:val="auto"/>
              </w:rPr>
              <w:t>Shares</w:t>
            </w:r>
          </w:p>
        </w:tc>
        <w:tc>
          <w:tcPr>
            <w:tcW w:w="80" w:type="dxa"/>
            <w:vAlign w:val="bottom"/>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56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Common Equity/Warrants/Partnership Interests—10.9%</w:t>
            </w:r>
            <w:r>
              <w:rPr>
                <w:rFonts w:ascii="Arial" w:cs="Arial" w:eastAsia="Arial" w:hAnsi="Arial"/>
                <w:sz w:val="12"/>
                <w:szCs w:val="12"/>
                <w:b w:val="1"/>
                <w:bCs w:val="1"/>
                <w:color w:val="auto"/>
              </w:rPr>
              <w:t>(6)</w:t>
            </w:r>
          </w:p>
        </w:tc>
        <w:tc>
          <w:tcPr>
            <w:tcW w:w="740" w:type="dxa"/>
            <w:vAlign w:val="bottom"/>
            <w:tcBorders>
              <w:top w:val="single" w:sz="8" w:color="auto"/>
            </w:tcBorders>
            <w:shd w:val="clear" w:color="auto" w:fill="CCEEFF"/>
          </w:tcPr>
          <w:p>
            <w:pPr>
              <w:spacing w:after="0"/>
              <w:rPr>
                <w:sz w:val="12"/>
                <w:szCs w:val="12"/>
                <w:color w:val="auto"/>
              </w:rPr>
            </w:pPr>
          </w:p>
        </w:tc>
        <w:tc>
          <w:tcPr>
            <w:tcW w:w="1380" w:type="dxa"/>
            <w:vAlign w:val="bottom"/>
            <w:tcBorders>
              <w:top w:val="single" w:sz="8" w:color="auto"/>
            </w:tcBorders>
            <w:shd w:val="clear" w:color="auto" w:fill="CCEEFF"/>
          </w:tcPr>
          <w:p>
            <w:pPr>
              <w:spacing w:after="0"/>
              <w:rPr>
                <w:sz w:val="12"/>
                <w:szCs w:val="12"/>
                <w:color w:val="auto"/>
              </w:rPr>
            </w:pPr>
          </w:p>
        </w:tc>
        <w:tc>
          <w:tcPr>
            <w:tcW w:w="640" w:type="dxa"/>
            <w:vAlign w:val="bottom"/>
            <w:tcBorders>
              <w:top w:val="single" w:sz="8" w:color="auto"/>
            </w:tcBorders>
            <w:shd w:val="clear" w:color="auto" w:fill="CCEEFF"/>
          </w:tcPr>
          <w:p>
            <w:pPr>
              <w:spacing w:after="0"/>
              <w:rPr>
                <w:sz w:val="12"/>
                <w:szCs w:val="12"/>
                <w:color w:val="auto"/>
              </w:rPr>
            </w:pPr>
          </w:p>
        </w:tc>
        <w:tc>
          <w:tcPr>
            <w:tcW w:w="900" w:type="dxa"/>
            <w:vAlign w:val="bottom"/>
            <w:tcBorders>
              <w:top w:val="single" w:sz="8" w:color="auto"/>
            </w:tcBorders>
            <w:shd w:val="clear" w:color="auto" w:fill="CCEEFF"/>
          </w:tcPr>
          <w:p>
            <w:pPr>
              <w:spacing w:after="0"/>
              <w:rPr>
                <w:sz w:val="12"/>
                <w:szCs w:val="12"/>
                <w:color w:val="auto"/>
              </w:rPr>
            </w:pPr>
          </w:p>
        </w:tc>
        <w:tc>
          <w:tcPr>
            <w:tcW w:w="86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84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840" w:type="dxa"/>
            <w:vAlign w:val="bottom"/>
            <w:tcBorders>
              <w:top w:val="single" w:sz="8" w:color="auto"/>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560" w:type="dxa"/>
            <w:vAlign w:val="bottom"/>
          </w:tcPr>
          <w:p>
            <w:pPr>
              <w:spacing w:after="0" w:line="149" w:lineRule="exact"/>
              <w:rPr>
                <w:sz w:val="20"/>
                <w:szCs w:val="20"/>
                <w:color w:val="auto"/>
              </w:rPr>
            </w:pPr>
            <w:r>
              <w:rPr>
                <w:rFonts w:ascii="Arial" w:cs="Arial" w:eastAsia="Arial" w:hAnsi="Arial"/>
                <w:sz w:val="14"/>
                <w:szCs w:val="14"/>
                <w:color w:val="auto"/>
              </w:rPr>
              <w:t xml:space="preserve">Acentia, LLC, Class A Units </w:t>
            </w:r>
            <w:r>
              <w:rPr>
                <w:rFonts w:ascii="Arial" w:cs="Arial" w:eastAsia="Arial" w:hAnsi="Arial"/>
                <w:sz w:val="12"/>
                <w:szCs w:val="12"/>
                <w:color w:val="auto"/>
              </w:rPr>
              <w:t>(12)</w:t>
            </w:r>
          </w:p>
        </w:tc>
        <w:tc>
          <w:tcPr>
            <w:tcW w:w="740" w:type="dxa"/>
            <w:vAlign w:val="bottom"/>
          </w:tcPr>
          <w:p>
            <w:pPr>
              <w:ind w:left="260"/>
              <w:spacing w:after="0" w:line="149" w:lineRule="exact"/>
              <w:rPr>
                <w:sz w:val="20"/>
                <w:szCs w:val="20"/>
                <w:color w:val="auto"/>
              </w:rPr>
            </w:pPr>
            <w:r>
              <w:rPr>
                <w:rFonts w:ascii="Arial" w:cs="Arial" w:eastAsia="Arial" w:hAnsi="Arial"/>
                <w:sz w:val="14"/>
                <w:szCs w:val="14"/>
                <w:color w:val="auto"/>
              </w:rPr>
              <w:t>—</w:t>
            </w:r>
          </w:p>
        </w:tc>
        <w:tc>
          <w:tcPr>
            <w:tcW w:w="1380" w:type="dxa"/>
            <w:vAlign w:val="bottom"/>
          </w:tcPr>
          <w:p>
            <w:pPr>
              <w:jc w:val="center"/>
              <w:spacing w:after="0" w:line="149" w:lineRule="exact"/>
              <w:rPr>
                <w:sz w:val="20"/>
                <w:szCs w:val="20"/>
                <w:color w:val="auto"/>
              </w:rPr>
            </w:pPr>
            <w:r>
              <w:rPr>
                <w:rFonts w:ascii="Arial" w:cs="Arial" w:eastAsia="Arial" w:hAnsi="Arial"/>
                <w:sz w:val="14"/>
                <w:szCs w:val="14"/>
                <w:color w:val="auto"/>
                <w:w w:val="93"/>
              </w:rPr>
              <w:t>Electronics</w:t>
            </w:r>
          </w:p>
        </w:tc>
        <w:tc>
          <w:tcPr>
            <w:tcW w:w="640" w:type="dxa"/>
            <w:vAlign w:val="bottom"/>
          </w:tcPr>
          <w:p>
            <w:pPr>
              <w:ind w:left="340"/>
              <w:spacing w:after="0" w:line="149" w:lineRule="exact"/>
              <w:rPr>
                <w:sz w:val="20"/>
                <w:szCs w:val="20"/>
                <w:color w:val="auto"/>
              </w:rPr>
            </w:pPr>
            <w:r>
              <w:rPr>
                <w:rFonts w:ascii="Arial" w:cs="Arial" w:eastAsia="Arial" w:hAnsi="Arial"/>
                <w:sz w:val="14"/>
                <w:szCs w:val="14"/>
                <w:color w:val="auto"/>
              </w:rPr>
              <w:t>—</w:t>
            </w:r>
          </w:p>
        </w:tc>
        <w:tc>
          <w:tcPr>
            <w:tcW w:w="900" w:type="dxa"/>
            <w:vAlign w:val="bottom"/>
          </w:tcPr>
          <w:p>
            <w:pPr>
              <w:ind w:left="580"/>
              <w:spacing w:after="0" w:line="149" w:lineRule="exact"/>
              <w:rPr>
                <w:sz w:val="20"/>
                <w:szCs w:val="20"/>
                <w:color w:val="auto"/>
              </w:rPr>
            </w:pPr>
            <w:r>
              <w:rPr>
                <w:rFonts w:ascii="Arial" w:cs="Arial" w:eastAsia="Arial" w:hAnsi="Arial"/>
                <w:sz w:val="14"/>
                <w:szCs w:val="14"/>
                <w:color w:val="auto"/>
              </w:rPr>
              <w:t>—</w:t>
            </w:r>
          </w:p>
        </w:tc>
        <w:tc>
          <w:tcPr>
            <w:tcW w:w="860" w:type="dxa"/>
            <w:vAlign w:val="bottom"/>
          </w:tcPr>
          <w:p>
            <w:pPr>
              <w:jc w:val="right"/>
              <w:ind w:right="108"/>
              <w:spacing w:after="0" w:line="149" w:lineRule="exact"/>
              <w:rPr>
                <w:sz w:val="20"/>
                <w:szCs w:val="20"/>
                <w:color w:val="auto"/>
              </w:rPr>
            </w:pPr>
            <w:r>
              <w:rPr>
                <w:rFonts w:ascii="Arial" w:cs="Arial" w:eastAsia="Arial" w:hAnsi="Arial"/>
                <w:sz w:val="14"/>
                <w:szCs w:val="14"/>
                <w:color w:val="auto"/>
              </w:rPr>
              <w:t>1,998</w:t>
            </w:r>
          </w:p>
        </w:tc>
        <w:tc>
          <w:tcPr>
            <w:tcW w:w="8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9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2,000,000</w:t>
            </w:r>
          </w:p>
        </w:tc>
        <w:tc>
          <w:tcPr>
            <w:tcW w:w="1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98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1,300,534</w:t>
            </w:r>
          </w:p>
        </w:tc>
        <w:tc>
          <w:tcPr>
            <w:tcW w:w="0" w:type="dxa"/>
            <w:vAlign w:val="bottom"/>
          </w:tcPr>
          <w:p>
            <w:pPr>
              <w:spacing w:after="0"/>
              <w:rPr>
                <w:sz w:val="1"/>
                <w:szCs w:val="1"/>
                <w:color w:val="auto"/>
              </w:rPr>
            </w:pPr>
          </w:p>
        </w:tc>
      </w:tr>
      <w:tr>
        <w:trPr>
          <w:trHeight w:val="149"/>
        </w:trPr>
        <w:tc>
          <w:tcPr>
            <w:tcW w:w="45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Affinion Group Holdings, Inc., Series A (Warrants)</w:t>
            </w:r>
          </w:p>
        </w:tc>
        <w:tc>
          <w:tcPr>
            <w:tcW w:w="740" w:type="dxa"/>
            <w:vAlign w:val="bottom"/>
            <w:shd w:val="clear" w:color="auto" w:fill="CCEEFF"/>
          </w:tcPr>
          <w:p>
            <w:pPr>
              <w:ind w:left="40"/>
              <w:spacing w:after="0" w:line="149" w:lineRule="exact"/>
              <w:rPr>
                <w:sz w:val="20"/>
                <w:szCs w:val="20"/>
                <w:color w:val="auto"/>
              </w:rPr>
            </w:pPr>
            <w:r>
              <w:rPr>
                <w:rFonts w:ascii="Arial" w:cs="Arial" w:eastAsia="Arial" w:hAnsi="Arial"/>
                <w:sz w:val="14"/>
                <w:szCs w:val="14"/>
                <w:color w:val="auto"/>
                <w:w w:val="96"/>
              </w:rPr>
              <w:t>12/12/2023</w:t>
            </w:r>
          </w:p>
        </w:tc>
        <w:tc>
          <w:tcPr>
            <w:tcW w:w="138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2"/>
              </w:rPr>
              <w:t>Consumer Products</w:t>
            </w:r>
          </w:p>
        </w:tc>
        <w:tc>
          <w:tcPr>
            <w:tcW w:w="640" w:type="dxa"/>
            <w:vAlign w:val="bottom"/>
            <w:shd w:val="clear" w:color="auto" w:fill="CCEEFF"/>
          </w:tcPr>
          <w:p>
            <w:pPr>
              <w:ind w:left="340"/>
              <w:spacing w:after="0" w:line="149" w:lineRule="exact"/>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ind w:left="580"/>
              <w:spacing w:after="0" w:line="149" w:lineRule="exact"/>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ind w:right="108"/>
              <w:spacing w:after="0" w:line="149" w:lineRule="exact"/>
              <w:rPr>
                <w:sz w:val="20"/>
                <w:szCs w:val="20"/>
                <w:color w:val="auto"/>
              </w:rPr>
            </w:pPr>
            <w:r>
              <w:rPr>
                <w:rFonts w:ascii="Arial" w:cs="Arial" w:eastAsia="Arial" w:hAnsi="Arial"/>
                <w:sz w:val="14"/>
                <w:szCs w:val="14"/>
                <w:color w:val="auto"/>
              </w:rPr>
              <w:t>1,888,055</w:t>
            </w:r>
          </w:p>
        </w:tc>
        <w:tc>
          <w:tcPr>
            <w:tcW w:w="8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2,380,193</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2,380,193</w:t>
            </w:r>
          </w:p>
        </w:tc>
        <w:tc>
          <w:tcPr>
            <w:tcW w:w="0" w:type="dxa"/>
            <w:vAlign w:val="bottom"/>
          </w:tcPr>
          <w:p>
            <w:pPr>
              <w:spacing w:after="0"/>
              <w:rPr>
                <w:sz w:val="1"/>
                <w:szCs w:val="1"/>
                <w:color w:val="auto"/>
              </w:rPr>
            </w:pPr>
          </w:p>
        </w:tc>
      </w:tr>
      <w:tr>
        <w:trPr>
          <w:trHeight w:val="148"/>
        </w:trPr>
        <w:tc>
          <w:tcPr>
            <w:tcW w:w="4560" w:type="dxa"/>
            <w:vAlign w:val="bottom"/>
          </w:tcPr>
          <w:p>
            <w:pPr>
              <w:spacing w:after="0" w:line="149" w:lineRule="exact"/>
              <w:rPr>
                <w:sz w:val="20"/>
                <w:szCs w:val="20"/>
                <w:color w:val="auto"/>
              </w:rPr>
            </w:pPr>
            <w:r>
              <w:rPr>
                <w:rFonts w:ascii="Arial" w:cs="Arial" w:eastAsia="Arial" w:hAnsi="Arial"/>
                <w:sz w:val="14"/>
                <w:szCs w:val="14"/>
                <w:color w:val="auto"/>
              </w:rPr>
              <w:t>Affinion Group Holdings, Inc., Series B (Warrants)</w:t>
            </w:r>
          </w:p>
        </w:tc>
        <w:tc>
          <w:tcPr>
            <w:tcW w:w="740" w:type="dxa"/>
            <w:vAlign w:val="bottom"/>
          </w:tcPr>
          <w:p>
            <w:pPr>
              <w:ind w:left="40"/>
              <w:spacing w:after="0" w:line="149" w:lineRule="exact"/>
              <w:rPr>
                <w:sz w:val="20"/>
                <w:szCs w:val="20"/>
                <w:color w:val="auto"/>
              </w:rPr>
            </w:pPr>
            <w:r>
              <w:rPr>
                <w:rFonts w:ascii="Arial" w:cs="Arial" w:eastAsia="Arial" w:hAnsi="Arial"/>
                <w:sz w:val="14"/>
                <w:szCs w:val="14"/>
                <w:color w:val="auto"/>
                <w:w w:val="96"/>
              </w:rPr>
              <w:t>12/12/2023</w:t>
            </w:r>
          </w:p>
        </w:tc>
        <w:tc>
          <w:tcPr>
            <w:tcW w:w="1380" w:type="dxa"/>
            <w:vAlign w:val="bottom"/>
          </w:tcPr>
          <w:p>
            <w:pPr>
              <w:jc w:val="center"/>
              <w:spacing w:after="0" w:line="149" w:lineRule="exact"/>
              <w:rPr>
                <w:sz w:val="20"/>
                <w:szCs w:val="20"/>
                <w:color w:val="auto"/>
              </w:rPr>
            </w:pPr>
            <w:r>
              <w:rPr>
                <w:rFonts w:ascii="Arial" w:cs="Arial" w:eastAsia="Arial" w:hAnsi="Arial"/>
                <w:sz w:val="14"/>
                <w:szCs w:val="14"/>
                <w:color w:val="auto"/>
                <w:w w:val="92"/>
              </w:rPr>
              <w:t>Consumer Products</w:t>
            </w:r>
          </w:p>
        </w:tc>
        <w:tc>
          <w:tcPr>
            <w:tcW w:w="640" w:type="dxa"/>
            <w:vAlign w:val="bottom"/>
          </w:tcPr>
          <w:p>
            <w:pPr>
              <w:ind w:left="340"/>
              <w:spacing w:after="0" w:line="149" w:lineRule="exact"/>
              <w:rPr>
                <w:sz w:val="20"/>
                <w:szCs w:val="20"/>
                <w:color w:val="auto"/>
              </w:rPr>
            </w:pPr>
            <w:r>
              <w:rPr>
                <w:rFonts w:ascii="Arial" w:cs="Arial" w:eastAsia="Arial" w:hAnsi="Arial"/>
                <w:sz w:val="14"/>
                <w:szCs w:val="14"/>
                <w:color w:val="auto"/>
              </w:rPr>
              <w:t>—</w:t>
            </w:r>
          </w:p>
        </w:tc>
        <w:tc>
          <w:tcPr>
            <w:tcW w:w="900" w:type="dxa"/>
            <w:vAlign w:val="bottom"/>
          </w:tcPr>
          <w:p>
            <w:pPr>
              <w:ind w:left="580"/>
              <w:spacing w:after="0" w:line="149" w:lineRule="exact"/>
              <w:rPr>
                <w:sz w:val="20"/>
                <w:szCs w:val="20"/>
                <w:color w:val="auto"/>
              </w:rPr>
            </w:pPr>
            <w:r>
              <w:rPr>
                <w:rFonts w:ascii="Arial" w:cs="Arial" w:eastAsia="Arial" w:hAnsi="Arial"/>
                <w:sz w:val="14"/>
                <w:szCs w:val="14"/>
                <w:color w:val="auto"/>
              </w:rPr>
              <w:t>—</w:t>
            </w:r>
          </w:p>
        </w:tc>
        <w:tc>
          <w:tcPr>
            <w:tcW w:w="860" w:type="dxa"/>
            <w:vAlign w:val="bottom"/>
          </w:tcPr>
          <w:p>
            <w:pPr>
              <w:jc w:val="right"/>
              <w:ind w:right="108"/>
              <w:spacing w:after="0" w:line="149" w:lineRule="exact"/>
              <w:rPr>
                <w:sz w:val="20"/>
                <w:szCs w:val="20"/>
                <w:color w:val="auto"/>
              </w:rPr>
            </w:pPr>
            <w:r>
              <w:rPr>
                <w:rFonts w:ascii="Arial" w:cs="Arial" w:eastAsia="Arial" w:hAnsi="Arial"/>
                <w:sz w:val="14"/>
                <w:szCs w:val="14"/>
                <w:color w:val="auto"/>
              </w:rPr>
              <w:t>9,822,196</w:t>
            </w:r>
          </w:p>
        </w:tc>
        <w:tc>
          <w:tcPr>
            <w:tcW w:w="80" w:type="dxa"/>
            <w:vAlign w:val="bottom"/>
          </w:tcPr>
          <w:p>
            <w:pPr>
              <w:spacing w:after="0"/>
              <w:rPr>
                <w:sz w:val="12"/>
                <w:szCs w:val="12"/>
                <w:color w:val="auto"/>
              </w:rPr>
            </w:pPr>
          </w:p>
        </w:tc>
        <w:tc>
          <w:tcPr>
            <w:tcW w:w="920" w:type="dxa"/>
            <w:vAlign w:val="bottom"/>
            <w:gridSpan w:val="2"/>
          </w:tcPr>
          <w:p>
            <w:pPr>
              <w:ind w:left="62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gridSpan w:val="2"/>
          </w:tcPr>
          <w:p>
            <w:pPr>
              <w:ind w:left="62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0"/>
        </w:trPr>
        <w:tc>
          <w:tcPr>
            <w:tcW w:w="456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AH Holdings, Inc. (Warrants)</w:t>
            </w:r>
          </w:p>
        </w:tc>
        <w:tc>
          <w:tcPr>
            <w:tcW w:w="740" w:type="dxa"/>
            <w:vAlign w:val="bottom"/>
            <w:shd w:val="clear" w:color="auto" w:fill="CCEEFF"/>
          </w:tcPr>
          <w:p>
            <w:pPr>
              <w:ind w:left="40"/>
              <w:spacing w:after="0" w:line="130" w:lineRule="exact"/>
              <w:rPr>
                <w:sz w:val="20"/>
                <w:szCs w:val="20"/>
                <w:color w:val="auto"/>
              </w:rPr>
            </w:pPr>
            <w:r>
              <w:rPr>
                <w:rFonts w:ascii="Arial" w:cs="Arial" w:eastAsia="Arial" w:hAnsi="Arial"/>
                <w:sz w:val="14"/>
                <w:szCs w:val="14"/>
                <w:color w:val="auto"/>
                <w:w w:val="96"/>
              </w:rPr>
              <w:t>03/23/2021</w:t>
            </w:r>
          </w:p>
        </w:tc>
        <w:tc>
          <w:tcPr>
            <w:tcW w:w="1380" w:type="dxa"/>
            <w:vAlign w:val="bottom"/>
            <w:shd w:val="clear" w:color="auto" w:fill="CCEEFF"/>
          </w:tcPr>
          <w:p>
            <w:pPr>
              <w:jc w:val="center"/>
              <w:spacing w:after="0" w:line="130" w:lineRule="exact"/>
              <w:rPr>
                <w:sz w:val="20"/>
                <w:szCs w:val="20"/>
                <w:color w:val="auto"/>
              </w:rPr>
            </w:pPr>
            <w:r>
              <w:rPr>
                <w:rFonts w:ascii="Arial" w:cs="Arial" w:eastAsia="Arial" w:hAnsi="Arial"/>
                <w:sz w:val="14"/>
                <w:szCs w:val="14"/>
                <w:color w:val="auto"/>
                <w:w w:val="92"/>
              </w:rPr>
              <w:t>Healthcare, Education</w:t>
            </w:r>
          </w:p>
        </w:tc>
        <w:tc>
          <w:tcPr>
            <w:tcW w:w="640" w:type="dxa"/>
            <w:vAlign w:val="bottom"/>
            <w:shd w:val="clear" w:color="auto" w:fill="CCEEFF"/>
          </w:tcPr>
          <w:p>
            <w:pPr>
              <w:ind w:left="340"/>
              <w:spacing w:after="0" w:line="130" w:lineRule="exact"/>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ind w:left="580"/>
              <w:spacing w:after="0" w:line="130" w:lineRule="exact"/>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ind w:right="108"/>
              <w:spacing w:after="0" w:line="130" w:lineRule="exact"/>
              <w:rPr>
                <w:sz w:val="20"/>
                <w:szCs w:val="20"/>
                <w:color w:val="auto"/>
              </w:rPr>
            </w:pPr>
            <w:r>
              <w:rPr>
                <w:rFonts w:ascii="Arial" w:cs="Arial" w:eastAsia="Arial" w:hAnsi="Arial"/>
                <w:sz w:val="14"/>
                <w:szCs w:val="14"/>
                <w:color w:val="auto"/>
              </w:rPr>
              <w:t>753</w:t>
            </w:r>
          </w:p>
        </w:tc>
        <w:tc>
          <w:tcPr>
            <w:tcW w:w="80" w:type="dxa"/>
            <w:vAlign w:val="bottom"/>
            <w:shd w:val="clear" w:color="auto" w:fill="CCEEFF"/>
          </w:tcPr>
          <w:p>
            <w:pPr>
              <w:spacing w:after="0"/>
              <w:rPr>
                <w:sz w:val="11"/>
                <w:szCs w:val="11"/>
                <w:color w:val="auto"/>
              </w:rPr>
            </w:pPr>
          </w:p>
        </w:tc>
        <w:tc>
          <w:tcPr>
            <w:tcW w:w="920" w:type="dxa"/>
            <w:vAlign w:val="bottom"/>
            <w:gridSpan w:val="2"/>
            <w:shd w:val="clear" w:color="auto" w:fill="CCEEFF"/>
          </w:tcPr>
          <w:p>
            <w:pPr>
              <w:ind w:left="620"/>
              <w:spacing w:after="0" w:line="130"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80" w:type="dxa"/>
            <w:vAlign w:val="bottom"/>
            <w:gridSpan w:val="2"/>
            <w:shd w:val="clear" w:color="auto" w:fill="CCEEFF"/>
          </w:tcPr>
          <w:p>
            <w:pPr>
              <w:jc w:val="right"/>
              <w:ind w:right="140"/>
              <w:spacing w:after="0" w:line="130" w:lineRule="exact"/>
              <w:rPr>
                <w:sz w:val="20"/>
                <w:szCs w:val="20"/>
                <w:color w:val="auto"/>
              </w:rPr>
            </w:pPr>
            <w:r>
              <w:rPr>
                <w:rFonts w:ascii="Arial" w:cs="Arial" w:eastAsia="Arial" w:hAnsi="Arial"/>
                <w:sz w:val="14"/>
                <w:szCs w:val="14"/>
                <w:color w:val="auto"/>
              </w:rPr>
              <w:t>2,510,880</w:t>
            </w:r>
          </w:p>
        </w:tc>
        <w:tc>
          <w:tcPr>
            <w:tcW w:w="0" w:type="dxa"/>
            <w:vAlign w:val="bottom"/>
          </w:tcPr>
          <w:p>
            <w:pPr>
              <w:spacing w:after="0"/>
              <w:rPr>
                <w:sz w:val="1"/>
                <w:szCs w:val="1"/>
                <w:color w:val="auto"/>
              </w:rPr>
            </w:pPr>
          </w:p>
        </w:tc>
      </w:tr>
      <w:tr>
        <w:trPr>
          <w:trHeight w:val="167"/>
        </w:trPr>
        <w:tc>
          <w:tcPr>
            <w:tcW w:w="456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3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2"/>
              </w:rPr>
              <w:t>and Childcare</w:t>
            </w:r>
          </w:p>
        </w:tc>
        <w:tc>
          <w:tcPr>
            <w:tcW w:w="64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4560" w:type="dxa"/>
            <w:vAlign w:val="bottom"/>
          </w:tcPr>
          <w:p>
            <w:pPr>
              <w:spacing w:after="0" w:line="130" w:lineRule="exact"/>
              <w:rPr>
                <w:sz w:val="20"/>
                <w:szCs w:val="20"/>
                <w:color w:val="auto"/>
              </w:rPr>
            </w:pPr>
            <w:r>
              <w:rPr>
                <w:rFonts w:ascii="Arial" w:cs="Arial" w:eastAsia="Arial" w:hAnsi="Arial"/>
                <w:sz w:val="14"/>
                <w:szCs w:val="14"/>
                <w:color w:val="auto"/>
              </w:rPr>
              <w:t>Alegeus Technologies Holding Corp., Class A</w:t>
            </w:r>
          </w:p>
        </w:tc>
        <w:tc>
          <w:tcPr>
            <w:tcW w:w="740" w:type="dxa"/>
            <w:vAlign w:val="bottom"/>
          </w:tcPr>
          <w:p>
            <w:pPr>
              <w:ind w:left="260"/>
              <w:spacing w:after="0" w:line="130" w:lineRule="exact"/>
              <w:rPr>
                <w:sz w:val="20"/>
                <w:szCs w:val="20"/>
                <w:color w:val="auto"/>
              </w:rPr>
            </w:pPr>
            <w:r>
              <w:rPr>
                <w:rFonts w:ascii="Arial" w:cs="Arial" w:eastAsia="Arial" w:hAnsi="Arial"/>
                <w:sz w:val="14"/>
                <w:szCs w:val="14"/>
                <w:color w:val="auto"/>
              </w:rPr>
              <w:t>—</w:t>
            </w:r>
          </w:p>
        </w:tc>
        <w:tc>
          <w:tcPr>
            <w:tcW w:w="1380" w:type="dxa"/>
            <w:vAlign w:val="bottom"/>
          </w:tcPr>
          <w:p>
            <w:pPr>
              <w:jc w:val="center"/>
              <w:spacing w:after="0" w:line="130" w:lineRule="exact"/>
              <w:rPr>
                <w:sz w:val="20"/>
                <w:szCs w:val="20"/>
                <w:color w:val="auto"/>
              </w:rPr>
            </w:pPr>
            <w:r>
              <w:rPr>
                <w:rFonts w:ascii="Arial" w:cs="Arial" w:eastAsia="Arial" w:hAnsi="Arial"/>
                <w:sz w:val="14"/>
                <w:szCs w:val="14"/>
                <w:color w:val="auto"/>
                <w:w w:val="93"/>
              </w:rPr>
              <w:t>Financial Services</w:t>
            </w:r>
          </w:p>
        </w:tc>
        <w:tc>
          <w:tcPr>
            <w:tcW w:w="640" w:type="dxa"/>
            <w:vAlign w:val="bottom"/>
          </w:tcPr>
          <w:p>
            <w:pPr>
              <w:ind w:left="340"/>
              <w:spacing w:after="0" w:line="130" w:lineRule="exact"/>
              <w:rPr>
                <w:sz w:val="20"/>
                <w:szCs w:val="20"/>
                <w:color w:val="auto"/>
              </w:rPr>
            </w:pPr>
            <w:r>
              <w:rPr>
                <w:rFonts w:ascii="Arial" w:cs="Arial" w:eastAsia="Arial" w:hAnsi="Arial"/>
                <w:sz w:val="14"/>
                <w:szCs w:val="14"/>
                <w:color w:val="auto"/>
              </w:rPr>
              <w:t>—</w:t>
            </w:r>
          </w:p>
        </w:tc>
        <w:tc>
          <w:tcPr>
            <w:tcW w:w="900" w:type="dxa"/>
            <w:vAlign w:val="bottom"/>
          </w:tcPr>
          <w:p>
            <w:pPr>
              <w:ind w:left="580"/>
              <w:spacing w:after="0" w:line="130" w:lineRule="exact"/>
              <w:rPr>
                <w:sz w:val="20"/>
                <w:szCs w:val="20"/>
                <w:color w:val="auto"/>
              </w:rPr>
            </w:pPr>
            <w:r>
              <w:rPr>
                <w:rFonts w:ascii="Arial" w:cs="Arial" w:eastAsia="Arial" w:hAnsi="Arial"/>
                <w:sz w:val="14"/>
                <w:szCs w:val="14"/>
                <w:color w:val="auto"/>
              </w:rPr>
              <w:t>—</w:t>
            </w:r>
          </w:p>
        </w:tc>
        <w:tc>
          <w:tcPr>
            <w:tcW w:w="860" w:type="dxa"/>
            <w:vAlign w:val="bottom"/>
          </w:tcPr>
          <w:p>
            <w:pPr>
              <w:jc w:val="right"/>
              <w:ind w:right="108"/>
              <w:spacing w:after="0" w:line="130" w:lineRule="exact"/>
              <w:rPr>
                <w:sz w:val="20"/>
                <w:szCs w:val="20"/>
                <w:color w:val="auto"/>
              </w:rPr>
            </w:pPr>
            <w:r>
              <w:rPr>
                <w:rFonts w:ascii="Arial" w:cs="Arial" w:eastAsia="Arial" w:hAnsi="Arial"/>
                <w:sz w:val="14"/>
                <w:szCs w:val="14"/>
                <w:color w:val="auto"/>
              </w:rPr>
              <w:t>1</w:t>
            </w:r>
          </w:p>
        </w:tc>
        <w:tc>
          <w:tcPr>
            <w:tcW w:w="80" w:type="dxa"/>
            <w:vAlign w:val="bottom"/>
          </w:tcPr>
          <w:p>
            <w:pPr>
              <w:spacing w:after="0"/>
              <w:rPr>
                <w:sz w:val="11"/>
                <w:szCs w:val="11"/>
                <w:color w:val="auto"/>
              </w:rPr>
            </w:pPr>
          </w:p>
        </w:tc>
        <w:tc>
          <w:tcPr>
            <w:tcW w:w="920" w:type="dxa"/>
            <w:vAlign w:val="bottom"/>
            <w:gridSpan w:val="2"/>
          </w:tcPr>
          <w:p>
            <w:pPr>
              <w:jc w:val="right"/>
              <w:ind w:right="80"/>
              <w:spacing w:after="0" w:line="130" w:lineRule="exact"/>
              <w:rPr>
                <w:sz w:val="20"/>
                <w:szCs w:val="20"/>
                <w:color w:val="auto"/>
              </w:rPr>
            </w:pPr>
            <w:r>
              <w:rPr>
                <w:rFonts w:ascii="Arial" w:cs="Arial" w:eastAsia="Arial" w:hAnsi="Arial"/>
                <w:sz w:val="14"/>
                <w:szCs w:val="14"/>
                <w:color w:val="auto"/>
              </w:rPr>
              <w:t>950</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80" w:type="dxa"/>
            <w:vAlign w:val="bottom"/>
            <w:gridSpan w:val="2"/>
          </w:tcPr>
          <w:p>
            <w:pPr>
              <w:jc w:val="right"/>
              <w:ind w:right="140"/>
              <w:spacing w:after="0" w:line="130" w:lineRule="exact"/>
              <w:rPr>
                <w:sz w:val="20"/>
                <w:szCs w:val="20"/>
                <w:color w:val="auto"/>
              </w:rPr>
            </w:pPr>
            <w:r>
              <w:rPr>
                <w:rFonts w:ascii="Arial" w:cs="Arial" w:eastAsia="Arial" w:hAnsi="Arial"/>
                <w:sz w:val="14"/>
                <w:szCs w:val="14"/>
                <w:color w:val="auto"/>
              </w:rPr>
              <w:t>702</w:t>
            </w:r>
          </w:p>
        </w:tc>
        <w:tc>
          <w:tcPr>
            <w:tcW w:w="0" w:type="dxa"/>
            <w:vAlign w:val="bottom"/>
          </w:tcPr>
          <w:p>
            <w:pPr>
              <w:spacing w:after="0"/>
              <w:rPr>
                <w:sz w:val="1"/>
                <w:szCs w:val="1"/>
                <w:color w:val="auto"/>
              </w:rPr>
            </w:pPr>
          </w:p>
        </w:tc>
      </w:tr>
      <w:tr>
        <w:trPr>
          <w:trHeight w:val="167"/>
        </w:trPr>
        <w:tc>
          <w:tcPr>
            <w:tcW w:w="4560" w:type="dxa"/>
            <w:vAlign w:val="bottom"/>
          </w:tcPr>
          <w:p>
            <w:pPr>
              <w:ind w:left="160"/>
              <w:spacing w:after="0"/>
              <w:rPr>
                <w:sz w:val="20"/>
                <w:szCs w:val="20"/>
                <w:color w:val="auto"/>
              </w:rPr>
            </w:pPr>
            <w:r>
              <w:rPr>
                <w:rFonts w:ascii="Arial" w:cs="Arial" w:eastAsia="Arial" w:hAnsi="Arial"/>
                <w:sz w:val="14"/>
                <w:szCs w:val="14"/>
                <w:color w:val="auto"/>
              </w:rPr>
              <w:t>(Alegeus Technologies, LLC)</w:t>
            </w:r>
          </w:p>
        </w:tc>
        <w:tc>
          <w:tcPr>
            <w:tcW w:w="74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456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Autumn Games, LLC</w:t>
            </w:r>
          </w:p>
        </w:tc>
        <w:tc>
          <w:tcPr>
            <w:tcW w:w="740" w:type="dxa"/>
            <w:vAlign w:val="bottom"/>
            <w:shd w:val="clear" w:color="auto" w:fill="CCEEFF"/>
          </w:tcPr>
          <w:p>
            <w:pPr>
              <w:ind w:left="260"/>
              <w:spacing w:after="0" w:line="130" w:lineRule="exact"/>
              <w:rPr>
                <w:sz w:val="20"/>
                <w:szCs w:val="20"/>
                <w:color w:val="auto"/>
              </w:rPr>
            </w:pPr>
            <w:r>
              <w:rPr>
                <w:rFonts w:ascii="Arial" w:cs="Arial" w:eastAsia="Arial" w:hAnsi="Arial"/>
                <w:sz w:val="14"/>
                <w:szCs w:val="14"/>
                <w:color w:val="auto"/>
              </w:rPr>
              <w:t>—</w:t>
            </w:r>
          </w:p>
        </w:tc>
        <w:tc>
          <w:tcPr>
            <w:tcW w:w="1380" w:type="dxa"/>
            <w:vAlign w:val="bottom"/>
            <w:shd w:val="clear" w:color="auto" w:fill="CCEEFF"/>
          </w:tcPr>
          <w:p>
            <w:pPr>
              <w:jc w:val="center"/>
              <w:spacing w:after="0" w:line="130" w:lineRule="exact"/>
              <w:rPr>
                <w:sz w:val="20"/>
                <w:szCs w:val="20"/>
                <w:color w:val="auto"/>
              </w:rPr>
            </w:pPr>
            <w:r>
              <w:rPr>
                <w:rFonts w:ascii="Arial" w:cs="Arial" w:eastAsia="Arial" w:hAnsi="Arial"/>
                <w:sz w:val="14"/>
                <w:szCs w:val="14"/>
                <w:color w:val="auto"/>
                <w:w w:val="91"/>
              </w:rPr>
              <w:t>Broadcasting and</w:t>
            </w:r>
          </w:p>
        </w:tc>
        <w:tc>
          <w:tcPr>
            <w:tcW w:w="640" w:type="dxa"/>
            <w:vAlign w:val="bottom"/>
            <w:shd w:val="clear" w:color="auto" w:fill="CCEEFF"/>
          </w:tcPr>
          <w:p>
            <w:pPr>
              <w:ind w:left="340"/>
              <w:spacing w:after="0" w:line="130" w:lineRule="exact"/>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ind w:left="580"/>
              <w:spacing w:after="0" w:line="130" w:lineRule="exact"/>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ind w:right="108"/>
              <w:spacing w:after="0" w:line="130" w:lineRule="exact"/>
              <w:rPr>
                <w:sz w:val="20"/>
                <w:szCs w:val="20"/>
                <w:color w:val="auto"/>
              </w:rPr>
            </w:pPr>
            <w:r>
              <w:rPr>
                <w:rFonts w:ascii="Arial" w:cs="Arial" w:eastAsia="Arial" w:hAnsi="Arial"/>
                <w:sz w:val="14"/>
                <w:szCs w:val="14"/>
                <w:color w:val="auto"/>
              </w:rPr>
              <w:t>1,333,330</w:t>
            </w:r>
          </w:p>
        </w:tc>
        <w:tc>
          <w:tcPr>
            <w:tcW w:w="80" w:type="dxa"/>
            <w:vAlign w:val="bottom"/>
            <w:shd w:val="clear" w:color="auto" w:fill="CCEEFF"/>
          </w:tcPr>
          <w:p>
            <w:pPr>
              <w:spacing w:after="0"/>
              <w:rPr>
                <w:sz w:val="11"/>
                <w:szCs w:val="11"/>
                <w:color w:val="auto"/>
              </w:rPr>
            </w:pPr>
          </w:p>
        </w:tc>
        <w:tc>
          <w:tcPr>
            <w:tcW w:w="920" w:type="dxa"/>
            <w:vAlign w:val="bottom"/>
            <w:gridSpan w:val="2"/>
            <w:shd w:val="clear" w:color="auto" w:fill="CCEEFF"/>
          </w:tcPr>
          <w:p>
            <w:pPr>
              <w:jc w:val="right"/>
              <w:ind w:right="80"/>
              <w:spacing w:after="0" w:line="130" w:lineRule="exact"/>
              <w:rPr>
                <w:sz w:val="20"/>
                <w:szCs w:val="20"/>
                <w:color w:val="auto"/>
              </w:rPr>
            </w:pPr>
            <w:r>
              <w:rPr>
                <w:rFonts w:ascii="Arial" w:cs="Arial" w:eastAsia="Arial" w:hAnsi="Arial"/>
                <w:sz w:val="14"/>
                <w:szCs w:val="14"/>
                <w:color w:val="auto"/>
              </w:rPr>
              <w:t>3,000,000</w:t>
            </w: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80" w:type="dxa"/>
            <w:vAlign w:val="bottom"/>
            <w:gridSpan w:val="2"/>
            <w:shd w:val="clear" w:color="auto" w:fill="CCEEFF"/>
          </w:tcPr>
          <w:p>
            <w:pPr>
              <w:ind w:left="620"/>
              <w:spacing w:after="0" w:line="130"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7"/>
        </w:trPr>
        <w:tc>
          <w:tcPr>
            <w:tcW w:w="456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3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4"/>
              </w:rPr>
              <w:t>Entertainment</w:t>
            </w:r>
          </w:p>
        </w:tc>
        <w:tc>
          <w:tcPr>
            <w:tcW w:w="64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4560" w:type="dxa"/>
            <w:vAlign w:val="bottom"/>
          </w:tcPr>
          <w:p>
            <w:pPr>
              <w:spacing w:after="0" w:line="130" w:lineRule="exact"/>
              <w:rPr>
                <w:sz w:val="20"/>
                <w:szCs w:val="20"/>
                <w:color w:val="auto"/>
              </w:rPr>
            </w:pPr>
            <w:r>
              <w:rPr>
                <w:rFonts w:ascii="Arial" w:cs="Arial" w:eastAsia="Arial" w:hAnsi="Arial"/>
                <w:sz w:val="14"/>
                <w:szCs w:val="14"/>
                <w:color w:val="auto"/>
              </w:rPr>
              <w:t xml:space="preserve">CI (FBM) Holdings, LLC </w:t>
            </w:r>
            <w:r>
              <w:rPr>
                <w:rFonts w:ascii="Arial" w:cs="Arial" w:eastAsia="Arial" w:hAnsi="Arial"/>
                <w:sz w:val="12"/>
                <w:szCs w:val="12"/>
                <w:color w:val="auto"/>
              </w:rPr>
              <w:t>(14)</w:t>
            </w:r>
          </w:p>
        </w:tc>
        <w:tc>
          <w:tcPr>
            <w:tcW w:w="740" w:type="dxa"/>
            <w:vAlign w:val="bottom"/>
          </w:tcPr>
          <w:p>
            <w:pPr>
              <w:ind w:left="260"/>
              <w:spacing w:after="0" w:line="130" w:lineRule="exact"/>
              <w:rPr>
                <w:sz w:val="20"/>
                <w:szCs w:val="20"/>
                <w:color w:val="auto"/>
              </w:rPr>
            </w:pPr>
            <w:r>
              <w:rPr>
                <w:rFonts w:ascii="Arial" w:cs="Arial" w:eastAsia="Arial" w:hAnsi="Arial"/>
                <w:sz w:val="14"/>
                <w:szCs w:val="14"/>
                <w:color w:val="auto"/>
              </w:rPr>
              <w:t>—</w:t>
            </w:r>
          </w:p>
        </w:tc>
        <w:tc>
          <w:tcPr>
            <w:tcW w:w="1380" w:type="dxa"/>
            <w:vAlign w:val="bottom"/>
          </w:tcPr>
          <w:p>
            <w:pPr>
              <w:jc w:val="center"/>
              <w:spacing w:after="0" w:line="130" w:lineRule="exact"/>
              <w:rPr>
                <w:sz w:val="20"/>
                <w:szCs w:val="20"/>
                <w:color w:val="auto"/>
              </w:rPr>
            </w:pPr>
            <w:r>
              <w:rPr>
                <w:rFonts w:ascii="Arial" w:cs="Arial" w:eastAsia="Arial" w:hAnsi="Arial"/>
                <w:sz w:val="14"/>
                <w:szCs w:val="14"/>
                <w:color w:val="auto"/>
                <w:w w:val="97"/>
              </w:rPr>
              <w:t>Building Materials</w:t>
            </w:r>
          </w:p>
        </w:tc>
        <w:tc>
          <w:tcPr>
            <w:tcW w:w="640" w:type="dxa"/>
            <w:vAlign w:val="bottom"/>
          </w:tcPr>
          <w:p>
            <w:pPr>
              <w:ind w:left="340"/>
              <w:spacing w:after="0" w:line="130" w:lineRule="exact"/>
              <w:rPr>
                <w:sz w:val="20"/>
                <w:szCs w:val="20"/>
                <w:color w:val="auto"/>
              </w:rPr>
            </w:pPr>
            <w:r>
              <w:rPr>
                <w:rFonts w:ascii="Arial" w:cs="Arial" w:eastAsia="Arial" w:hAnsi="Arial"/>
                <w:sz w:val="14"/>
                <w:szCs w:val="14"/>
                <w:color w:val="auto"/>
              </w:rPr>
              <w:t>—</w:t>
            </w:r>
          </w:p>
        </w:tc>
        <w:tc>
          <w:tcPr>
            <w:tcW w:w="900" w:type="dxa"/>
            <w:vAlign w:val="bottom"/>
          </w:tcPr>
          <w:p>
            <w:pPr>
              <w:ind w:left="580"/>
              <w:spacing w:after="0" w:line="130" w:lineRule="exact"/>
              <w:rPr>
                <w:sz w:val="20"/>
                <w:szCs w:val="20"/>
                <w:color w:val="auto"/>
              </w:rPr>
            </w:pPr>
            <w:r>
              <w:rPr>
                <w:rFonts w:ascii="Arial" w:cs="Arial" w:eastAsia="Arial" w:hAnsi="Arial"/>
                <w:sz w:val="14"/>
                <w:szCs w:val="14"/>
                <w:color w:val="auto"/>
              </w:rPr>
              <w:t>—</w:t>
            </w:r>
          </w:p>
        </w:tc>
        <w:tc>
          <w:tcPr>
            <w:tcW w:w="860" w:type="dxa"/>
            <w:vAlign w:val="bottom"/>
          </w:tcPr>
          <w:p>
            <w:pPr>
              <w:jc w:val="right"/>
              <w:ind w:right="108"/>
              <w:spacing w:after="0" w:line="130" w:lineRule="exact"/>
              <w:rPr>
                <w:sz w:val="20"/>
                <w:szCs w:val="20"/>
                <w:color w:val="auto"/>
              </w:rPr>
            </w:pPr>
            <w:r>
              <w:rPr>
                <w:rFonts w:ascii="Arial" w:cs="Arial" w:eastAsia="Arial" w:hAnsi="Arial"/>
                <w:sz w:val="14"/>
                <w:szCs w:val="14"/>
                <w:color w:val="auto"/>
              </w:rPr>
              <w:t>207,242</w:t>
            </w:r>
          </w:p>
        </w:tc>
        <w:tc>
          <w:tcPr>
            <w:tcW w:w="80" w:type="dxa"/>
            <w:vAlign w:val="bottom"/>
          </w:tcPr>
          <w:p>
            <w:pPr>
              <w:spacing w:after="0"/>
              <w:rPr>
                <w:sz w:val="11"/>
                <w:szCs w:val="11"/>
                <w:color w:val="auto"/>
              </w:rPr>
            </w:pPr>
          </w:p>
        </w:tc>
        <w:tc>
          <w:tcPr>
            <w:tcW w:w="920" w:type="dxa"/>
            <w:vAlign w:val="bottom"/>
            <w:gridSpan w:val="2"/>
          </w:tcPr>
          <w:p>
            <w:pPr>
              <w:jc w:val="right"/>
              <w:ind w:right="80"/>
              <w:spacing w:after="0" w:line="130" w:lineRule="exact"/>
              <w:rPr>
                <w:sz w:val="20"/>
                <w:szCs w:val="20"/>
                <w:color w:val="auto"/>
              </w:rPr>
            </w:pPr>
            <w:r>
              <w:rPr>
                <w:rFonts w:ascii="Arial" w:cs="Arial" w:eastAsia="Arial" w:hAnsi="Arial"/>
                <w:sz w:val="14"/>
                <w:szCs w:val="14"/>
                <w:color w:val="auto"/>
              </w:rPr>
              <w:t>2,250,000</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80" w:type="dxa"/>
            <w:vAlign w:val="bottom"/>
            <w:gridSpan w:val="2"/>
          </w:tcPr>
          <w:p>
            <w:pPr>
              <w:jc w:val="right"/>
              <w:ind w:right="140"/>
              <w:spacing w:after="0" w:line="130" w:lineRule="exact"/>
              <w:rPr>
                <w:sz w:val="20"/>
                <w:szCs w:val="20"/>
                <w:color w:val="auto"/>
              </w:rPr>
            </w:pPr>
            <w:r>
              <w:rPr>
                <w:rFonts w:ascii="Arial" w:cs="Arial" w:eastAsia="Arial" w:hAnsi="Arial"/>
                <w:sz w:val="14"/>
                <w:szCs w:val="14"/>
                <w:color w:val="auto"/>
              </w:rPr>
              <w:t>2,250,000</w:t>
            </w:r>
          </w:p>
        </w:tc>
        <w:tc>
          <w:tcPr>
            <w:tcW w:w="0" w:type="dxa"/>
            <w:vAlign w:val="bottom"/>
          </w:tcPr>
          <w:p>
            <w:pPr>
              <w:spacing w:after="0"/>
              <w:rPr>
                <w:sz w:val="1"/>
                <w:szCs w:val="1"/>
                <w:color w:val="auto"/>
              </w:rPr>
            </w:pPr>
          </w:p>
        </w:tc>
      </w:tr>
      <w:tr>
        <w:trPr>
          <w:trHeight w:val="167"/>
        </w:trPr>
        <w:tc>
          <w:tcPr>
            <w:tcW w:w="4560" w:type="dxa"/>
            <w:vAlign w:val="bottom"/>
          </w:tcPr>
          <w:p>
            <w:pPr>
              <w:ind w:left="160"/>
              <w:spacing w:after="0"/>
              <w:rPr>
                <w:sz w:val="20"/>
                <w:szCs w:val="20"/>
                <w:color w:val="auto"/>
              </w:rPr>
            </w:pPr>
            <w:r>
              <w:rPr>
                <w:rFonts w:ascii="Arial" w:cs="Arial" w:eastAsia="Arial" w:hAnsi="Arial"/>
                <w:sz w:val="14"/>
                <w:szCs w:val="14"/>
                <w:color w:val="auto"/>
              </w:rPr>
              <w:t>(Foundation Building Materials, LLC)</w:t>
            </w:r>
          </w:p>
        </w:tc>
        <w:tc>
          <w:tcPr>
            <w:tcW w:w="74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456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 xml:space="preserve">CI (FBM) Holdings, LLC </w:t>
            </w:r>
            <w:r>
              <w:rPr>
                <w:rFonts w:ascii="Arial" w:cs="Arial" w:eastAsia="Arial" w:hAnsi="Arial"/>
                <w:sz w:val="12"/>
                <w:szCs w:val="12"/>
                <w:color w:val="auto"/>
              </w:rPr>
              <w:t>(9), (14)</w:t>
            </w:r>
          </w:p>
        </w:tc>
        <w:tc>
          <w:tcPr>
            <w:tcW w:w="740" w:type="dxa"/>
            <w:vAlign w:val="bottom"/>
            <w:shd w:val="clear" w:color="auto" w:fill="CCEEFF"/>
          </w:tcPr>
          <w:p>
            <w:pPr>
              <w:ind w:left="260"/>
              <w:spacing w:after="0" w:line="130" w:lineRule="exact"/>
              <w:rPr>
                <w:sz w:val="20"/>
                <w:szCs w:val="20"/>
                <w:color w:val="auto"/>
              </w:rPr>
            </w:pPr>
            <w:r>
              <w:rPr>
                <w:rFonts w:ascii="Arial" w:cs="Arial" w:eastAsia="Arial" w:hAnsi="Arial"/>
                <w:sz w:val="14"/>
                <w:szCs w:val="14"/>
                <w:color w:val="auto"/>
              </w:rPr>
              <w:t>—</w:t>
            </w:r>
          </w:p>
        </w:tc>
        <w:tc>
          <w:tcPr>
            <w:tcW w:w="1380" w:type="dxa"/>
            <w:vAlign w:val="bottom"/>
            <w:shd w:val="clear" w:color="auto" w:fill="CCEEFF"/>
          </w:tcPr>
          <w:p>
            <w:pPr>
              <w:jc w:val="center"/>
              <w:spacing w:after="0" w:line="130" w:lineRule="exact"/>
              <w:rPr>
                <w:sz w:val="20"/>
                <w:szCs w:val="20"/>
                <w:color w:val="auto"/>
              </w:rPr>
            </w:pPr>
            <w:r>
              <w:rPr>
                <w:rFonts w:ascii="Arial" w:cs="Arial" w:eastAsia="Arial" w:hAnsi="Arial"/>
                <w:sz w:val="14"/>
                <w:szCs w:val="14"/>
                <w:color w:val="auto"/>
                <w:w w:val="97"/>
              </w:rPr>
              <w:t>Building Materials</w:t>
            </w:r>
          </w:p>
        </w:tc>
        <w:tc>
          <w:tcPr>
            <w:tcW w:w="640" w:type="dxa"/>
            <w:vAlign w:val="bottom"/>
            <w:shd w:val="clear" w:color="auto" w:fill="CCEEFF"/>
          </w:tcPr>
          <w:p>
            <w:pPr>
              <w:ind w:left="340"/>
              <w:spacing w:after="0" w:line="130" w:lineRule="exact"/>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ind w:left="580"/>
              <w:spacing w:after="0" w:line="130" w:lineRule="exact"/>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ind w:right="108"/>
              <w:spacing w:after="0" w:line="130" w:lineRule="exact"/>
              <w:rPr>
                <w:sz w:val="20"/>
                <w:szCs w:val="20"/>
                <w:color w:val="auto"/>
              </w:rPr>
            </w:pPr>
            <w:r>
              <w:rPr>
                <w:rFonts w:ascii="Arial" w:cs="Arial" w:eastAsia="Arial" w:hAnsi="Arial"/>
                <w:sz w:val="14"/>
                <w:szCs w:val="14"/>
                <w:color w:val="auto"/>
              </w:rPr>
              <w:t>103,621</w:t>
            </w:r>
          </w:p>
        </w:tc>
        <w:tc>
          <w:tcPr>
            <w:tcW w:w="80" w:type="dxa"/>
            <w:vAlign w:val="bottom"/>
            <w:shd w:val="clear" w:color="auto" w:fill="CCEEFF"/>
          </w:tcPr>
          <w:p>
            <w:pPr>
              <w:spacing w:after="0"/>
              <w:rPr>
                <w:sz w:val="11"/>
                <w:szCs w:val="11"/>
                <w:color w:val="auto"/>
              </w:rPr>
            </w:pPr>
          </w:p>
        </w:tc>
        <w:tc>
          <w:tcPr>
            <w:tcW w:w="920" w:type="dxa"/>
            <w:vAlign w:val="bottom"/>
            <w:gridSpan w:val="2"/>
            <w:shd w:val="clear" w:color="auto" w:fill="CCEEFF"/>
          </w:tcPr>
          <w:p>
            <w:pPr>
              <w:jc w:val="right"/>
              <w:ind w:right="80"/>
              <w:spacing w:after="0" w:line="130" w:lineRule="exact"/>
              <w:rPr>
                <w:sz w:val="20"/>
                <w:szCs w:val="20"/>
                <w:color w:val="auto"/>
              </w:rPr>
            </w:pPr>
            <w:r>
              <w:rPr>
                <w:rFonts w:ascii="Arial" w:cs="Arial" w:eastAsia="Arial" w:hAnsi="Arial"/>
                <w:sz w:val="14"/>
                <w:szCs w:val="14"/>
                <w:color w:val="auto"/>
              </w:rPr>
              <w:t>1,125,000</w:t>
            </w: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80" w:type="dxa"/>
            <w:vAlign w:val="bottom"/>
            <w:gridSpan w:val="2"/>
            <w:shd w:val="clear" w:color="auto" w:fill="CCEEFF"/>
          </w:tcPr>
          <w:p>
            <w:pPr>
              <w:jc w:val="right"/>
              <w:ind w:right="140"/>
              <w:spacing w:after="0" w:line="130" w:lineRule="exact"/>
              <w:rPr>
                <w:sz w:val="20"/>
                <w:szCs w:val="20"/>
                <w:color w:val="auto"/>
              </w:rPr>
            </w:pPr>
            <w:r>
              <w:rPr>
                <w:rFonts w:ascii="Arial" w:cs="Arial" w:eastAsia="Arial" w:hAnsi="Arial"/>
                <w:sz w:val="14"/>
                <w:szCs w:val="14"/>
                <w:color w:val="auto"/>
              </w:rPr>
              <w:t>1,125,000</w:t>
            </w:r>
          </w:p>
        </w:tc>
        <w:tc>
          <w:tcPr>
            <w:tcW w:w="0" w:type="dxa"/>
            <w:vAlign w:val="bottom"/>
          </w:tcPr>
          <w:p>
            <w:pPr>
              <w:spacing w:after="0"/>
              <w:rPr>
                <w:sz w:val="1"/>
                <w:szCs w:val="1"/>
                <w:color w:val="auto"/>
              </w:rPr>
            </w:pPr>
          </w:p>
        </w:tc>
      </w:tr>
      <w:tr>
        <w:trPr>
          <w:trHeight w:val="167"/>
        </w:trPr>
        <w:tc>
          <w:tcPr>
            <w:tcW w:w="4560" w:type="dxa"/>
            <w:vAlign w:val="bottom"/>
            <w:shd w:val="clear" w:color="auto" w:fill="CCEEFF"/>
          </w:tcPr>
          <w:p>
            <w:pPr>
              <w:ind w:left="160"/>
              <w:spacing w:after="0"/>
              <w:rPr>
                <w:sz w:val="20"/>
                <w:szCs w:val="20"/>
                <w:color w:val="auto"/>
              </w:rPr>
            </w:pPr>
            <w:r>
              <w:rPr>
                <w:rFonts w:ascii="Arial" w:cs="Arial" w:eastAsia="Arial" w:hAnsi="Arial"/>
                <w:sz w:val="14"/>
                <w:szCs w:val="14"/>
                <w:color w:val="auto"/>
              </w:rPr>
              <w:t>(Foundation Building Materials, LLC)</w:t>
            </w:r>
          </w:p>
        </w:tc>
        <w:tc>
          <w:tcPr>
            <w:tcW w:w="740" w:type="dxa"/>
            <w:vAlign w:val="bottom"/>
            <w:shd w:val="clear" w:color="auto" w:fill="CCEEFF"/>
          </w:tcPr>
          <w:p>
            <w:pPr>
              <w:spacing w:after="0"/>
              <w:rPr>
                <w:sz w:val="14"/>
                <w:szCs w:val="14"/>
                <w:color w:val="auto"/>
              </w:rPr>
            </w:pPr>
          </w:p>
        </w:tc>
        <w:tc>
          <w:tcPr>
            <w:tcW w:w="138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4560" w:type="dxa"/>
            <w:vAlign w:val="bottom"/>
          </w:tcPr>
          <w:p>
            <w:pPr>
              <w:spacing w:after="0" w:line="149" w:lineRule="exact"/>
              <w:rPr>
                <w:sz w:val="20"/>
                <w:szCs w:val="20"/>
                <w:color w:val="auto"/>
              </w:rPr>
            </w:pPr>
            <w:r>
              <w:rPr>
                <w:rFonts w:ascii="Arial" w:cs="Arial" w:eastAsia="Arial" w:hAnsi="Arial"/>
                <w:sz w:val="14"/>
                <w:szCs w:val="14"/>
                <w:color w:val="auto"/>
              </w:rPr>
              <w:t xml:space="preserve">CI (Galls) Prime Investment Holdings, LLC </w:t>
            </w:r>
            <w:r>
              <w:rPr>
                <w:rFonts w:ascii="Arial" w:cs="Arial" w:eastAsia="Arial" w:hAnsi="Arial"/>
                <w:sz w:val="12"/>
                <w:szCs w:val="12"/>
                <w:color w:val="auto"/>
              </w:rPr>
              <w:t>(11)</w:t>
            </w:r>
          </w:p>
        </w:tc>
        <w:tc>
          <w:tcPr>
            <w:tcW w:w="740" w:type="dxa"/>
            <w:vAlign w:val="bottom"/>
          </w:tcPr>
          <w:p>
            <w:pPr>
              <w:ind w:left="260"/>
              <w:spacing w:after="0" w:line="149" w:lineRule="exact"/>
              <w:rPr>
                <w:sz w:val="20"/>
                <w:szCs w:val="20"/>
                <w:color w:val="auto"/>
              </w:rPr>
            </w:pPr>
            <w:r>
              <w:rPr>
                <w:rFonts w:ascii="Arial" w:cs="Arial" w:eastAsia="Arial" w:hAnsi="Arial"/>
                <w:sz w:val="14"/>
                <w:szCs w:val="14"/>
                <w:color w:val="auto"/>
              </w:rPr>
              <w:t>—</w:t>
            </w:r>
          </w:p>
        </w:tc>
        <w:tc>
          <w:tcPr>
            <w:tcW w:w="1380" w:type="dxa"/>
            <w:vAlign w:val="bottom"/>
          </w:tcPr>
          <w:p>
            <w:pPr>
              <w:jc w:val="center"/>
              <w:spacing w:after="0" w:line="149" w:lineRule="exact"/>
              <w:rPr>
                <w:sz w:val="20"/>
                <w:szCs w:val="20"/>
                <w:color w:val="auto"/>
              </w:rPr>
            </w:pPr>
            <w:r>
              <w:rPr>
                <w:rFonts w:ascii="Arial" w:cs="Arial" w:eastAsia="Arial" w:hAnsi="Arial"/>
                <w:sz w:val="14"/>
                <w:szCs w:val="14"/>
                <w:color w:val="auto"/>
                <w:w w:val="99"/>
              </w:rPr>
              <w:t>Distribution</w:t>
            </w:r>
          </w:p>
        </w:tc>
        <w:tc>
          <w:tcPr>
            <w:tcW w:w="640" w:type="dxa"/>
            <w:vAlign w:val="bottom"/>
          </w:tcPr>
          <w:p>
            <w:pPr>
              <w:ind w:left="340"/>
              <w:spacing w:after="0" w:line="149" w:lineRule="exact"/>
              <w:rPr>
                <w:sz w:val="20"/>
                <w:szCs w:val="20"/>
                <w:color w:val="auto"/>
              </w:rPr>
            </w:pPr>
            <w:r>
              <w:rPr>
                <w:rFonts w:ascii="Arial" w:cs="Arial" w:eastAsia="Arial" w:hAnsi="Arial"/>
                <w:sz w:val="14"/>
                <w:szCs w:val="14"/>
                <w:color w:val="auto"/>
              </w:rPr>
              <w:t>—</w:t>
            </w:r>
          </w:p>
        </w:tc>
        <w:tc>
          <w:tcPr>
            <w:tcW w:w="900" w:type="dxa"/>
            <w:vAlign w:val="bottom"/>
          </w:tcPr>
          <w:p>
            <w:pPr>
              <w:ind w:left="580"/>
              <w:spacing w:after="0" w:line="149" w:lineRule="exact"/>
              <w:rPr>
                <w:sz w:val="20"/>
                <w:szCs w:val="20"/>
                <w:color w:val="auto"/>
              </w:rPr>
            </w:pPr>
            <w:r>
              <w:rPr>
                <w:rFonts w:ascii="Arial" w:cs="Arial" w:eastAsia="Arial" w:hAnsi="Arial"/>
                <w:sz w:val="14"/>
                <w:szCs w:val="14"/>
                <w:color w:val="auto"/>
              </w:rPr>
              <w:t>—</w:t>
            </w:r>
          </w:p>
        </w:tc>
        <w:tc>
          <w:tcPr>
            <w:tcW w:w="860" w:type="dxa"/>
            <w:vAlign w:val="bottom"/>
          </w:tcPr>
          <w:p>
            <w:pPr>
              <w:jc w:val="right"/>
              <w:ind w:right="108"/>
              <w:spacing w:after="0" w:line="149" w:lineRule="exact"/>
              <w:rPr>
                <w:sz w:val="20"/>
                <w:szCs w:val="20"/>
                <w:color w:val="auto"/>
              </w:rPr>
            </w:pPr>
            <w:r>
              <w:rPr>
                <w:rFonts w:ascii="Arial" w:cs="Arial" w:eastAsia="Arial" w:hAnsi="Arial"/>
                <w:sz w:val="14"/>
                <w:szCs w:val="14"/>
                <w:color w:val="auto"/>
              </w:rPr>
              <w:t>1,505,000</w:t>
            </w:r>
          </w:p>
        </w:tc>
        <w:tc>
          <w:tcPr>
            <w:tcW w:w="80" w:type="dxa"/>
            <w:vAlign w:val="bottom"/>
          </w:tcPr>
          <w:p>
            <w:pPr>
              <w:spacing w:after="0"/>
              <w:rPr>
                <w:sz w:val="12"/>
                <w:szCs w:val="12"/>
                <w:color w:val="auto"/>
              </w:rPr>
            </w:pPr>
          </w:p>
        </w:tc>
        <w:tc>
          <w:tcPr>
            <w:tcW w:w="9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1,505,000</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2,131,025</w:t>
            </w:r>
          </w:p>
        </w:tc>
        <w:tc>
          <w:tcPr>
            <w:tcW w:w="0" w:type="dxa"/>
            <w:vAlign w:val="bottom"/>
          </w:tcPr>
          <w:p>
            <w:pPr>
              <w:spacing w:after="0"/>
              <w:rPr>
                <w:sz w:val="1"/>
                <w:szCs w:val="1"/>
                <w:color w:val="auto"/>
              </w:rPr>
            </w:pPr>
          </w:p>
        </w:tc>
      </w:tr>
      <w:tr>
        <w:trPr>
          <w:trHeight w:val="130"/>
        </w:trPr>
        <w:tc>
          <w:tcPr>
            <w:tcW w:w="456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CI (IHS) Investment Holdings, LLC</w:t>
            </w:r>
          </w:p>
        </w:tc>
        <w:tc>
          <w:tcPr>
            <w:tcW w:w="740" w:type="dxa"/>
            <w:vAlign w:val="bottom"/>
            <w:shd w:val="clear" w:color="auto" w:fill="CCEEFF"/>
          </w:tcPr>
          <w:p>
            <w:pPr>
              <w:ind w:left="260"/>
              <w:spacing w:after="0" w:line="130" w:lineRule="exact"/>
              <w:rPr>
                <w:sz w:val="20"/>
                <w:szCs w:val="20"/>
                <w:color w:val="auto"/>
              </w:rPr>
            </w:pPr>
            <w:r>
              <w:rPr>
                <w:rFonts w:ascii="Arial" w:cs="Arial" w:eastAsia="Arial" w:hAnsi="Arial"/>
                <w:sz w:val="14"/>
                <w:szCs w:val="14"/>
                <w:color w:val="auto"/>
              </w:rPr>
              <w:t>—</w:t>
            </w:r>
          </w:p>
        </w:tc>
        <w:tc>
          <w:tcPr>
            <w:tcW w:w="1380" w:type="dxa"/>
            <w:vAlign w:val="bottom"/>
            <w:shd w:val="clear" w:color="auto" w:fill="CCEEFF"/>
          </w:tcPr>
          <w:p>
            <w:pPr>
              <w:jc w:val="center"/>
              <w:spacing w:after="0" w:line="130" w:lineRule="exact"/>
              <w:rPr>
                <w:sz w:val="20"/>
                <w:szCs w:val="20"/>
                <w:color w:val="auto"/>
              </w:rPr>
            </w:pPr>
            <w:r>
              <w:rPr>
                <w:rFonts w:ascii="Arial" w:cs="Arial" w:eastAsia="Arial" w:hAnsi="Arial"/>
                <w:sz w:val="14"/>
                <w:szCs w:val="14"/>
                <w:color w:val="auto"/>
                <w:w w:val="92"/>
              </w:rPr>
              <w:t>Healthcare, Education</w:t>
            </w:r>
          </w:p>
        </w:tc>
        <w:tc>
          <w:tcPr>
            <w:tcW w:w="640" w:type="dxa"/>
            <w:vAlign w:val="bottom"/>
            <w:shd w:val="clear" w:color="auto" w:fill="CCEEFF"/>
          </w:tcPr>
          <w:p>
            <w:pPr>
              <w:ind w:left="340"/>
              <w:spacing w:after="0" w:line="130" w:lineRule="exact"/>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ind w:left="580"/>
              <w:spacing w:after="0" w:line="130" w:lineRule="exact"/>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ind w:right="108"/>
              <w:spacing w:after="0" w:line="130" w:lineRule="exact"/>
              <w:rPr>
                <w:sz w:val="20"/>
                <w:szCs w:val="20"/>
                <w:color w:val="auto"/>
              </w:rPr>
            </w:pPr>
            <w:r>
              <w:rPr>
                <w:rFonts w:ascii="Arial" w:cs="Arial" w:eastAsia="Arial" w:hAnsi="Arial"/>
                <w:sz w:val="14"/>
                <w:szCs w:val="14"/>
                <w:color w:val="auto"/>
              </w:rPr>
              <w:t>23,416</w:t>
            </w:r>
          </w:p>
        </w:tc>
        <w:tc>
          <w:tcPr>
            <w:tcW w:w="80" w:type="dxa"/>
            <w:vAlign w:val="bottom"/>
            <w:shd w:val="clear" w:color="auto" w:fill="CCEEFF"/>
          </w:tcPr>
          <w:p>
            <w:pPr>
              <w:spacing w:after="0"/>
              <w:rPr>
                <w:sz w:val="11"/>
                <w:szCs w:val="11"/>
                <w:color w:val="auto"/>
              </w:rPr>
            </w:pPr>
          </w:p>
        </w:tc>
        <w:tc>
          <w:tcPr>
            <w:tcW w:w="920" w:type="dxa"/>
            <w:vAlign w:val="bottom"/>
            <w:gridSpan w:val="2"/>
            <w:shd w:val="clear" w:color="auto" w:fill="CCEEFF"/>
          </w:tcPr>
          <w:p>
            <w:pPr>
              <w:jc w:val="right"/>
              <w:ind w:right="80"/>
              <w:spacing w:after="0" w:line="130" w:lineRule="exact"/>
              <w:rPr>
                <w:sz w:val="20"/>
                <w:szCs w:val="20"/>
                <w:color w:val="auto"/>
              </w:rPr>
            </w:pPr>
            <w:r>
              <w:rPr>
                <w:rFonts w:ascii="Arial" w:cs="Arial" w:eastAsia="Arial" w:hAnsi="Arial"/>
                <w:sz w:val="14"/>
                <w:szCs w:val="14"/>
                <w:color w:val="auto"/>
              </w:rPr>
              <w:t>234,693</w:t>
            </w: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80" w:type="dxa"/>
            <w:vAlign w:val="bottom"/>
            <w:gridSpan w:val="2"/>
            <w:shd w:val="clear" w:color="auto" w:fill="CCEEFF"/>
          </w:tcPr>
          <w:p>
            <w:pPr>
              <w:jc w:val="right"/>
              <w:ind w:right="140"/>
              <w:spacing w:after="0" w:line="130" w:lineRule="exact"/>
              <w:rPr>
                <w:sz w:val="20"/>
                <w:szCs w:val="20"/>
                <w:color w:val="auto"/>
              </w:rPr>
            </w:pPr>
            <w:r>
              <w:rPr>
                <w:rFonts w:ascii="Arial" w:cs="Arial" w:eastAsia="Arial" w:hAnsi="Arial"/>
                <w:sz w:val="14"/>
                <w:szCs w:val="14"/>
                <w:color w:val="auto"/>
              </w:rPr>
              <w:t>431,367</w:t>
            </w:r>
          </w:p>
        </w:tc>
        <w:tc>
          <w:tcPr>
            <w:tcW w:w="0" w:type="dxa"/>
            <w:vAlign w:val="bottom"/>
          </w:tcPr>
          <w:p>
            <w:pPr>
              <w:spacing w:after="0"/>
              <w:rPr>
                <w:sz w:val="1"/>
                <w:szCs w:val="1"/>
                <w:color w:val="auto"/>
              </w:rPr>
            </w:pPr>
          </w:p>
        </w:tc>
      </w:tr>
      <w:tr>
        <w:trPr>
          <w:trHeight w:val="167"/>
        </w:trPr>
        <w:tc>
          <w:tcPr>
            <w:tcW w:w="4560" w:type="dxa"/>
            <w:vAlign w:val="bottom"/>
            <w:shd w:val="clear" w:color="auto" w:fill="CCEEFF"/>
          </w:tcPr>
          <w:p>
            <w:pPr>
              <w:ind w:left="160"/>
              <w:spacing w:after="0"/>
              <w:rPr>
                <w:sz w:val="20"/>
                <w:szCs w:val="20"/>
                <w:color w:val="auto"/>
              </w:rPr>
            </w:pPr>
            <w:r>
              <w:rPr>
                <w:rFonts w:ascii="Arial" w:cs="Arial" w:eastAsia="Arial" w:hAnsi="Arial"/>
                <w:sz w:val="14"/>
                <w:szCs w:val="14"/>
                <w:color w:val="auto"/>
              </w:rPr>
              <w:t>(Interactive Health Solutions, Inc.)</w:t>
            </w:r>
          </w:p>
        </w:tc>
        <w:tc>
          <w:tcPr>
            <w:tcW w:w="740" w:type="dxa"/>
            <w:vAlign w:val="bottom"/>
            <w:shd w:val="clear" w:color="auto" w:fill="CCEEFF"/>
          </w:tcPr>
          <w:p>
            <w:pPr>
              <w:spacing w:after="0"/>
              <w:rPr>
                <w:sz w:val="14"/>
                <w:szCs w:val="14"/>
                <w:color w:val="auto"/>
              </w:rPr>
            </w:pPr>
          </w:p>
        </w:tc>
        <w:tc>
          <w:tcPr>
            <w:tcW w:w="13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2"/>
              </w:rPr>
              <w:t>and Childcare</w:t>
            </w:r>
          </w:p>
        </w:tc>
        <w:tc>
          <w:tcPr>
            <w:tcW w:w="64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4560" w:type="dxa"/>
            <w:vAlign w:val="bottom"/>
          </w:tcPr>
          <w:p>
            <w:pPr>
              <w:spacing w:after="0" w:line="130" w:lineRule="exact"/>
              <w:rPr>
                <w:sz w:val="20"/>
                <w:szCs w:val="20"/>
                <w:color w:val="auto"/>
              </w:rPr>
            </w:pPr>
            <w:r>
              <w:rPr>
                <w:rFonts w:ascii="Arial" w:cs="Arial" w:eastAsia="Arial" w:hAnsi="Arial"/>
                <w:sz w:val="14"/>
                <w:szCs w:val="14"/>
                <w:color w:val="auto"/>
              </w:rPr>
              <w:t xml:space="preserve">CI (IHS) Investment Holdings, LLC </w:t>
            </w:r>
            <w:r>
              <w:rPr>
                <w:rFonts w:ascii="Arial" w:cs="Arial" w:eastAsia="Arial" w:hAnsi="Arial"/>
                <w:sz w:val="12"/>
                <w:szCs w:val="12"/>
                <w:color w:val="auto"/>
              </w:rPr>
              <w:t>(9)</w:t>
            </w:r>
          </w:p>
        </w:tc>
        <w:tc>
          <w:tcPr>
            <w:tcW w:w="740" w:type="dxa"/>
            <w:vAlign w:val="bottom"/>
          </w:tcPr>
          <w:p>
            <w:pPr>
              <w:ind w:left="260"/>
              <w:spacing w:after="0" w:line="130" w:lineRule="exact"/>
              <w:rPr>
                <w:sz w:val="20"/>
                <w:szCs w:val="20"/>
                <w:color w:val="auto"/>
              </w:rPr>
            </w:pPr>
            <w:r>
              <w:rPr>
                <w:rFonts w:ascii="Arial" w:cs="Arial" w:eastAsia="Arial" w:hAnsi="Arial"/>
                <w:sz w:val="14"/>
                <w:szCs w:val="14"/>
                <w:color w:val="auto"/>
              </w:rPr>
              <w:t>—</w:t>
            </w:r>
          </w:p>
        </w:tc>
        <w:tc>
          <w:tcPr>
            <w:tcW w:w="1380" w:type="dxa"/>
            <w:vAlign w:val="bottom"/>
          </w:tcPr>
          <w:p>
            <w:pPr>
              <w:jc w:val="center"/>
              <w:spacing w:after="0" w:line="130" w:lineRule="exact"/>
              <w:rPr>
                <w:sz w:val="20"/>
                <w:szCs w:val="20"/>
                <w:color w:val="auto"/>
              </w:rPr>
            </w:pPr>
            <w:r>
              <w:rPr>
                <w:rFonts w:ascii="Arial" w:cs="Arial" w:eastAsia="Arial" w:hAnsi="Arial"/>
                <w:sz w:val="14"/>
                <w:szCs w:val="14"/>
                <w:color w:val="auto"/>
                <w:w w:val="92"/>
              </w:rPr>
              <w:t>Healthcare, Education</w:t>
            </w:r>
          </w:p>
        </w:tc>
        <w:tc>
          <w:tcPr>
            <w:tcW w:w="640" w:type="dxa"/>
            <w:vAlign w:val="bottom"/>
          </w:tcPr>
          <w:p>
            <w:pPr>
              <w:ind w:left="340"/>
              <w:spacing w:after="0" w:line="130" w:lineRule="exact"/>
              <w:rPr>
                <w:sz w:val="20"/>
                <w:szCs w:val="20"/>
                <w:color w:val="auto"/>
              </w:rPr>
            </w:pPr>
            <w:r>
              <w:rPr>
                <w:rFonts w:ascii="Arial" w:cs="Arial" w:eastAsia="Arial" w:hAnsi="Arial"/>
                <w:sz w:val="14"/>
                <w:szCs w:val="14"/>
                <w:color w:val="auto"/>
              </w:rPr>
              <w:t>—</w:t>
            </w:r>
          </w:p>
        </w:tc>
        <w:tc>
          <w:tcPr>
            <w:tcW w:w="900" w:type="dxa"/>
            <w:vAlign w:val="bottom"/>
          </w:tcPr>
          <w:p>
            <w:pPr>
              <w:ind w:left="580"/>
              <w:spacing w:after="0" w:line="130" w:lineRule="exact"/>
              <w:rPr>
                <w:sz w:val="20"/>
                <w:szCs w:val="20"/>
                <w:color w:val="auto"/>
              </w:rPr>
            </w:pPr>
            <w:r>
              <w:rPr>
                <w:rFonts w:ascii="Arial" w:cs="Arial" w:eastAsia="Arial" w:hAnsi="Arial"/>
                <w:sz w:val="14"/>
                <w:szCs w:val="14"/>
                <w:color w:val="auto"/>
              </w:rPr>
              <w:t>—</w:t>
            </w:r>
          </w:p>
        </w:tc>
        <w:tc>
          <w:tcPr>
            <w:tcW w:w="860" w:type="dxa"/>
            <w:vAlign w:val="bottom"/>
          </w:tcPr>
          <w:p>
            <w:pPr>
              <w:jc w:val="right"/>
              <w:ind w:right="108"/>
              <w:spacing w:after="0" w:line="130" w:lineRule="exact"/>
              <w:rPr>
                <w:sz w:val="20"/>
                <w:szCs w:val="20"/>
                <w:color w:val="auto"/>
              </w:rPr>
            </w:pPr>
            <w:r>
              <w:rPr>
                <w:rFonts w:ascii="Arial" w:cs="Arial" w:eastAsia="Arial" w:hAnsi="Arial"/>
                <w:sz w:val="14"/>
                <w:szCs w:val="14"/>
                <w:color w:val="auto"/>
              </w:rPr>
              <w:t>11,708</w:t>
            </w:r>
          </w:p>
        </w:tc>
        <w:tc>
          <w:tcPr>
            <w:tcW w:w="80" w:type="dxa"/>
            <w:vAlign w:val="bottom"/>
          </w:tcPr>
          <w:p>
            <w:pPr>
              <w:spacing w:after="0"/>
              <w:rPr>
                <w:sz w:val="11"/>
                <w:szCs w:val="11"/>
                <w:color w:val="auto"/>
              </w:rPr>
            </w:pPr>
          </w:p>
        </w:tc>
        <w:tc>
          <w:tcPr>
            <w:tcW w:w="920" w:type="dxa"/>
            <w:vAlign w:val="bottom"/>
            <w:gridSpan w:val="2"/>
          </w:tcPr>
          <w:p>
            <w:pPr>
              <w:jc w:val="right"/>
              <w:ind w:right="80"/>
              <w:spacing w:after="0" w:line="130" w:lineRule="exact"/>
              <w:rPr>
                <w:sz w:val="20"/>
                <w:szCs w:val="20"/>
                <w:color w:val="auto"/>
              </w:rPr>
            </w:pPr>
            <w:r>
              <w:rPr>
                <w:rFonts w:ascii="Arial" w:cs="Arial" w:eastAsia="Arial" w:hAnsi="Arial"/>
                <w:sz w:val="14"/>
                <w:szCs w:val="14"/>
                <w:color w:val="auto"/>
              </w:rPr>
              <w:t>117,346</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80" w:type="dxa"/>
            <w:vAlign w:val="bottom"/>
            <w:gridSpan w:val="2"/>
          </w:tcPr>
          <w:p>
            <w:pPr>
              <w:jc w:val="right"/>
              <w:ind w:right="140"/>
              <w:spacing w:after="0" w:line="130" w:lineRule="exact"/>
              <w:rPr>
                <w:sz w:val="20"/>
                <w:szCs w:val="20"/>
                <w:color w:val="auto"/>
              </w:rPr>
            </w:pPr>
            <w:r>
              <w:rPr>
                <w:rFonts w:ascii="Arial" w:cs="Arial" w:eastAsia="Arial" w:hAnsi="Arial"/>
                <w:sz w:val="14"/>
                <w:szCs w:val="14"/>
                <w:color w:val="auto"/>
              </w:rPr>
              <w:t>215,683</w:t>
            </w:r>
          </w:p>
        </w:tc>
        <w:tc>
          <w:tcPr>
            <w:tcW w:w="0" w:type="dxa"/>
            <w:vAlign w:val="bottom"/>
          </w:tcPr>
          <w:p>
            <w:pPr>
              <w:spacing w:after="0"/>
              <w:rPr>
                <w:sz w:val="1"/>
                <w:szCs w:val="1"/>
                <w:color w:val="auto"/>
              </w:rPr>
            </w:pPr>
          </w:p>
        </w:tc>
      </w:tr>
      <w:tr>
        <w:trPr>
          <w:trHeight w:val="167"/>
        </w:trPr>
        <w:tc>
          <w:tcPr>
            <w:tcW w:w="4560" w:type="dxa"/>
            <w:vAlign w:val="bottom"/>
          </w:tcPr>
          <w:p>
            <w:pPr>
              <w:ind w:left="160"/>
              <w:spacing w:after="0"/>
              <w:rPr>
                <w:sz w:val="20"/>
                <w:szCs w:val="20"/>
                <w:color w:val="auto"/>
              </w:rPr>
            </w:pPr>
            <w:r>
              <w:rPr>
                <w:rFonts w:ascii="Arial" w:cs="Arial" w:eastAsia="Arial" w:hAnsi="Arial"/>
                <w:sz w:val="14"/>
                <w:szCs w:val="14"/>
                <w:color w:val="auto"/>
              </w:rPr>
              <w:t>(Interactive Health Solutions, Inc.)</w:t>
            </w:r>
          </w:p>
        </w:tc>
        <w:tc>
          <w:tcPr>
            <w:tcW w:w="740" w:type="dxa"/>
            <w:vAlign w:val="bottom"/>
          </w:tcPr>
          <w:p>
            <w:pPr>
              <w:spacing w:after="0"/>
              <w:rPr>
                <w:sz w:val="14"/>
                <w:szCs w:val="14"/>
                <w:color w:val="auto"/>
              </w:rPr>
            </w:pPr>
          </w:p>
        </w:tc>
        <w:tc>
          <w:tcPr>
            <w:tcW w:w="1380" w:type="dxa"/>
            <w:vAlign w:val="bottom"/>
          </w:tcPr>
          <w:p>
            <w:pPr>
              <w:jc w:val="center"/>
              <w:spacing w:after="0"/>
              <w:rPr>
                <w:sz w:val="20"/>
                <w:szCs w:val="20"/>
                <w:color w:val="auto"/>
              </w:rPr>
            </w:pPr>
            <w:r>
              <w:rPr>
                <w:rFonts w:ascii="Arial" w:cs="Arial" w:eastAsia="Arial" w:hAnsi="Arial"/>
                <w:sz w:val="14"/>
                <w:szCs w:val="14"/>
                <w:color w:val="auto"/>
                <w:w w:val="92"/>
              </w:rPr>
              <w:t>and Childcare</w:t>
            </w:r>
          </w:p>
        </w:tc>
        <w:tc>
          <w:tcPr>
            <w:tcW w:w="6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456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Convergint Technologies Holdings, LLC</w:t>
            </w:r>
          </w:p>
        </w:tc>
        <w:tc>
          <w:tcPr>
            <w:tcW w:w="740" w:type="dxa"/>
            <w:vAlign w:val="bottom"/>
            <w:shd w:val="clear" w:color="auto" w:fill="CCEEFF"/>
          </w:tcPr>
          <w:p>
            <w:pPr>
              <w:ind w:left="260"/>
              <w:spacing w:after="0" w:line="130" w:lineRule="exact"/>
              <w:rPr>
                <w:sz w:val="20"/>
                <w:szCs w:val="20"/>
                <w:color w:val="auto"/>
              </w:rPr>
            </w:pPr>
            <w:r>
              <w:rPr>
                <w:rFonts w:ascii="Arial" w:cs="Arial" w:eastAsia="Arial" w:hAnsi="Arial"/>
                <w:sz w:val="14"/>
                <w:szCs w:val="14"/>
                <w:color w:val="auto"/>
              </w:rPr>
              <w:t>—</w:t>
            </w:r>
          </w:p>
        </w:tc>
        <w:tc>
          <w:tcPr>
            <w:tcW w:w="1380" w:type="dxa"/>
            <w:vAlign w:val="bottom"/>
            <w:shd w:val="clear" w:color="auto" w:fill="CCEEFF"/>
          </w:tcPr>
          <w:p>
            <w:pPr>
              <w:jc w:val="center"/>
              <w:spacing w:after="0" w:line="130" w:lineRule="exact"/>
              <w:rPr>
                <w:sz w:val="20"/>
                <w:szCs w:val="20"/>
                <w:color w:val="auto"/>
              </w:rPr>
            </w:pPr>
            <w:r>
              <w:rPr>
                <w:rFonts w:ascii="Arial" w:cs="Arial" w:eastAsia="Arial" w:hAnsi="Arial"/>
                <w:sz w:val="14"/>
                <w:szCs w:val="14"/>
                <w:color w:val="auto"/>
                <w:w w:val="93"/>
              </w:rPr>
              <w:t>Electronics</w:t>
            </w:r>
          </w:p>
        </w:tc>
        <w:tc>
          <w:tcPr>
            <w:tcW w:w="640" w:type="dxa"/>
            <w:vAlign w:val="bottom"/>
            <w:shd w:val="clear" w:color="auto" w:fill="CCEEFF"/>
          </w:tcPr>
          <w:p>
            <w:pPr>
              <w:ind w:left="340"/>
              <w:spacing w:after="0" w:line="130" w:lineRule="exact"/>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ind w:left="580"/>
              <w:spacing w:after="0" w:line="130" w:lineRule="exact"/>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ind w:right="108"/>
              <w:spacing w:after="0" w:line="130" w:lineRule="exact"/>
              <w:rPr>
                <w:sz w:val="20"/>
                <w:szCs w:val="20"/>
                <w:color w:val="auto"/>
              </w:rPr>
            </w:pPr>
            <w:r>
              <w:rPr>
                <w:rFonts w:ascii="Arial" w:cs="Arial" w:eastAsia="Arial" w:hAnsi="Arial"/>
                <w:sz w:val="14"/>
                <w:szCs w:val="14"/>
                <w:color w:val="auto"/>
              </w:rPr>
              <w:t>2,375</w:t>
            </w:r>
          </w:p>
        </w:tc>
        <w:tc>
          <w:tcPr>
            <w:tcW w:w="80" w:type="dxa"/>
            <w:vAlign w:val="bottom"/>
            <w:shd w:val="clear" w:color="auto" w:fill="CCEEFF"/>
          </w:tcPr>
          <w:p>
            <w:pPr>
              <w:spacing w:after="0"/>
              <w:rPr>
                <w:sz w:val="11"/>
                <w:szCs w:val="11"/>
                <w:color w:val="auto"/>
              </w:rPr>
            </w:pPr>
          </w:p>
        </w:tc>
        <w:tc>
          <w:tcPr>
            <w:tcW w:w="920" w:type="dxa"/>
            <w:vAlign w:val="bottom"/>
            <w:gridSpan w:val="2"/>
            <w:shd w:val="clear" w:color="auto" w:fill="CCEEFF"/>
          </w:tcPr>
          <w:p>
            <w:pPr>
              <w:ind w:left="620"/>
              <w:spacing w:after="0" w:line="130"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80" w:type="dxa"/>
            <w:vAlign w:val="bottom"/>
            <w:gridSpan w:val="2"/>
            <w:shd w:val="clear" w:color="auto" w:fill="CCEEFF"/>
          </w:tcPr>
          <w:p>
            <w:pPr>
              <w:jc w:val="right"/>
              <w:ind w:right="140"/>
              <w:spacing w:after="0" w:line="130" w:lineRule="exact"/>
              <w:rPr>
                <w:sz w:val="20"/>
                <w:szCs w:val="20"/>
                <w:color w:val="auto"/>
              </w:rPr>
            </w:pPr>
            <w:r>
              <w:rPr>
                <w:rFonts w:ascii="Arial" w:cs="Arial" w:eastAsia="Arial" w:hAnsi="Arial"/>
                <w:sz w:val="14"/>
                <w:szCs w:val="14"/>
                <w:color w:val="auto"/>
              </w:rPr>
              <w:t>701,911</w:t>
            </w:r>
          </w:p>
        </w:tc>
        <w:tc>
          <w:tcPr>
            <w:tcW w:w="0" w:type="dxa"/>
            <w:vAlign w:val="bottom"/>
          </w:tcPr>
          <w:p>
            <w:pPr>
              <w:spacing w:after="0"/>
              <w:rPr>
                <w:sz w:val="1"/>
                <w:szCs w:val="1"/>
                <w:color w:val="auto"/>
              </w:rPr>
            </w:pPr>
          </w:p>
        </w:tc>
      </w:tr>
      <w:tr>
        <w:trPr>
          <w:trHeight w:val="167"/>
        </w:trPr>
        <w:tc>
          <w:tcPr>
            <w:tcW w:w="4560" w:type="dxa"/>
            <w:vAlign w:val="bottom"/>
            <w:shd w:val="clear" w:color="auto" w:fill="CCEEFF"/>
          </w:tcPr>
          <w:p>
            <w:pPr>
              <w:ind w:left="160"/>
              <w:spacing w:after="0"/>
              <w:rPr>
                <w:sz w:val="20"/>
                <w:szCs w:val="20"/>
                <w:color w:val="auto"/>
              </w:rPr>
            </w:pPr>
            <w:r>
              <w:rPr>
                <w:rFonts w:ascii="Arial" w:cs="Arial" w:eastAsia="Arial" w:hAnsi="Arial"/>
                <w:sz w:val="14"/>
                <w:szCs w:val="14"/>
                <w:color w:val="auto"/>
              </w:rPr>
              <w:t>(Convergint Technologies LLC)</w:t>
            </w:r>
          </w:p>
        </w:tc>
        <w:tc>
          <w:tcPr>
            <w:tcW w:w="740" w:type="dxa"/>
            <w:vAlign w:val="bottom"/>
            <w:shd w:val="clear" w:color="auto" w:fill="CCEEFF"/>
          </w:tcPr>
          <w:p>
            <w:pPr>
              <w:spacing w:after="0"/>
              <w:rPr>
                <w:sz w:val="14"/>
                <w:szCs w:val="14"/>
                <w:color w:val="auto"/>
              </w:rPr>
            </w:pPr>
          </w:p>
        </w:tc>
        <w:tc>
          <w:tcPr>
            <w:tcW w:w="138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4560" w:type="dxa"/>
            <w:vAlign w:val="bottom"/>
          </w:tcPr>
          <w:p>
            <w:pPr>
              <w:spacing w:after="0" w:line="149" w:lineRule="exact"/>
              <w:rPr>
                <w:sz w:val="20"/>
                <w:szCs w:val="20"/>
                <w:color w:val="auto"/>
              </w:rPr>
            </w:pPr>
            <w:r>
              <w:rPr>
                <w:rFonts w:ascii="Arial" w:cs="Arial" w:eastAsia="Arial" w:hAnsi="Arial"/>
                <w:sz w:val="14"/>
                <w:szCs w:val="14"/>
                <w:color w:val="auto"/>
              </w:rPr>
              <w:t>CT Technologies Holdings, LLC</w:t>
            </w:r>
          </w:p>
        </w:tc>
        <w:tc>
          <w:tcPr>
            <w:tcW w:w="740" w:type="dxa"/>
            <w:vAlign w:val="bottom"/>
          </w:tcPr>
          <w:p>
            <w:pPr>
              <w:ind w:left="260"/>
              <w:spacing w:after="0" w:line="149" w:lineRule="exact"/>
              <w:rPr>
                <w:sz w:val="20"/>
                <w:szCs w:val="20"/>
                <w:color w:val="auto"/>
              </w:rPr>
            </w:pPr>
            <w:r>
              <w:rPr>
                <w:rFonts w:ascii="Arial" w:cs="Arial" w:eastAsia="Arial" w:hAnsi="Arial"/>
                <w:sz w:val="14"/>
                <w:szCs w:val="14"/>
                <w:color w:val="auto"/>
              </w:rPr>
              <w:t>—</w:t>
            </w:r>
          </w:p>
        </w:tc>
        <w:tc>
          <w:tcPr>
            <w:tcW w:w="1380" w:type="dxa"/>
            <w:vAlign w:val="bottom"/>
          </w:tcPr>
          <w:p>
            <w:pPr>
              <w:jc w:val="center"/>
              <w:spacing w:after="0" w:line="149" w:lineRule="exact"/>
              <w:rPr>
                <w:sz w:val="20"/>
                <w:szCs w:val="20"/>
                <w:color w:val="auto"/>
              </w:rPr>
            </w:pPr>
            <w:r>
              <w:rPr>
                <w:rFonts w:ascii="Arial" w:cs="Arial" w:eastAsia="Arial" w:hAnsi="Arial"/>
                <w:sz w:val="14"/>
                <w:szCs w:val="14"/>
                <w:color w:val="auto"/>
                <w:w w:val="90"/>
              </w:rPr>
              <w:t>Business Services</w:t>
            </w:r>
          </w:p>
        </w:tc>
        <w:tc>
          <w:tcPr>
            <w:tcW w:w="640" w:type="dxa"/>
            <w:vAlign w:val="bottom"/>
          </w:tcPr>
          <w:p>
            <w:pPr>
              <w:ind w:left="340"/>
              <w:spacing w:after="0" w:line="149" w:lineRule="exact"/>
              <w:rPr>
                <w:sz w:val="20"/>
                <w:szCs w:val="20"/>
                <w:color w:val="auto"/>
              </w:rPr>
            </w:pPr>
            <w:r>
              <w:rPr>
                <w:rFonts w:ascii="Arial" w:cs="Arial" w:eastAsia="Arial" w:hAnsi="Arial"/>
                <w:sz w:val="14"/>
                <w:szCs w:val="14"/>
                <w:color w:val="auto"/>
              </w:rPr>
              <w:t>—</w:t>
            </w:r>
          </w:p>
        </w:tc>
        <w:tc>
          <w:tcPr>
            <w:tcW w:w="900" w:type="dxa"/>
            <w:vAlign w:val="bottom"/>
          </w:tcPr>
          <w:p>
            <w:pPr>
              <w:ind w:left="580"/>
              <w:spacing w:after="0" w:line="149" w:lineRule="exact"/>
              <w:rPr>
                <w:sz w:val="20"/>
                <w:szCs w:val="20"/>
                <w:color w:val="auto"/>
              </w:rPr>
            </w:pPr>
            <w:r>
              <w:rPr>
                <w:rFonts w:ascii="Arial" w:cs="Arial" w:eastAsia="Arial" w:hAnsi="Arial"/>
                <w:sz w:val="14"/>
                <w:szCs w:val="14"/>
                <w:color w:val="auto"/>
              </w:rPr>
              <w:t>—</w:t>
            </w:r>
          </w:p>
        </w:tc>
        <w:tc>
          <w:tcPr>
            <w:tcW w:w="860" w:type="dxa"/>
            <w:vAlign w:val="bottom"/>
          </w:tcPr>
          <w:p>
            <w:pPr>
              <w:jc w:val="right"/>
              <w:ind w:right="108"/>
              <w:spacing w:after="0" w:line="149" w:lineRule="exact"/>
              <w:rPr>
                <w:sz w:val="20"/>
                <w:szCs w:val="20"/>
                <w:color w:val="auto"/>
              </w:rPr>
            </w:pPr>
            <w:r>
              <w:rPr>
                <w:rFonts w:ascii="Arial" w:cs="Arial" w:eastAsia="Arial" w:hAnsi="Arial"/>
                <w:sz w:val="14"/>
                <w:szCs w:val="14"/>
                <w:color w:val="auto"/>
              </w:rPr>
              <w:t>5,556</w:t>
            </w:r>
          </w:p>
        </w:tc>
        <w:tc>
          <w:tcPr>
            <w:tcW w:w="80" w:type="dxa"/>
            <w:vAlign w:val="bottom"/>
          </w:tcPr>
          <w:p>
            <w:pPr>
              <w:spacing w:after="0"/>
              <w:rPr>
                <w:sz w:val="12"/>
                <w:szCs w:val="12"/>
                <w:color w:val="auto"/>
              </w:rPr>
            </w:pPr>
          </w:p>
        </w:tc>
        <w:tc>
          <w:tcPr>
            <w:tcW w:w="9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545,887</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5,048,020</w:t>
            </w:r>
          </w:p>
        </w:tc>
        <w:tc>
          <w:tcPr>
            <w:tcW w:w="0" w:type="dxa"/>
            <w:vAlign w:val="bottom"/>
          </w:tcPr>
          <w:p>
            <w:pPr>
              <w:spacing w:after="0"/>
              <w:rPr>
                <w:sz w:val="1"/>
                <w:szCs w:val="1"/>
                <w:color w:val="auto"/>
              </w:rPr>
            </w:pPr>
          </w:p>
        </w:tc>
      </w:tr>
      <w:tr>
        <w:trPr>
          <w:trHeight w:val="148"/>
        </w:trPr>
        <w:tc>
          <w:tcPr>
            <w:tcW w:w="45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HW Topco, Inc.</w:t>
            </w:r>
          </w:p>
        </w:tc>
        <w:tc>
          <w:tcPr>
            <w:tcW w:w="740" w:type="dxa"/>
            <w:vAlign w:val="bottom"/>
            <w:shd w:val="clear" w:color="auto" w:fill="CCEEFF"/>
          </w:tcPr>
          <w:p>
            <w:pPr>
              <w:ind w:left="260"/>
              <w:spacing w:after="0" w:line="149" w:lineRule="exact"/>
              <w:rPr>
                <w:sz w:val="20"/>
                <w:szCs w:val="20"/>
                <w:color w:val="auto"/>
              </w:rPr>
            </w:pPr>
            <w:r>
              <w:rPr>
                <w:rFonts w:ascii="Arial" w:cs="Arial" w:eastAsia="Arial" w:hAnsi="Arial"/>
                <w:sz w:val="14"/>
                <w:szCs w:val="14"/>
                <w:color w:val="auto"/>
              </w:rPr>
              <w:t>—</w:t>
            </w:r>
          </w:p>
        </w:tc>
        <w:tc>
          <w:tcPr>
            <w:tcW w:w="138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6"/>
              </w:rPr>
              <w:t>Other Media</w:t>
            </w:r>
          </w:p>
        </w:tc>
        <w:tc>
          <w:tcPr>
            <w:tcW w:w="640" w:type="dxa"/>
            <w:vAlign w:val="bottom"/>
            <w:shd w:val="clear" w:color="auto" w:fill="CCEEFF"/>
          </w:tcPr>
          <w:p>
            <w:pPr>
              <w:ind w:left="340"/>
              <w:spacing w:after="0" w:line="149" w:lineRule="exact"/>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ind w:left="580"/>
              <w:spacing w:after="0" w:line="149" w:lineRule="exact"/>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ind w:right="108"/>
              <w:spacing w:after="0" w:line="149" w:lineRule="exact"/>
              <w:rPr>
                <w:sz w:val="20"/>
                <w:szCs w:val="20"/>
                <w:color w:val="auto"/>
              </w:rPr>
            </w:pPr>
            <w:r>
              <w:rPr>
                <w:rFonts w:ascii="Arial" w:cs="Arial" w:eastAsia="Arial" w:hAnsi="Arial"/>
                <w:sz w:val="14"/>
                <w:szCs w:val="14"/>
                <w:color w:val="auto"/>
              </w:rPr>
              <w:t>386,770</w:t>
            </w:r>
          </w:p>
        </w:tc>
        <w:tc>
          <w:tcPr>
            <w:tcW w:w="8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2,697,834</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3,524,036</w:t>
            </w:r>
          </w:p>
        </w:tc>
        <w:tc>
          <w:tcPr>
            <w:tcW w:w="0" w:type="dxa"/>
            <w:vAlign w:val="bottom"/>
          </w:tcPr>
          <w:p>
            <w:pPr>
              <w:spacing w:after="0"/>
              <w:rPr>
                <w:sz w:val="1"/>
                <w:szCs w:val="1"/>
                <w:color w:val="auto"/>
              </w:rPr>
            </w:pPr>
          </w:p>
        </w:tc>
      </w:tr>
      <w:tr>
        <w:trPr>
          <w:trHeight w:val="130"/>
        </w:trPr>
        <w:tc>
          <w:tcPr>
            <w:tcW w:w="4560" w:type="dxa"/>
            <w:vAlign w:val="bottom"/>
          </w:tcPr>
          <w:p>
            <w:pPr>
              <w:spacing w:after="0" w:line="130" w:lineRule="exact"/>
              <w:rPr>
                <w:sz w:val="20"/>
                <w:szCs w:val="20"/>
                <w:color w:val="auto"/>
              </w:rPr>
            </w:pPr>
            <w:r>
              <w:rPr>
                <w:rFonts w:ascii="Arial" w:cs="Arial" w:eastAsia="Arial" w:hAnsi="Arial"/>
                <w:sz w:val="14"/>
                <w:szCs w:val="14"/>
                <w:color w:val="auto"/>
              </w:rPr>
              <w:t>Kadmon Holdings, LLC, Class A</w:t>
            </w:r>
          </w:p>
        </w:tc>
        <w:tc>
          <w:tcPr>
            <w:tcW w:w="740" w:type="dxa"/>
            <w:vAlign w:val="bottom"/>
          </w:tcPr>
          <w:p>
            <w:pPr>
              <w:ind w:left="260"/>
              <w:spacing w:after="0" w:line="130" w:lineRule="exact"/>
              <w:rPr>
                <w:sz w:val="20"/>
                <w:szCs w:val="20"/>
                <w:color w:val="auto"/>
              </w:rPr>
            </w:pPr>
            <w:r>
              <w:rPr>
                <w:rFonts w:ascii="Arial" w:cs="Arial" w:eastAsia="Arial" w:hAnsi="Arial"/>
                <w:sz w:val="14"/>
                <w:szCs w:val="14"/>
                <w:color w:val="auto"/>
              </w:rPr>
              <w:t>—</w:t>
            </w:r>
          </w:p>
        </w:tc>
        <w:tc>
          <w:tcPr>
            <w:tcW w:w="1380" w:type="dxa"/>
            <w:vAlign w:val="bottom"/>
          </w:tcPr>
          <w:p>
            <w:pPr>
              <w:jc w:val="center"/>
              <w:spacing w:after="0" w:line="130" w:lineRule="exact"/>
              <w:rPr>
                <w:sz w:val="20"/>
                <w:szCs w:val="20"/>
                <w:color w:val="auto"/>
              </w:rPr>
            </w:pPr>
            <w:r>
              <w:rPr>
                <w:rFonts w:ascii="Arial" w:cs="Arial" w:eastAsia="Arial" w:hAnsi="Arial"/>
                <w:sz w:val="14"/>
                <w:szCs w:val="14"/>
                <w:color w:val="auto"/>
                <w:w w:val="92"/>
              </w:rPr>
              <w:t>Healthcare, Education</w:t>
            </w:r>
          </w:p>
        </w:tc>
        <w:tc>
          <w:tcPr>
            <w:tcW w:w="640" w:type="dxa"/>
            <w:vAlign w:val="bottom"/>
          </w:tcPr>
          <w:p>
            <w:pPr>
              <w:ind w:left="340"/>
              <w:spacing w:after="0" w:line="130" w:lineRule="exact"/>
              <w:rPr>
                <w:sz w:val="20"/>
                <w:szCs w:val="20"/>
                <w:color w:val="auto"/>
              </w:rPr>
            </w:pPr>
            <w:r>
              <w:rPr>
                <w:rFonts w:ascii="Arial" w:cs="Arial" w:eastAsia="Arial" w:hAnsi="Arial"/>
                <w:sz w:val="14"/>
                <w:szCs w:val="14"/>
                <w:color w:val="auto"/>
              </w:rPr>
              <w:t>—</w:t>
            </w:r>
          </w:p>
        </w:tc>
        <w:tc>
          <w:tcPr>
            <w:tcW w:w="900" w:type="dxa"/>
            <w:vAlign w:val="bottom"/>
          </w:tcPr>
          <w:p>
            <w:pPr>
              <w:ind w:left="580"/>
              <w:spacing w:after="0" w:line="130" w:lineRule="exact"/>
              <w:rPr>
                <w:sz w:val="20"/>
                <w:szCs w:val="20"/>
                <w:color w:val="auto"/>
              </w:rPr>
            </w:pPr>
            <w:r>
              <w:rPr>
                <w:rFonts w:ascii="Arial" w:cs="Arial" w:eastAsia="Arial" w:hAnsi="Arial"/>
                <w:sz w:val="14"/>
                <w:szCs w:val="14"/>
                <w:color w:val="auto"/>
              </w:rPr>
              <w:t>—</w:t>
            </w:r>
          </w:p>
        </w:tc>
        <w:tc>
          <w:tcPr>
            <w:tcW w:w="860" w:type="dxa"/>
            <w:vAlign w:val="bottom"/>
          </w:tcPr>
          <w:p>
            <w:pPr>
              <w:jc w:val="right"/>
              <w:ind w:right="108"/>
              <w:spacing w:after="0" w:line="130" w:lineRule="exact"/>
              <w:rPr>
                <w:sz w:val="20"/>
                <w:szCs w:val="20"/>
                <w:color w:val="auto"/>
              </w:rPr>
            </w:pPr>
            <w:r>
              <w:rPr>
                <w:rFonts w:ascii="Arial" w:cs="Arial" w:eastAsia="Arial" w:hAnsi="Arial"/>
                <w:sz w:val="14"/>
                <w:szCs w:val="14"/>
                <w:color w:val="auto"/>
              </w:rPr>
              <w:t>1,079,920</w:t>
            </w:r>
          </w:p>
        </w:tc>
        <w:tc>
          <w:tcPr>
            <w:tcW w:w="80" w:type="dxa"/>
            <w:vAlign w:val="bottom"/>
          </w:tcPr>
          <w:p>
            <w:pPr>
              <w:spacing w:after="0"/>
              <w:rPr>
                <w:sz w:val="11"/>
                <w:szCs w:val="11"/>
                <w:color w:val="auto"/>
              </w:rPr>
            </w:pPr>
          </w:p>
        </w:tc>
        <w:tc>
          <w:tcPr>
            <w:tcW w:w="920" w:type="dxa"/>
            <w:vAlign w:val="bottom"/>
            <w:gridSpan w:val="2"/>
          </w:tcPr>
          <w:p>
            <w:pPr>
              <w:jc w:val="right"/>
              <w:ind w:right="80"/>
              <w:spacing w:after="0" w:line="130" w:lineRule="exact"/>
              <w:rPr>
                <w:sz w:val="20"/>
                <w:szCs w:val="20"/>
                <w:color w:val="auto"/>
              </w:rPr>
            </w:pPr>
            <w:r>
              <w:rPr>
                <w:rFonts w:ascii="Arial" w:cs="Arial" w:eastAsia="Arial" w:hAnsi="Arial"/>
                <w:sz w:val="14"/>
                <w:szCs w:val="14"/>
                <w:color w:val="auto"/>
              </w:rPr>
              <w:t>1,236,832</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80" w:type="dxa"/>
            <w:vAlign w:val="bottom"/>
            <w:gridSpan w:val="2"/>
          </w:tcPr>
          <w:p>
            <w:pPr>
              <w:jc w:val="right"/>
              <w:ind w:right="140"/>
              <w:spacing w:after="0" w:line="130" w:lineRule="exact"/>
              <w:rPr>
                <w:sz w:val="20"/>
                <w:szCs w:val="20"/>
                <w:color w:val="auto"/>
              </w:rPr>
            </w:pPr>
            <w:r>
              <w:rPr>
                <w:rFonts w:ascii="Arial" w:cs="Arial" w:eastAsia="Arial" w:hAnsi="Arial"/>
                <w:sz w:val="14"/>
                <w:szCs w:val="14"/>
                <w:color w:val="auto"/>
              </w:rPr>
              <w:t>8,935,569</w:t>
            </w:r>
          </w:p>
        </w:tc>
        <w:tc>
          <w:tcPr>
            <w:tcW w:w="0" w:type="dxa"/>
            <w:vAlign w:val="bottom"/>
          </w:tcPr>
          <w:p>
            <w:pPr>
              <w:spacing w:after="0"/>
              <w:rPr>
                <w:sz w:val="1"/>
                <w:szCs w:val="1"/>
                <w:color w:val="auto"/>
              </w:rPr>
            </w:pPr>
          </w:p>
        </w:tc>
      </w:tr>
      <w:tr>
        <w:trPr>
          <w:trHeight w:val="167"/>
        </w:trPr>
        <w:tc>
          <w:tcPr>
            <w:tcW w:w="45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380" w:type="dxa"/>
            <w:vAlign w:val="bottom"/>
          </w:tcPr>
          <w:p>
            <w:pPr>
              <w:jc w:val="center"/>
              <w:spacing w:after="0"/>
              <w:rPr>
                <w:sz w:val="20"/>
                <w:szCs w:val="20"/>
                <w:color w:val="auto"/>
              </w:rPr>
            </w:pPr>
            <w:r>
              <w:rPr>
                <w:rFonts w:ascii="Arial" w:cs="Arial" w:eastAsia="Arial" w:hAnsi="Arial"/>
                <w:sz w:val="14"/>
                <w:szCs w:val="14"/>
                <w:color w:val="auto"/>
                <w:w w:val="92"/>
              </w:rPr>
              <w:t>and Childcare</w:t>
            </w:r>
          </w:p>
        </w:tc>
        <w:tc>
          <w:tcPr>
            <w:tcW w:w="6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456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Kadmon Holdings, LLC, Class D</w:t>
            </w:r>
          </w:p>
        </w:tc>
        <w:tc>
          <w:tcPr>
            <w:tcW w:w="740" w:type="dxa"/>
            <w:vAlign w:val="bottom"/>
            <w:shd w:val="clear" w:color="auto" w:fill="CCEEFF"/>
          </w:tcPr>
          <w:p>
            <w:pPr>
              <w:ind w:left="260"/>
              <w:spacing w:after="0" w:line="130" w:lineRule="exact"/>
              <w:rPr>
                <w:sz w:val="20"/>
                <w:szCs w:val="20"/>
                <w:color w:val="auto"/>
              </w:rPr>
            </w:pPr>
            <w:r>
              <w:rPr>
                <w:rFonts w:ascii="Arial" w:cs="Arial" w:eastAsia="Arial" w:hAnsi="Arial"/>
                <w:sz w:val="14"/>
                <w:szCs w:val="14"/>
                <w:color w:val="auto"/>
              </w:rPr>
              <w:t>—</w:t>
            </w:r>
          </w:p>
        </w:tc>
        <w:tc>
          <w:tcPr>
            <w:tcW w:w="1380" w:type="dxa"/>
            <w:vAlign w:val="bottom"/>
            <w:shd w:val="clear" w:color="auto" w:fill="CCEEFF"/>
          </w:tcPr>
          <w:p>
            <w:pPr>
              <w:jc w:val="center"/>
              <w:spacing w:after="0" w:line="130" w:lineRule="exact"/>
              <w:rPr>
                <w:sz w:val="20"/>
                <w:szCs w:val="20"/>
                <w:color w:val="auto"/>
              </w:rPr>
            </w:pPr>
            <w:r>
              <w:rPr>
                <w:rFonts w:ascii="Arial" w:cs="Arial" w:eastAsia="Arial" w:hAnsi="Arial"/>
                <w:sz w:val="14"/>
                <w:szCs w:val="14"/>
                <w:color w:val="auto"/>
                <w:w w:val="92"/>
              </w:rPr>
              <w:t>Healthcare, Education</w:t>
            </w:r>
          </w:p>
        </w:tc>
        <w:tc>
          <w:tcPr>
            <w:tcW w:w="640" w:type="dxa"/>
            <w:vAlign w:val="bottom"/>
            <w:shd w:val="clear" w:color="auto" w:fill="CCEEFF"/>
          </w:tcPr>
          <w:p>
            <w:pPr>
              <w:ind w:left="340"/>
              <w:spacing w:after="0" w:line="130" w:lineRule="exact"/>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ind w:left="580"/>
              <w:spacing w:after="0" w:line="130" w:lineRule="exact"/>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ind w:right="108"/>
              <w:spacing w:after="0" w:line="130" w:lineRule="exact"/>
              <w:rPr>
                <w:sz w:val="20"/>
                <w:szCs w:val="20"/>
                <w:color w:val="auto"/>
              </w:rPr>
            </w:pPr>
            <w:r>
              <w:rPr>
                <w:rFonts w:ascii="Arial" w:cs="Arial" w:eastAsia="Arial" w:hAnsi="Arial"/>
                <w:sz w:val="14"/>
                <w:szCs w:val="14"/>
                <w:color w:val="auto"/>
              </w:rPr>
              <w:t>1,079,920</w:t>
            </w:r>
          </w:p>
        </w:tc>
        <w:tc>
          <w:tcPr>
            <w:tcW w:w="80" w:type="dxa"/>
            <w:vAlign w:val="bottom"/>
            <w:shd w:val="clear" w:color="auto" w:fill="CCEEFF"/>
          </w:tcPr>
          <w:p>
            <w:pPr>
              <w:spacing w:after="0"/>
              <w:rPr>
                <w:sz w:val="11"/>
                <w:szCs w:val="11"/>
                <w:color w:val="auto"/>
              </w:rPr>
            </w:pPr>
          </w:p>
        </w:tc>
        <w:tc>
          <w:tcPr>
            <w:tcW w:w="920" w:type="dxa"/>
            <w:vAlign w:val="bottom"/>
            <w:gridSpan w:val="2"/>
            <w:shd w:val="clear" w:color="auto" w:fill="CCEEFF"/>
          </w:tcPr>
          <w:p>
            <w:pPr>
              <w:jc w:val="right"/>
              <w:ind w:right="80"/>
              <w:spacing w:after="0" w:line="130" w:lineRule="exact"/>
              <w:rPr>
                <w:sz w:val="20"/>
                <w:szCs w:val="20"/>
                <w:color w:val="auto"/>
              </w:rPr>
            </w:pPr>
            <w:r>
              <w:rPr>
                <w:rFonts w:ascii="Arial" w:cs="Arial" w:eastAsia="Arial" w:hAnsi="Arial"/>
                <w:sz w:val="14"/>
                <w:szCs w:val="14"/>
                <w:color w:val="auto"/>
              </w:rPr>
              <w:t>1,028,807</w:t>
            </w: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80" w:type="dxa"/>
            <w:vAlign w:val="bottom"/>
            <w:gridSpan w:val="2"/>
            <w:shd w:val="clear" w:color="auto" w:fill="CCEEFF"/>
          </w:tcPr>
          <w:p>
            <w:pPr>
              <w:jc w:val="right"/>
              <w:ind w:right="140"/>
              <w:spacing w:after="0" w:line="130" w:lineRule="exact"/>
              <w:rPr>
                <w:sz w:val="20"/>
                <w:szCs w:val="20"/>
                <w:color w:val="auto"/>
              </w:rPr>
            </w:pPr>
            <w:r>
              <w:rPr>
                <w:rFonts w:ascii="Arial" w:cs="Arial" w:eastAsia="Arial" w:hAnsi="Arial"/>
                <w:sz w:val="14"/>
                <w:szCs w:val="14"/>
                <w:color w:val="auto"/>
              </w:rPr>
              <w:t>1,028,807</w:t>
            </w:r>
          </w:p>
        </w:tc>
        <w:tc>
          <w:tcPr>
            <w:tcW w:w="0" w:type="dxa"/>
            <w:vAlign w:val="bottom"/>
          </w:tcPr>
          <w:p>
            <w:pPr>
              <w:spacing w:after="0"/>
              <w:rPr>
                <w:sz w:val="1"/>
                <w:szCs w:val="1"/>
                <w:color w:val="auto"/>
              </w:rPr>
            </w:pPr>
          </w:p>
        </w:tc>
      </w:tr>
      <w:tr>
        <w:trPr>
          <w:trHeight w:val="167"/>
        </w:trPr>
        <w:tc>
          <w:tcPr>
            <w:tcW w:w="456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3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2"/>
              </w:rPr>
              <w:t>and Childcare</w:t>
            </w:r>
          </w:p>
        </w:tc>
        <w:tc>
          <w:tcPr>
            <w:tcW w:w="64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4560" w:type="dxa"/>
            <w:vAlign w:val="bottom"/>
          </w:tcPr>
          <w:p>
            <w:pPr>
              <w:spacing w:after="0" w:line="149" w:lineRule="exact"/>
              <w:rPr>
                <w:sz w:val="20"/>
                <w:szCs w:val="20"/>
                <w:color w:val="auto"/>
              </w:rPr>
            </w:pPr>
            <w:r>
              <w:rPr>
                <w:rFonts w:ascii="Arial" w:cs="Arial" w:eastAsia="Arial" w:hAnsi="Arial"/>
                <w:sz w:val="14"/>
                <w:szCs w:val="14"/>
                <w:color w:val="auto"/>
              </w:rPr>
              <w:t>Learning Care Group (US) Inc. (Warrants)</w:t>
            </w:r>
          </w:p>
        </w:tc>
        <w:tc>
          <w:tcPr>
            <w:tcW w:w="740" w:type="dxa"/>
            <w:vAlign w:val="bottom"/>
          </w:tcPr>
          <w:p>
            <w:pPr>
              <w:ind w:left="40"/>
              <w:spacing w:after="0" w:line="149" w:lineRule="exact"/>
              <w:rPr>
                <w:sz w:val="20"/>
                <w:szCs w:val="20"/>
                <w:color w:val="auto"/>
              </w:rPr>
            </w:pPr>
            <w:r>
              <w:rPr>
                <w:rFonts w:ascii="Arial" w:cs="Arial" w:eastAsia="Arial" w:hAnsi="Arial"/>
                <w:sz w:val="14"/>
                <w:szCs w:val="14"/>
                <w:color w:val="auto"/>
                <w:w w:val="96"/>
              </w:rPr>
              <w:t>04/27/2020</w:t>
            </w:r>
          </w:p>
        </w:tc>
        <w:tc>
          <w:tcPr>
            <w:tcW w:w="1380" w:type="dxa"/>
            <w:vAlign w:val="bottom"/>
          </w:tcPr>
          <w:p>
            <w:pPr>
              <w:jc w:val="center"/>
              <w:spacing w:after="0" w:line="149" w:lineRule="exact"/>
              <w:rPr>
                <w:sz w:val="20"/>
                <w:szCs w:val="20"/>
                <w:color w:val="auto"/>
              </w:rPr>
            </w:pPr>
            <w:r>
              <w:rPr>
                <w:rFonts w:ascii="Arial" w:cs="Arial" w:eastAsia="Arial" w:hAnsi="Arial"/>
                <w:sz w:val="14"/>
                <w:szCs w:val="14"/>
                <w:color w:val="auto"/>
                <w:w w:val="93"/>
              </w:rPr>
              <w:t>Education</w:t>
            </w:r>
          </w:p>
        </w:tc>
        <w:tc>
          <w:tcPr>
            <w:tcW w:w="640" w:type="dxa"/>
            <w:vAlign w:val="bottom"/>
          </w:tcPr>
          <w:p>
            <w:pPr>
              <w:ind w:left="340"/>
              <w:spacing w:after="0" w:line="149" w:lineRule="exact"/>
              <w:rPr>
                <w:sz w:val="20"/>
                <w:szCs w:val="20"/>
                <w:color w:val="auto"/>
              </w:rPr>
            </w:pPr>
            <w:r>
              <w:rPr>
                <w:rFonts w:ascii="Arial" w:cs="Arial" w:eastAsia="Arial" w:hAnsi="Arial"/>
                <w:sz w:val="14"/>
                <w:szCs w:val="14"/>
                <w:color w:val="auto"/>
              </w:rPr>
              <w:t>—</w:t>
            </w:r>
          </w:p>
        </w:tc>
        <w:tc>
          <w:tcPr>
            <w:tcW w:w="900" w:type="dxa"/>
            <w:vAlign w:val="bottom"/>
          </w:tcPr>
          <w:p>
            <w:pPr>
              <w:ind w:left="580"/>
              <w:spacing w:after="0" w:line="149" w:lineRule="exact"/>
              <w:rPr>
                <w:sz w:val="20"/>
                <w:szCs w:val="20"/>
                <w:color w:val="auto"/>
              </w:rPr>
            </w:pPr>
            <w:r>
              <w:rPr>
                <w:rFonts w:ascii="Arial" w:cs="Arial" w:eastAsia="Arial" w:hAnsi="Arial"/>
                <w:sz w:val="14"/>
                <w:szCs w:val="14"/>
                <w:color w:val="auto"/>
              </w:rPr>
              <w:t>—</w:t>
            </w:r>
          </w:p>
        </w:tc>
        <w:tc>
          <w:tcPr>
            <w:tcW w:w="860" w:type="dxa"/>
            <w:vAlign w:val="bottom"/>
          </w:tcPr>
          <w:p>
            <w:pPr>
              <w:jc w:val="right"/>
              <w:ind w:right="108"/>
              <w:spacing w:after="0" w:line="149" w:lineRule="exact"/>
              <w:rPr>
                <w:sz w:val="20"/>
                <w:szCs w:val="20"/>
                <w:color w:val="auto"/>
              </w:rPr>
            </w:pPr>
            <w:r>
              <w:rPr>
                <w:rFonts w:ascii="Arial" w:cs="Arial" w:eastAsia="Arial" w:hAnsi="Arial"/>
                <w:sz w:val="14"/>
                <w:szCs w:val="14"/>
                <w:color w:val="auto"/>
              </w:rPr>
              <w:t>6,649</w:t>
            </w:r>
          </w:p>
        </w:tc>
        <w:tc>
          <w:tcPr>
            <w:tcW w:w="80" w:type="dxa"/>
            <w:vAlign w:val="bottom"/>
          </w:tcPr>
          <w:p>
            <w:pPr>
              <w:spacing w:after="0"/>
              <w:rPr>
                <w:sz w:val="12"/>
                <w:szCs w:val="12"/>
                <w:color w:val="auto"/>
              </w:rPr>
            </w:pPr>
          </w:p>
        </w:tc>
        <w:tc>
          <w:tcPr>
            <w:tcW w:w="9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779,920</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4,653,477</w:t>
            </w:r>
          </w:p>
        </w:tc>
        <w:tc>
          <w:tcPr>
            <w:tcW w:w="0" w:type="dxa"/>
            <w:vAlign w:val="bottom"/>
          </w:tcPr>
          <w:p>
            <w:pPr>
              <w:spacing w:after="0"/>
              <w:rPr>
                <w:sz w:val="1"/>
                <w:szCs w:val="1"/>
                <w:color w:val="auto"/>
              </w:rPr>
            </w:pPr>
          </w:p>
        </w:tc>
      </w:tr>
      <w:tr>
        <w:trPr>
          <w:trHeight w:val="130"/>
        </w:trPr>
        <w:tc>
          <w:tcPr>
            <w:tcW w:w="456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Magnum Hunter Resources Corporation</w:t>
            </w:r>
          </w:p>
        </w:tc>
        <w:tc>
          <w:tcPr>
            <w:tcW w:w="740" w:type="dxa"/>
            <w:vAlign w:val="bottom"/>
            <w:shd w:val="clear" w:color="auto" w:fill="CCEEFF"/>
          </w:tcPr>
          <w:p>
            <w:pPr>
              <w:ind w:left="260"/>
              <w:spacing w:after="0" w:line="130" w:lineRule="exact"/>
              <w:rPr>
                <w:sz w:val="20"/>
                <w:szCs w:val="20"/>
                <w:color w:val="auto"/>
              </w:rPr>
            </w:pPr>
            <w:r>
              <w:rPr>
                <w:rFonts w:ascii="Arial" w:cs="Arial" w:eastAsia="Arial" w:hAnsi="Arial"/>
                <w:sz w:val="14"/>
                <w:szCs w:val="14"/>
                <w:color w:val="auto"/>
              </w:rPr>
              <w:t>—</w:t>
            </w:r>
          </w:p>
        </w:tc>
        <w:tc>
          <w:tcPr>
            <w:tcW w:w="1380" w:type="dxa"/>
            <w:vAlign w:val="bottom"/>
            <w:shd w:val="clear" w:color="auto" w:fill="CCEEFF"/>
          </w:tcPr>
          <w:p>
            <w:pPr>
              <w:jc w:val="center"/>
              <w:spacing w:after="0" w:line="130" w:lineRule="exact"/>
              <w:rPr>
                <w:sz w:val="20"/>
                <w:szCs w:val="20"/>
                <w:color w:val="auto"/>
              </w:rPr>
            </w:pPr>
            <w:r>
              <w:rPr>
                <w:rFonts w:ascii="Arial" w:cs="Arial" w:eastAsia="Arial" w:hAnsi="Arial"/>
                <w:sz w:val="14"/>
                <w:szCs w:val="14"/>
                <w:color w:val="auto"/>
                <w:w w:val="91"/>
              </w:rPr>
              <w:t>Oil and Gas</w:t>
            </w:r>
          </w:p>
        </w:tc>
        <w:tc>
          <w:tcPr>
            <w:tcW w:w="640" w:type="dxa"/>
            <w:vAlign w:val="bottom"/>
            <w:shd w:val="clear" w:color="auto" w:fill="CCEEFF"/>
          </w:tcPr>
          <w:p>
            <w:pPr>
              <w:ind w:left="340"/>
              <w:spacing w:after="0" w:line="130" w:lineRule="exact"/>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ind w:left="580"/>
              <w:spacing w:after="0" w:line="130" w:lineRule="exact"/>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ind w:right="108"/>
              <w:spacing w:after="0" w:line="130" w:lineRule="exact"/>
              <w:rPr>
                <w:sz w:val="20"/>
                <w:szCs w:val="20"/>
                <w:color w:val="auto"/>
              </w:rPr>
            </w:pPr>
            <w:r>
              <w:rPr>
                <w:rFonts w:ascii="Arial" w:cs="Arial" w:eastAsia="Arial" w:hAnsi="Arial"/>
                <w:sz w:val="14"/>
                <w:szCs w:val="14"/>
                <w:color w:val="auto"/>
              </w:rPr>
              <w:t>1,221,932</w:t>
            </w:r>
          </w:p>
        </w:tc>
        <w:tc>
          <w:tcPr>
            <w:tcW w:w="80" w:type="dxa"/>
            <w:vAlign w:val="bottom"/>
            <w:shd w:val="clear" w:color="auto" w:fill="CCEEFF"/>
          </w:tcPr>
          <w:p>
            <w:pPr>
              <w:spacing w:after="0"/>
              <w:rPr>
                <w:sz w:val="11"/>
                <w:szCs w:val="11"/>
                <w:color w:val="auto"/>
              </w:rPr>
            </w:pPr>
          </w:p>
        </w:tc>
        <w:tc>
          <w:tcPr>
            <w:tcW w:w="920" w:type="dxa"/>
            <w:vAlign w:val="bottom"/>
            <w:gridSpan w:val="2"/>
            <w:shd w:val="clear" w:color="auto" w:fill="CCEEFF"/>
          </w:tcPr>
          <w:p>
            <w:pPr>
              <w:jc w:val="right"/>
              <w:ind w:right="80"/>
              <w:spacing w:after="0" w:line="130" w:lineRule="exact"/>
              <w:rPr>
                <w:sz w:val="20"/>
                <w:szCs w:val="20"/>
                <w:color w:val="auto"/>
              </w:rPr>
            </w:pPr>
            <w:r>
              <w:rPr>
                <w:rFonts w:ascii="Arial" w:cs="Arial" w:eastAsia="Arial" w:hAnsi="Arial"/>
                <w:sz w:val="14"/>
                <w:szCs w:val="14"/>
                <w:color w:val="auto"/>
              </w:rPr>
              <w:t>3,057,500</w:t>
            </w: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80" w:type="dxa"/>
            <w:vAlign w:val="bottom"/>
            <w:gridSpan w:val="2"/>
            <w:shd w:val="clear" w:color="auto" w:fill="CCEEFF"/>
          </w:tcPr>
          <w:p>
            <w:pPr>
              <w:jc w:val="right"/>
              <w:ind w:right="140"/>
              <w:spacing w:after="0" w:line="130" w:lineRule="exact"/>
              <w:rPr>
                <w:sz w:val="20"/>
                <w:szCs w:val="20"/>
                <w:color w:val="auto"/>
              </w:rPr>
            </w:pPr>
            <w:r>
              <w:rPr>
                <w:rFonts w:ascii="Arial" w:cs="Arial" w:eastAsia="Arial" w:hAnsi="Arial"/>
                <w:sz w:val="14"/>
                <w:szCs w:val="14"/>
                <w:color w:val="auto"/>
              </w:rPr>
              <w:t>8,932,323</w:t>
            </w:r>
          </w:p>
        </w:tc>
        <w:tc>
          <w:tcPr>
            <w:tcW w:w="0" w:type="dxa"/>
            <w:vAlign w:val="bottom"/>
          </w:tcPr>
          <w:p>
            <w:pPr>
              <w:spacing w:after="0"/>
              <w:rPr>
                <w:sz w:val="1"/>
                <w:szCs w:val="1"/>
                <w:color w:val="auto"/>
              </w:rPr>
            </w:pPr>
          </w:p>
        </w:tc>
      </w:tr>
      <w:tr>
        <w:trPr>
          <w:trHeight w:val="167"/>
        </w:trPr>
        <w:tc>
          <w:tcPr>
            <w:tcW w:w="4560" w:type="dxa"/>
            <w:vAlign w:val="bottom"/>
            <w:shd w:val="clear" w:color="auto" w:fill="CCEEFF"/>
          </w:tcPr>
          <w:p>
            <w:pPr>
              <w:ind w:left="160"/>
              <w:spacing w:after="0"/>
              <w:rPr>
                <w:sz w:val="20"/>
                <w:szCs w:val="20"/>
                <w:color w:val="auto"/>
              </w:rPr>
            </w:pPr>
            <w:r>
              <w:rPr>
                <w:rFonts w:ascii="Arial" w:cs="Arial" w:eastAsia="Arial" w:hAnsi="Arial"/>
                <w:sz w:val="14"/>
                <w:szCs w:val="14"/>
                <w:color w:val="auto"/>
              </w:rPr>
              <w:t>(Eureka Hunter Pipeline, LLC)</w:t>
            </w:r>
          </w:p>
        </w:tc>
        <w:tc>
          <w:tcPr>
            <w:tcW w:w="740" w:type="dxa"/>
            <w:vAlign w:val="bottom"/>
            <w:shd w:val="clear" w:color="auto" w:fill="CCEEFF"/>
          </w:tcPr>
          <w:p>
            <w:pPr>
              <w:spacing w:after="0"/>
              <w:rPr>
                <w:sz w:val="14"/>
                <w:szCs w:val="14"/>
                <w:color w:val="auto"/>
              </w:rPr>
            </w:pPr>
          </w:p>
        </w:tc>
        <w:tc>
          <w:tcPr>
            <w:tcW w:w="138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4560" w:type="dxa"/>
            <w:vAlign w:val="bottom"/>
          </w:tcPr>
          <w:p>
            <w:pPr>
              <w:spacing w:after="0" w:line="130" w:lineRule="exact"/>
              <w:rPr>
                <w:sz w:val="20"/>
                <w:szCs w:val="20"/>
                <w:color w:val="auto"/>
              </w:rPr>
            </w:pPr>
            <w:r>
              <w:rPr>
                <w:rFonts w:ascii="Arial" w:cs="Arial" w:eastAsia="Arial" w:hAnsi="Arial"/>
                <w:sz w:val="14"/>
                <w:szCs w:val="14"/>
                <w:color w:val="auto"/>
              </w:rPr>
              <w:t>Magnum Hunter Resources Corporation (Warrants)</w:t>
            </w:r>
          </w:p>
        </w:tc>
        <w:tc>
          <w:tcPr>
            <w:tcW w:w="740" w:type="dxa"/>
            <w:vAlign w:val="bottom"/>
          </w:tcPr>
          <w:p>
            <w:pPr>
              <w:ind w:left="40"/>
              <w:spacing w:after="0" w:line="130" w:lineRule="exact"/>
              <w:rPr>
                <w:sz w:val="20"/>
                <w:szCs w:val="20"/>
                <w:color w:val="auto"/>
              </w:rPr>
            </w:pPr>
            <w:r>
              <w:rPr>
                <w:rFonts w:ascii="Arial" w:cs="Arial" w:eastAsia="Arial" w:hAnsi="Arial"/>
                <w:sz w:val="14"/>
                <w:szCs w:val="14"/>
                <w:color w:val="auto"/>
                <w:w w:val="96"/>
              </w:rPr>
              <w:t>04/16/2016</w:t>
            </w:r>
          </w:p>
        </w:tc>
        <w:tc>
          <w:tcPr>
            <w:tcW w:w="1380" w:type="dxa"/>
            <w:vAlign w:val="bottom"/>
          </w:tcPr>
          <w:p>
            <w:pPr>
              <w:jc w:val="center"/>
              <w:spacing w:after="0" w:line="130" w:lineRule="exact"/>
              <w:rPr>
                <w:sz w:val="20"/>
                <w:szCs w:val="20"/>
                <w:color w:val="auto"/>
              </w:rPr>
            </w:pPr>
            <w:r>
              <w:rPr>
                <w:rFonts w:ascii="Arial" w:cs="Arial" w:eastAsia="Arial" w:hAnsi="Arial"/>
                <w:sz w:val="14"/>
                <w:szCs w:val="14"/>
                <w:color w:val="auto"/>
                <w:w w:val="91"/>
              </w:rPr>
              <w:t>Oil and Gas</w:t>
            </w:r>
          </w:p>
        </w:tc>
        <w:tc>
          <w:tcPr>
            <w:tcW w:w="640" w:type="dxa"/>
            <w:vAlign w:val="bottom"/>
          </w:tcPr>
          <w:p>
            <w:pPr>
              <w:ind w:left="340"/>
              <w:spacing w:after="0" w:line="130" w:lineRule="exact"/>
              <w:rPr>
                <w:sz w:val="20"/>
                <w:szCs w:val="20"/>
                <w:color w:val="auto"/>
              </w:rPr>
            </w:pPr>
            <w:r>
              <w:rPr>
                <w:rFonts w:ascii="Arial" w:cs="Arial" w:eastAsia="Arial" w:hAnsi="Arial"/>
                <w:sz w:val="14"/>
                <w:szCs w:val="14"/>
                <w:color w:val="auto"/>
              </w:rPr>
              <w:t>—</w:t>
            </w:r>
          </w:p>
        </w:tc>
        <w:tc>
          <w:tcPr>
            <w:tcW w:w="900" w:type="dxa"/>
            <w:vAlign w:val="bottom"/>
          </w:tcPr>
          <w:p>
            <w:pPr>
              <w:ind w:left="580"/>
              <w:spacing w:after="0" w:line="130" w:lineRule="exact"/>
              <w:rPr>
                <w:sz w:val="20"/>
                <w:szCs w:val="20"/>
                <w:color w:val="auto"/>
              </w:rPr>
            </w:pPr>
            <w:r>
              <w:rPr>
                <w:rFonts w:ascii="Arial" w:cs="Arial" w:eastAsia="Arial" w:hAnsi="Arial"/>
                <w:sz w:val="14"/>
                <w:szCs w:val="14"/>
                <w:color w:val="auto"/>
              </w:rPr>
              <w:t>—</w:t>
            </w:r>
          </w:p>
        </w:tc>
        <w:tc>
          <w:tcPr>
            <w:tcW w:w="860" w:type="dxa"/>
            <w:vAlign w:val="bottom"/>
          </w:tcPr>
          <w:p>
            <w:pPr>
              <w:jc w:val="right"/>
              <w:ind w:right="108"/>
              <w:spacing w:after="0" w:line="130" w:lineRule="exact"/>
              <w:rPr>
                <w:sz w:val="20"/>
                <w:szCs w:val="20"/>
                <w:color w:val="auto"/>
              </w:rPr>
            </w:pPr>
            <w:r>
              <w:rPr>
                <w:rFonts w:ascii="Arial" w:cs="Arial" w:eastAsia="Arial" w:hAnsi="Arial"/>
                <w:sz w:val="14"/>
                <w:szCs w:val="14"/>
                <w:color w:val="auto"/>
              </w:rPr>
              <w:t>122,193</w:t>
            </w:r>
          </w:p>
        </w:tc>
        <w:tc>
          <w:tcPr>
            <w:tcW w:w="80" w:type="dxa"/>
            <w:vAlign w:val="bottom"/>
          </w:tcPr>
          <w:p>
            <w:pPr>
              <w:spacing w:after="0"/>
              <w:rPr>
                <w:sz w:val="11"/>
                <w:szCs w:val="11"/>
                <w:color w:val="auto"/>
              </w:rPr>
            </w:pPr>
          </w:p>
        </w:tc>
        <w:tc>
          <w:tcPr>
            <w:tcW w:w="920" w:type="dxa"/>
            <w:vAlign w:val="bottom"/>
            <w:gridSpan w:val="2"/>
          </w:tcPr>
          <w:p>
            <w:pPr>
              <w:jc w:val="right"/>
              <w:ind w:right="80"/>
              <w:spacing w:after="0" w:line="130" w:lineRule="exact"/>
              <w:rPr>
                <w:sz w:val="20"/>
                <w:szCs w:val="20"/>
                <w:color w:val="auto"/>
              </w:rPr>
            </w:pPr>
            <w:r>
              <w:rPr>
                <w:rFonts w:ascii="Arial" w:cs="Arial" w:eastAsia="Arial" w:hAnsi="Arial"/>
                <w:sz w:val="14"/>
                <w:szCs w:val="14"/>
                <w:color w:val="auto"/>
              </w:rPr>
              <w:t>182,499</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80" w:type="dxa"/>
            <w:vAlign w:val="bottom"/>
            <w:gridSpan w:val="2"/>
          </w:tcPr>
          <w:p>
            <w:pPr>
              <w:jc w:val="right"/>
              <w:ind w:right="140"/>
              <w:spacing w:after="0" w:line="130" w:lineRule="exact"/>
              <w:rPr>
                <w:sz w:val="20"/>
                <w:szCs w:val="20"/>
                <w:color w:val="auto"/>
              </w:rPr>
            </w:pPr>
            <w:r>
              <w:rPr>
                <w:rFonts w:ascii="Arial" w:cs="Arial" w:eastAsia="Arial" w:hAnsi="Arial"/>
                <w:sz w:val="14"/>
                <w:szCs w:val="14"/>
                <w:color w:val="auto"/>
              </w:rPr>
              <w:t>272,259</w:t>
            </w:r>
          </w:p>
        </w:tc>
        <w:tc>
          <w:tcPr>
            <w:tcW w:w="0" w:type="dxa"/>
            <w:vAlign w:val="bottom"/>
          </w:tcPr>
          <w:p>
            <w:pPr>
              <w:spacing w:after="0"/>
              <w:rPr>
                <w:sz w:val="1"/>
                <w:szCs w:val="1"/>
                <w:color w:val="auto"/>
              </w:rPr>
            </w:pPr>
          </w:p>
        </w:tc>
      </w:tr>
      <w:tr>
        <w:trPr>
          <w:trHeight w:val="167"/>
        </w:trPr>
        <w:tc>
          <w:tcPr>
            <w:tcW w:w="4560" w:type="dxa"/>
            <w:vAlign w:val="bottom"/>
          </w:tcPr>
          <w:p>
            <w:pPr>
              <w:ind w:left="160"/>
              <w:spacing w:after="0"/>
              <w:rPr>
                <w:sz w:val="20"/>
                <w:szCs w:val="20"/>
                <w:color w:val="auto"/>
              </w:rPr>
            </w:pPr>
            <w:r>
              <w:rPr>
                <w:rFonts w:ascii="Arial" w:cs="Arial" w:eastAsia="Arial" w:hAnsi="Arial"/>
                <w:sz w:val="14"/>
                <w:szCs w:val="14"/>
                <w:color w:val="auto"/>
              </w:rPr>
              <w:t>(Eureka Hunter Pipeline, LLC)</w:t>
            </w:r>
          </w:p>
        </w:tc>
        <w:tc>
          <w:tcPr>
            <w:tcW w:w="74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456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MidOcean JF Holdings Corp.</w:t>
            </w:r>
          </w:p>
        </w:tc>
        <w:tc>
          <w:tcPr>
            <w:tcW w:w="740" w:type="dxa"/>
            <w:vAlign w:val="bottom"/>
            <w:shd w:val="clear" w:color="auto" w:fill="CCEEFF"/>
          </w:tcPr>
          <w:p>
            <w:pPr>
              <w:ind w:left="260"/>
              <w:spacing w:after="0" w:line="130" w:lineRule="exact"/>
              <w:rPr>
                <w:sz w:val="20"/>
                <w:szCs w:val="20"/>
                <w:color w:val="auto"/>
              </w:rPr>
            </w:pPr>
            <w:r>
              <w:rPr>
                <w:rFonts w:ascii="Arial" w:cs="Arial" w:eastAsia="Arial" w:hAnsi="Arial"/>
                <w:sz w:val="14"/>
                <w:szCs w:val="14"/>
                <w:color w:val="auto"/>
              </w:rPr>
              <w:t>—</w:t>
            </w:r>
          </w:p>
        </w:tc>
        <w:tc>
          <w:tcPr>
            <w:tcW w:w="1380" w:type="dxa"/>
            <w:vAlign w:val="bottom"/>
            <w:shd w:val="clear" w:color="auto" w:fill="CCEEFF"/>
          </w:tcPr>
          <w:p>
            <w:pPr>
              <w:jc w:val="center"/>
              <w:spacing w:after="0" w:line="130" w:lineRule="exact"/>
              <w:rPr>
                <w:sz w:val="20"/>
                <w:szCs w:val="20"/>
                <w:color w:val="auto"/>
              </w:rPr>
            </w:pPr>
            <w:r>
              <w:rPr>
                <w:rFonts w:ascii="Arial" w:cs="Arial" w:eastAsia="Arial" w:hAnsi="Arial"/>
                <w:sz w:val="14"/>
                <w:szCs w:val="14"/>
                <w:color w:val="auto"/>
                <w:w w:val="99"/>
              </w:rPr>
              <w:t>Distribution</w:t>
            </w:r>
          </w:p>
        </w:tc>
        <w:tc>
          <w:tcPr>
            <w:tcW w:w="640" w:type="dxa"/>
            <w:vAlign w:val="bottom"/>
            <w:shd w:val="clear" w:color="auto" w:fill="CCEEFF"/>
          </w:tcPr>
          <w:p>
            <w:pPr>
              <w:ind w:left="340"/>
              <w:spacing w:after="0" w:line="130" w:lineRule="exact"/>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ind w:left="580"/>
              <w:spacing w:after="0" w:line="130" w:lineRule="exact"/>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ind w:right="108"/>
              <w:spacing w:after="0" w:line="130" w:lineRule="exact"/>
              <w:rPr>
                <w:sz w:val="20"/>
                <w:szCs w:val="20"/>
                <w:color w:val="auto"/>
              </w:rPr>
            </w:pPr>
            <w:r>
              <w:rPr>
                <w:rFonts w:ascii="Arial" w:cs="Arial" w:eastAsia="Arial" w:hAnsi="Arial"/>
                <w:sz w:val="14"/>
                <w:szCs w:val="14"/>
                <w:color w:val="auto"/>
              </w:rPr>
              <w:t>1,850</w:t>
            </w:r>
          </w:p>
        </w:tc>
        <w:tc>
          <w:tcPr>
            <w:tcW w:w="80" w:type="dxa"/>
            <w:vAlign w:val="bottom"/>
            <w:shd w:val="clear" w:color="auto" w:fill="CCEEFF"/>
          </w:tcPr>
          <w:p>
            <w:pPr>
              <w:spacing w:after="0"/>
              <w:rPr>
                <w:sz w:val="11"/>
                <w:szCs w:val="11"/>
                <w:color w:val="auto"/>
              </w:rPr>
            </w:pPr>
          </w:p>
        </w:tc>
        <w:tc>
          <w:tcPr>
            <w:tcW w:w="920" w:type="dxa"/>
            <w:vAlign w:val="bottom"/>
            <w:gridSpan w:val="2"/>
            <w:shd w:val="clear" w:color="auto" w:fill="CCEEFF"/>
          </w:tcPr>
          <w:p>
            <w:pPr>
              <w:jc w:val="right"/>
              <w:ind w:right="80"/>
              <w:spacing w:after="0" w:line="130" w:lineRule="exact"/>
              <w:rPr>
                <w:sz w:val="20"/>
                <w:szCs w:val="20"/>
                <w:color w:val="auto"/>
              </w:rPr>
            </w:pPr>
            <w:r>
              <w:rPr>
                <w:rFonts w:ascii="Arial" w:cs="Arial" w:eastAsia="Arial" w:hAnsi="Arial"/>
                <w:sz w:val="14"/>
                <w:szCs w:val="14"/>
                <w:color w:val="auto"/>
              </w:rPr>
              <w:t>1,850,294</w:t>
            </w: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80" w:type="dxa"/>
            <w:vAlign w:val="bottom"/>
            <w:gridSpan w:val="2"/>
            <w:shd w:val="clear" w:color="auto" w:fill="CCEEFF"/>
          </w:tcPr>
          <w:p>
            <w:pPr>
              <w:jc w:val="right"/>
              <w:ind w:right="140"/>
              <w:spacing w:after="0" w:line="130" w:lineRule="exact"/>
              <w:rPr>
                <w:sz w:val="20"/>
                <w:szCs w:val="20"/>
                <w:color w:val="auto"/>
              </w:rPr>
            </w:pPr>
            <w:r>
              <w:rPr>
                <w:rFonts w:ascii="Arial" w:cs="Arial" w:eastAsia="Arial" w:hAnsi="Arial"/>
                <w:sz w:val="14"/>
                <w:szCs w:val="14"/>
                <w:color w:val="auto"/>
              </w:rPr>
              <w:t>1,761,027</w:t>
            </w:r>
          </w:p>
        </w:tc>
        <w:tc>
          <w:tcPr>
            <w:tcW w:w="0" w:type="dxa"/>
            <w:vAlign w:val="bottom"/>
          </w:tcPr>
          <w:p>
            <w:pPr>
              <w:spacing w:after="0"/>
              <w:rPr>
                <w:sz w:val="1"/>
                <w:szCs w:val="1"/>
                <w:color w:val="auto"/>
              </w:rPr>
            </w:pPr>
          </w:p>
        </w:tc>
      </w:tr>
      <w:tr>
        <w:trPr>
          <w:trHeight w:val="167"/>
        </w:trPr>
        <w:tc>
          <w:tcPr>
            <w:tcW w:w="4560" w:type="dxa"/>
            <w:vAlign w:val="bottom"/>
            <w:shd w:val="clear" w:color="auto" w:fill="CCEEFF"/>
          </w:tcPr>
          <w:p>
            <w:pPr>
              <w:ind w:left="160"/>
              <w:spacing w:after="0"/>
              <w:rPr>
                <w:sz w:val="20"/>
                <w:szCs w:val="20"/>
                <w:color w:val="auto"/>
              </w:rPr>
            </w:pPr>
            <w:r>
              <w:rPr>
                <w:rFonts w:ascii="Arial" w:cs="Arial" w:eastAsia="Arial" w:hAnsi="Arial"/>
                <w:sz w:val="14"/>
                <w:szCs w:val="14"/>
                <w:color w:val="auto"/>
              </w:rPr>
              <w:t>(JF Acquisitions, LLC)</w:t>
            </w:r>
          </w:p>
        </w:tc>
        <w:tc>
          <w:tcPr>
            <w:tcW w:w="740" w:type="dxa"/>
            <w:vAlign w:val="bottom"/>
            <w:shd w:val="clear" w:color="auto" w:fill="CCEEFF"/>
          </w:tcPr>
          <w:p>
            <w:pPr>
              <w:spacing w:after="0"/>
              <w:rPr>
                <w:sz w:val="14"/>
                <w:szCs w:val="14"/>
                <w:color w:val="auto"/>
              </w:rPr>
            </w:pPr>
          </w:p>
        </w:tc>
        <w:tc>
          <w:tcPr>
            <w:tcW w:w="138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4560" w:type="dxa"/>
            <w:vAlign w:val="bottom"/>
          </w:tcPr>
          <w:p>
            <w:pPr>
              <w:spacing w:after="0" w:line="130" w:lineRule="exact"/>
              <w:rPr>
                <w:sz w:val="20"/>
                <w:szCs w:val="20"/>
                <w:color w:val="auto"/>
              </w:rPr>
            </w:pPr>
            <w:r>
              <w:rPr>
                <w:rFonts w:ascii="Arial" w:cs="Arial" w:eastAsia="Arial" w:hAnsi="Arial"/>
                <w:sz w:val="14"/>
                <w:szCs w:val="14"/>
                <w:color w:val="auto"/>
              </w:rPr>
              <w:t>MidOcean PPL Holdings, Corp.</w:t>
            </w:r>
          </w:p>
        </w:tc>
        <w:tc>
          <w:tcPr>
            <w:tcW w:w="740" w:type="dxa"/>
            <w:vAlign w:val="bottom"/>
          </w:tcPr>
          <w:p>
            <w:pPr>
              <w:ind w:left="260"/>
              <w:spacing w:after="0" w:line="130" w:lineRule="exact"/>
              <w:rPr>
                <w:sz w:val="20"/>
                <w:szCs w:val="20"/>
                <w:color w:val="auto"/>
              </w:rPr>
            </w:pPr>
            <w:r>
              <w:rPr>
                <w:rFonts w:ascii="Arial" w:cs="Arial" w:eastAsia="Arial" w:hAnsi="Arial"/>
                <w:sz w:val="14"/>
                <w:szCs w:val="14"/>
                <w:color w:val="auto"/>
              </w:rPr>
              <w:t>—</w:t>
            </w:r>
          </w:p>
        </w:tc>
        <w:tc>
          <w:tcPr>
            <w:tcW w:w="1380" w:type="dxa"/>
            <w:vAlign w:val="bottom"/>
          </w:tcPr>
          <w:p>
            <w:pPr>
              <w:jc w:val="center"/>
              <w:spacing w:after="0" w:line="130" w:lineRule="exact"/>
              <w:rPr>
                <w:sz w:val="20"/>
                <w:szCs w:val="20"/>
                <w:color w:val="auto"/>
              </w:rPr>
            </w:pPr>
            <w:r>
              <w:rPr>
                <w:rFonts w:ascii="Arial" w:cs="Arial" w:eastAsia="Arial" w:hAnsi="Arial"/>
                <w:sz w:val="14"/>
                <w:szCs w:val="14"/>
                <w:color w:val="auto"/>
                <w:w w:val="89"/>
              </w:rPr>
              <w:t>Personal, Food and</w:t>
            </w:r>
          </w:p>
        </w:tc>
        <w:tc>
          <w:tcPr>
            <w:tcW w:w="640" w:type="dxa"/>
            <w:vAlign w:val="bottom"/>
          </w:tcPr>
          <w:p>
            <w:pPr>
              <w:ind w:left="340"/>
              <w:spacing w:after="0" w:line="130" w:lineRule="exact"/>
              <w:rPr>
                <w:sz w:val="20"/>
                <w:szCs w:val="20"/>
                <w:color w:val="auto"/>
              </w:rPr>
            </w:pPr>
            <w:r>
              <w:rPr>
                <w:rFonts w:ascii="Arial" w:cs="Arial" w:eastAsia="Arial" w:hAnsi="Arial"/>
                <w:sz w:val="14"/>
                <w:szCs w:val="14"/>
                <w:color w:val="auto"/>
              </w:rPr>
              <w:t>—</w:t>
            </w:r>
          </w:p>
        </w:tc>
        <w:tc>
          <w:tcPr>
            <w:tcW w:w="900" w:type="dxa"/>
            <w:vAlign w:val="bottom"/>
          </w:tcPr>
          <w:p>
            <w:pPr>
              <w:ind w:left="580"/>
              <w:spacing w:after="0" w:line="130" w:lineRule="exact"/>
              <w:rPr>
                <w:sz w:val="20"/>
                <w:szCs w:val="20"/>
                <w:color w:val="auto"/>
              </w:rPr>
            </w:pPr>
            <w:r>
              <w:rPr>
                <w:rFonts w:ascii="Arial" w:cs="Arial" w:eastAsia="Arial" w:hAnsi="Arial"/>
                <w:sz w:val="14"/>
                <w:szCs w:val="14"/>
                <w:color w:val="auto"/>
              </w:rPr>
              <w:t>—</w:t>
            </w:r>
          </w:p>
        </w:tc>
        <w:tc>
          <w:tcPr>
            <w:tcW w:w="860" w:type="dxa"/>
            <w:vAlign w:val="bottom"/>
          </w:tcPr>
          <w:p>
            <w:pPr>
              <w:jc w:val="right"/>
              <w:ind w:right="108"/>
              <w:spacing w:after="0" w:line="130" w:lineRule="exact"/>
              <w:rPr>
                <w:sz w:val="20"/>
                <w:szCs w:val="20"/>
                <w:color w:val="auto"/>
              </w:rPr>
            </w:pPr>
            <w:r>
              <w:rPr>
                <w:rFonts w:ascii="Arial" w:cs="Arial" w:eastAsia="Arial" w:hAnsi="Arial"/>
                <w:sz w:val="14"/>
                <w:szCs w:val="14"/>
                <w:color w:val="auto"/>
              </w:rPr>
              <w:t>3,000</w:t>
            </w:r>
          </w:p>
        </w:tc>
        <w:tc>
          <w:tcPr>
            <w:tcW w:w="80" w:type="dxa"/>
            <w:vAlign w:val="bottom"/>
          </w:tcPr>
          <w:p>
            <w:pPr>
              <w:spacing w:after="0"/>
              <w:rPr>
                <w:sz w:val="11"/>
                <w:szCs w:val="11"/>
                <w:color w:val="auto"/>
              </w:rPr>
            </w:pPr>
          </w:p>
        </w:tc>
        <w:tc>
          <w:tcPr>
            <w:tcW w:w="920" w:type="dxa"/>
            <w:vAlign w:val="bottom"/>
            <w:gridSpan w:val="2"/>
          </w:tcPr>
          <w:p>
            <w:pPr>
              <w:jc w:val="right"/>
              <w:ind w:right="80"/>
              <w:spacing w:after="0" w:line="130" w:lineRule="exact"/>
              <w:rPr>
                <w:sz w:val="20"/>
                <w:szCs w:val="20"/>
                <w:color w:val="auto"/>
              </w:rPr>
            </w:pPr>
            <w:r>
              <w:rPr>
                <w:rFonts w:ascii="Arial" w:cs="Arial" w:eastAsia="Arial" w:hAnsi="Arial"/>
                <w:sz w:val="14"/>
                <w:szCs w:val="14"/>
                <w:color w:val="auto"/>
              </w:rPr>
              <w:t>3,000,000</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80" w:type="dxa"/>
            <w:vAlign w:val="bottom"/>
            <w:gridSpan w:val="2"/>
          </w:tcPr>
          <w:p>
            <w:pPr>
              <w:jc w:val="right"/>
              <w:ind w:right="140"/>
              <w:spacing w:after="0" w:line="130" w:lineRule="exact"/>
              <w:rPr>
                <w:sz w:val="20"/>
                <w:szCs w:val="20"/>
                <w:color w:val="auto"/>
              </w:rPr>
            </w:pPr>
            <w:r>
              <w:rPr>
                <w:rFonts w:ascii="Arial" w:cs="Arial" w:eastAsia="Arial" w:hAnsi="Arial"/>
                <w:sz w:val="14"/>
                <w:szCs w:val="14"/>
                <w:color w:val="auto"/>
              </w:rPr>
              <w:t>6,307,135</w:t>
            </w:r>
          </w:p>
        </w:tc>
        <w:tc>
          <w:tcPr>
            <w:tcW w:w="0" w:type="dxa"/>
            <w:vAlign w:val="bottom"/>
          </w:tcPr>
          <w:p>
            <w:pPr>
              <w:spacing w:after="0"/>
              <w:rPr>
                <w:sz w:val="1"/>
                <w:szCs w:val="1"/>
                <w:color w:val="auto"/>
              </w:rPr>
            </w:pPr>
          </w:p>
        </w:tc>
      </w:tr>
      <w:tr>
        <w:trPr>
          <w:trHeight w:val="148"/>
        </w:trPr>
        <w:tc>
          <w:tcPr>
            <w:tcW w:w="4560" w:type="dxa"/>
            <w:vAlign w:val="bottom"/>
          </w:tcPr>
          <w:p>
            <w:pPr>
              <w:ind w:left="160"/>
              <w:spacing w:after="0" w:line="149" w:lineRule="exact"/>
              <w:rPr>
                <w:sz w:val="20"/>
                <w:szCs w:val="20"/>
                <w:color w:val="auto"/>
              </w:rPr>
            </w:pPr>
            <w:r>
              <w:rPr>
                <w:rFonts w:ascii="Arial" w:cs="Arial" w:eastAsia="Arial" w:hAnsi="Arial"/>
                <w:sz w:val="14"/>
                <w:szCs w:val="14"/>
                <w:color w:val="auto"/>
              </w:rPr>
              <w:t>(Pre-Paid Legal Services, Inc.)</w:t>
            </w:r>
          </w:p>
        </w:tc>
        <w:tc>
          <w:tcPr>
            <w:tcW w:w="740" w:type="dxa"/>
            <w:vAlign w:val="bottom"/>
          </w:tcPr>
          <w:p>
            <w:pPr>
              <w:spacing w:after="0"/>
              <w:rPr>
                <w:sz w:val="12"/>
                <w:szCs w:val="12"/>
                <w:color w:val="auto"/>
              </w:rPr>
            </w:pPr>
          </w:p>
        </w:tc>
        <w:tc>
          <w:tcPr>
            <w:tcW w:w="1380" w:type="dxa"/>
            <w:vAlign w:val="bottom"/>
          </w:tcPr>
          <w:p>
            <w:pPr>
              <w:jc w:val="center"/>
              <w:spacing w:after="0" w:line="149" w:lineRule="exact"/>
              <w:rPr>
                <w:sz w:val="20"/>
                <w:szCs w:val="20"/>
                <w:color w:val="auto"/>
              </w:rPr>
            </w:pPr>
            <w:r>
              <w:rPr>
                <w:rFonts w:ascii="Arial" w:cs="Arial" w:eastAsia="Arial" w:hAnsi="Arial"/>
                <w:sz w:val="14"/>
                <w:szCs w:val="14"/>
                <w:color w:val="auto"/>
                <w:w w:val="94"/>
              </w:rPr>
              <w:t>Miscellaneous</w:t>
            </w:r>
          </w:p>
        </w:tc>
        <w:tc>
          <w:tcPr>
            <w:tcW w:w="6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45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380" w:type="dxa"/>
            <w:vAlign w:val="bottom"/>
          </w:tcPr>
          <w:p>
            <w:pPr>
              <w:jc w:val="center"/>
              <w:spacing w:after="0"/>
              <w:rPr>
                <w:sz w:val="20"/>
                <w:szCs w:val="20"/>
                <w:color w:val="auto"/>
              </w:rPr>
            </w:pPr>
            <w:r>
              <w:rPr>
                <w:rFonts w:ascii="Arial" w:cs="Arial" w:eastAsia="Arial" w:hAnsi="Arial"/>
                <w:sz w:val="14"/>
                <w:szCs w:val="14"/>
                <w:color w:val="auto"/>
                <w:w w:val="89"/>
              </w:rPr>
              <w:t>Services</w:t>
            </w:r>
          </w:p>
        </w:tc>
        <w:tc>
          <w:tcPr>
            <w:tcW w:w="6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45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Old Guard Risk Services, Inc. (Warrants)</w:t>
            </w:r>
          </w:p>
        </w:tc>
        <w:tc>
          <w:tcPr>
            <w:tcW w:w="740" w:type="dxa"/>
            <w:vAlign w:val="bottom"/>
            <w:shd w:val="clear" w:color="auto" w:fill="CCEEFF"/>
          </w:tcPr>
          <w:p>
            <w:pPr>
              <w:ind w:left="40"/>
              <w:spacing w:after="0" w:line="149" w:lineRule="exact"/>
              <w:rPr>
                <w:sz w:val="20"/>
                <w:szCs w:val="20"/>
                <w:color w:val="auto"/>
              </w:rPr>
            </w:pPr>
            <w:r>
              <w:rPr>
                <w:rFonts w:ascii="Arial" w:cs="Arial" w:eastAsia="Arial" w:hAnsi="Arial"/>
                <w:sz w:val="14"/>
                <w:szCs w:val="14"/>
                <w:color w:val="auto"/>
                <w:w w:val="96"/>
              </w:rPr>
              <w:t>11/27/2023</w:t>
            </w:r>
          </w:p>
        </w:tc>
        <w:tc>
          <w:tcPr>
            <w:tcW w:w="138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1"/>
              </w:rPr>
              <w:t>Insurance</w:t>
            </w:r>
          </w:p>
        </w:tc>
        <w:tc>
          <w:tcPr>
            <w:tcW w:w="640" w:type="dxa"/>
            <w:vAlign w:val="bottom"/>
            <w:shd w:val="clear" w:color="auto" w:fill="CCEEFF"/>
          </w:tcPr>
          <w:p>
            <w:pPr>
              <w:ind w:left="340"/>
              <w:spacing w:after="0" w:line="149" w:lineRule="exact"/>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ind w:left="580"/>
              <w:spacing w:after="0" w:line="149" w:lineRule="exact"/>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ind w:right="108"/>
              <w:spacing w:after="0" w:line="149" w:lineRule="exact"/>
              <w:rPr>
                <w:sz w:val="20"/>
                <w:szCs w:val="20"/>
                <w:color w:val="auto"/>
              </w:rPr>
            </w:pPr>
            <w:r>
              <w:rPr>
                <w:rFonts w:ascii="Arial" w:cs="Arial" w:eastAsia="Arial" w:hAnsi="Arial"/>
                <w:sz w:val="14"/>
                <w:szCs w:val="14"/>
                <w:color w:val="auto"/>
              </w:rPr>
              <w:t>35,490</w:t>
            </w:r>
          </w:p>
        </w:tc>
        <w:tc>
          <w:tcPr>
            <w:tcW w:w="8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495,086</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519,154</w:t>
            </w:r>
          </w:p>
        </w:tc>
        <w:tc>
          <w:tcPr>
            <w:tcW w:w="0" w:type="dxa"/>
            <w:vAlign w:val="bottom"/>
          </w:tcPr>
          <w:p>
            <w:pPr>
              <w:spacing w:after="0"/>
              <w:rPr>
                <w:sz w:val="1"/>
                <w:szCs w:val="1"/>
                <w:color w:val="auto"/>
              </w:rPr>
            </w:pPr>
          </w:p>
        </w:tc>
      </w:tr>
      <w:tr>
        <w:trPr>
          <w:trHeight w:val="130"/>
        </w:trPr>
        <w:tc>
          <w:tcPr>
            <w:tcW w:w="4560" w:type="dxa"/>
            <w:vAlign w:val="bottom"/>
          </w:tcPr>
          <w:p>
            <w:pPr>
              <w:spacing w:after="0" w:line="130" w:lineRule="exact"/>
              <w:rPr>
                <w:sz w:val="20"/>
                <w:szCs w:val="20"/>
                <w:color w:val="auto"/>
              </w:rPr>
            </w:pPr>
            <w:r>
              <w:rPr>
                <w:rFonts w:ascii="Arial" w:cs="Arial" w:eastAsia="Arial" w:hAnsi="Arial"/>
                <w:sz w:val="14"/>
                <w:szCs w:val="14"/>
                <w:color w:val="auto"/>
              </w:rPr>
              <w:t>Paradigm Acquisition Corp.</w:t>
            </w:r>
          </w:p>
        </w:tc>
        <w:tc>
          <w:tcPr>
            <w:tcW w:w="740" w:type="dxa"/>
            <w:vAlign w:val="bottom"/>
          </w:tcPr>
          <w:p>
            <w:pPr>
              <w:ind w:left="260"/>
              <w:spacing w:after="0" w:line="130" w:lineRule="exact"/>
              <w:rPr>
                <w:sz w:val="20"/>
                <w:szCs w:val="20"/>
                <w:color w:val="auto"/>
              </w:rPr>
            </w:pPr>
            <w:r>
              <w:rPr>
                <w:rFonts w:ascii="Arial" w:cs="Arial" w:eastAsia="Arial" w:hAnsi="Arial"/>
                <w:sz w:val="14"/>
                <w:szCs w:val="14"/>
                <w:color w:val="auto"/>
              </w:rPr>
              <w:t>—</w:t>
            </w:r>
          </w:p>
        </w:tc>
        <w:tc>
          <w:tcPr>
            <w:tcW w:w="1380" w:type="dxa"/>
            <w:vAlign w:val="bottom"/>
          </w:tcPr>
          <w:p>
            <w:pPr>
              <w:jc w:val="center"/>
              <w:spacing w:after="0" w:line="130" w:lineRule="exact"/>
              <w:rPr>
                <w:sz w:val="20"/>
                <w:szCs w:val="20"/>
                <w:color w:val="auto"/>
              </w:rPr>
            </w:pPr>
            <w:r>
              <w:rPr>
                <w:rFonts w:ascii="Arial" w:cs="Arial" w:eastAsia="Arial" w:hAnsi="Arial"/>
                <w:sz w:val="14"/>
                <w:szCs w:val="14"/>
                <w:color w:val="auto"/>
                <w:w w:val="92"/>
              </w:rPr>
              <w:t>Healthcare, Education</w:t>
            </w:r>
          </w:p>
        </w:tc>
        <w:tc>
          <w:tcPr>
            <w:tcW w:w="640" w:type="dxa"/>
            <w:vAlign w:val="bottom"/>
          </w:tcPr>
          <w:p>
            <w:pPr>
              <w:ind w:left="340"/>
              <w:spacing w:after="0" w:line="130" w:lineRule="exact"/>
              <w:rPr>
                <w:sz w:val="20"/>
                <w:szCs w:val="20"/>
                <w:color w:val="auto"/>
              </w:rPr>
            </w:pPr>
            <w:r>
              <w:rPr>
                <w:rFonts w:ascii="Arial" w:cs="Arial" w:eastAsia="Arial" w:hAnsi="Arial"/>
                <w:sz w:val="14"/>
                <w:szCs w:val="14"/>
                <w:color w:val="auto"/>
              </w:rPr>
              <w:t>—</w:t>
            </w:r>
          </w:p>
        </w:tc>
        <w:tc>
          <w:tcPr>
            <w:tcW w:w="900" w:type="dxa"/>
            <w:vAlign w:val="bottom"/>
          </w:tcPr>
          <w:p>
            <w:pPr>
              <w:ind w:left="580"/>
              <w:spacing w:after="0" w:line="130" w:lineRule="exact"/>
              <w:rPr>
                <w:sz w:val="20"/>
                <w:szCs w:val="20"/>
                <w:color w:val="auto"/>
              </w:rPr>
            </w:pPr>
            <w:r>
              <w:rPr>
                <w:rFonts w:ascii="Arial" w:cs="Arial" w:eastAsia="Arial" w:hAnsi="Arial"/>
                <w:sz w:val="14"/>
                <w:szCs w:val="14"/>
                <w:color w:val="auto"/>
              </w:rPr>
              <w:t>—</w:t>
            </w:r>
          </w:p>
        </w:tc>
        <w:tc>
          <w:tcPr>
            <w:tcW w:w="860" w:type="dxa"/>
            <w:vAlign w:val="bottom"/>
          </w:tcPr>
          <w:p>
            <w:pPr>
              <w:jc w:val="right"/>
              <w:ind w:right="108"/>
              <w:spacing w:after="0" w:line="130" w:lineRule="exact"/>
              <w:rPr>
                <w:sz w:val="20"/>
                <w:szCs w:val="20"/>
                <w:color w:val="auto"/>
              </w:rPr>
            </w:pPr>
            <w:r>
              <w:rPr>
                <w:rFonts w:ascii="Arial" w:cs="Arial" w:eastAsia="Arial" w:hAnsi="Arial"/>
                <w:sz w:val="14"/>
                <w:szCs w:val="14"/>
                <w:color w:val="auto"/>
              </w:rPr>
              <w:t>20,000</w:t>
            </w:r>
          </w:p>
        </w:tc>
        <w:tc>
          <w:tcPr>
            <w:tcW w:w="80" w:type="dxa"/>
            <w:vAlign w:val="bottom"/>
          </w:tcPr>
          <w:p>
            <w:pPr>
              <w:spacing w:after="0"/>
              <w:rPr>
                <w:sz w:val="11"/>
                <w:szCs w:val="11"/>
                <w:color w:val="auto"/>
              </w:rPr>
            </w:pPr>
          </w:p>
        </w:tc>
        <w:tc>
          <w:tcPr>
            <w:tcW w:w="920" w:type="dxa"/>
            <w:vAlign w:val="bottom"/>
            <w:gridSpan w:val="2"/>
          </w:tcPr>
          <w:p>
            <w:pPr>
              <w:jc w:val="right"/>
              <w:ind w:right="80"/>
              <w:spacing w:after="0" w:line="130" w:lineRule="exact"/>
              <w:rPr>
                <w:sz w:val="20"/>
                <w:szCs w:val="20"/>
                <w:color w:val="auto"/>
              </w:rPr>
            </w:pPr>
            <w:r>
              <w:rPr>
                <w:rFonts w:ascii="Arial" w:cs="Arial" w:eastAsia="Arial" w:hAnsi="Arial"/>
                <w:sz w:val="14"/>
                <w:szCs w:val="14"/>
                <w:color w:val="auto"/>
              </w:rPr>
              <w:t>2,000,000</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80" w:type="dxa"/>
            <w:vAlign w:val="bottom"/>
            <w:gridSpan w:val="2"/>
          </w:tcPr>
          <w:p>
            <w:pPr>
              <w:jc w:val="right"/>
              <w:ind w:right="140"/>
              <w:spacing w:after="0" w:line="130" w:lineRule="exact"/>
              <w:rPr>
                <w:sz w:val="20"/>
                <w:szCs w:val="20"/>
                <w:color w:val="auto"/>
              </w:rPr>
            </w:pPr>
            <w:r>
              <w:rPr>
                <w:rFonts w:ascii="Arial" w:cs="Arial" w:eastAsia="Arial" w:hAnsi="Arial"/>
                <w:sz w:val="14"/>
                <w:szCs w:val="14"/>
                <w:color w:val="auto"/>
              </w:rPr>
              <w:t>3,938,082</w:t>
            </w:r>
          </w:p>
        </w:tc>
        <w:tc>
          <w:tcPr>
            <w:tcW w:w="0" w:type="dxa"/>
            <w:vAlign w:val="bottom"/>
          </w:tcPr>
          <w:p>
            <w:pPr>
              <w:spacing w:after="0"/>
              <w:rPr>
                <w:sz w:val="1"/>
                <w:szCs w:val="1"/>
                <w:color w:val="auto"/>
              </w:rPr>
            </w:pPr>
          </w:p>
        </w:tc>
      </w:tr>
      <w:tr>
        <w:trPr>
          <w:trHeight w:val="167"/>
        </w:trPr>
        <w:tc>
          <w:tcPr>
            <w:tcW w:w="45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380" w:type="dxa"/>
            <w:vAlign w:val="bottom"/>
          </w:tcPr>
          <w:p>
            <w:pPr>
              <w:jc w:val="center"/>
              <w:spacing w:after="0"/>
              <w:rPr>
                <w:sz w:val="20"/>
                <w:szCs w:val="20"/>
                <w:color w:val="auto"/>
              </w:rPr>
            </w:pPr>
            <w:r>
              <w:rPr>
                <w:rFonts w:ascii="Arial" w:cs="Arial" w:eastAsia="Arial" w:hAnsi="Arial"/>
                <w:sz w:val="14"/>
                <w:szCs w:val="14"/>
                <w:color w:val="auto"/>
                <w:w w:val="92"/>
              </w:rPr>
              <w:t>and Childcare</w:t>
            </w:r>
          </w:p>
        </w:tc>
        <w:tc>
          <w:tcPr>
            <w:tcW w:w="6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456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Power Products Holdings, LLC, Class A Units</w:t>
            </w:r>
          </w:p>
        </w:tc>
        <w:tc>
          <w:tcPr>
            <w:tcW w:w="740" w:type="dxa"/>
            <w:vAlign w:val="bottom"/>
            <w:shd w:val="clear" w:color="auto" w:fill="CCEEFF"/>
          </w:tcPr>
          <w:p>
            <w:pPr>
              <w:ind w:left="260"/>
              <w:spacing w:after="0" w:line="130" w:lineRule="exact"/>
              <w:rPr>
                <w:sz w:val="20"/>
                <w:szCs w:val="20"/>
                <w:color w:val="auto"/>
              </w:rPr>
            </w:pPr>
            <w:r>
              <w:rPr>
                <w:rFonts w:ascii="Arial" w:cs="Arial" w:eastAsia="Arial" w:hAnsi="Arial"/>
                <w:sz w:val="14"/>
                <w:szCs w:val="14"/>
                <w:color w:val="auto"/>
              </w:rPr>
              <w:t>—</w:t>
            </w:r>
          </w:p>
        </w:tc>
        <w:tc>
          <w:tcPr>
            <w:tcW w:w="1380" w:type="dxa"/>
            <w:vAlign w:val="bottom"/>
            <w:shd w:val="clear" w:color="auto" w:fill="CCEEFF"/>
          </w:tcPr>
          <w:p>
            <w:pPr>
              <w:jc w:val="center"/>
              <w:spacing w:after="0" w:line="130" w:lineRule="exact"/>
              <w:rPr>
                <w:sz w:val="20"/>
                <w:szCs w:val="20"/>
                <w:color w:val="auto"/>
              </w:rPr>
            </w:pPr>
            <w:r>
              <w:rPr>
                <w:rFonts w:ascii="Arial" w:cs="Arial" w:eastAsia="Arial" w:hAnsi="Arial"/>
                <w:sz w:val="14"/>
                <w:szCs w:val="14"/>
                <w:color w:val="auto"/>
                <w:w w:val="93"/>
              </w:rPr>
              <w:t>Electronics</w:t>
            </w:r>
          </w:p>
        </w:tc>
        <w:tc>
          <w:tcPr>
            <w:tcW w:w="640" w:type="dxa"/>
            <w:vAlign w:val="bottom"/>
            <w:shd w:val="clear" w:color="auto" w:fill="CCEEFF"/>
          </w:tcPr>
          <w:p>
            <w:pPr>
              <w:ind w:left="340"/>
              <w:spacing w:after="0" w:line="130" w:lineRule="exact"/>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ind w:left="580"/>
              <w:spacing w:after="0" w:line="130" w:lineRule="exact"/>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ind w:right="108"/>
              <w:spacing w:after="0" w:line="130" w:lineRule="exact"/>
              <w:rPr>
                <w:sz w:val="20"/>
                <w:szCs w:val="20"/>
                <w:color w:val="auto"/>
              </w:rPr>
            </w:pPr>
            <w:r>
              <w:rPr>
                <w:rFonts w:ascii="Arial" w:cs="Arial" w:eastAsia="Arial" w:hAnsi="Arial"/>
                <w:sz w:val="14"/>
                <w:szCs w:val="14"/>
                <w:color w:val="auto"/>
              </w:rPr>
              <w:t>1,350,000</w:t>
            </w:r>
          </w:p>
        </w:tc>
        <w:tc>
          <w:tcPr>
            <w:tcW w:w="80" w:type="dxa"/>
            <w:vAlign w:val="bottom"/>
            <w:shd w:val="clear" w:color="auto" w:fill="CCEEFF"/>
          </w:tcPr>
          <w:p>
            <w:pPr>
              <w:spacing w:after="0"/>
              <w:rPr>
                <w:sz w:val="11"/>
                <w:szCs w:val="11"/>
                <w:color w:val="auto"/>
              </w:rPr>
            </w:pPr>
          </w:p>
        </w:tc>
        <w:tc>
          <w:tcPr>
            <w:tcW w:w="920" w:type="dxa"/>
            <w:vAlign w:val="bottom"/>
            <w:gridSpan w:val="2"/>
            <w:shd w:val="clear" w:color="auto" w:fill="CCEEFF"/>
          </w:tcPr>
          <w:p>
            <w:pPr>
              <w:jc w:val="right"/>
              <w:ind w:right="80"/>
              <w:spacing w:after="0" w:line="130" w:lineRule="exact"/>
              <w:rPr>
                <w:sz w:val="20"/>
                <w:szCs w:val="20"/>
                <w:color w:val="auto"/>
              </w:rPr>
            </w:pPr>
            <w:r>
              <w:rPr>
                <w:rFonts w:ascii="Arial" w:cs="Arial" w:eastAsia="Arial" w:hAnsi="Arial"/>
                <w:sz w:val="14"/>
                <w:szCs w:val="14"/>
                <w:color w:val="auto"/>
              </w:rPr>
              <w:t>1,350,000</w:t>
            </w: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80" w:type="dxa"/>
            <w:vAlign w:val="bottom"/>
            <w:gridSpan w:val="2"/>
            <w:shd w:val="clear" w:color="auto" w:fill="CCEEFF"/>
          </w:tcPr>
          <w:p>
            <w:pPr>
              <w:jc w:val="right"/>
              <w:ind w:right="140"/>
              <w:spacing w:after="0" w:line="130" w:lineRule="exact"/>
              <w:rPr>
                <w:sz w:val="20"/>
                <w:szCs w:val="20"/>
                <w:color w:val="auto"/>
              </w:rPr>
            </w:pPr>
            <w:r>
              <w:rPr>
                <w:rFonts w:ascii="Arial" w:cs="Arial" w:eastAsia="Arial" w:hAnsi="Arial"/>
                <w:sz w:val="14"/>
                <w:szCs w:val="14"/>
                <w:color w:val="auto"/>
              </w:rPr>
              <w:t>1,350,000</w:t>
            </w:r>
          </w:p>
        </w:tc>
        <w:tc>
          <w:tcPr>
            <w:tcW w:w="0" w:type="dxa"/>
            <w:vAlign w:val="bottom"/>
          </w:tcPr>
          <w:p>
            <w:pPr>
              <w:spacing w:after="0"/>
              <w:rPr>
                <w:sz w:val="1"/>
                <w:szCs w:val="1"/>
                <w:color w:val="auto"/>
              </w:rPr>
            </w:pPr>
          </w:p>
        </w:tc>
      </w:tr>
      <w:tr>
        <w:trPr>
          <w:trHeight w:val="167"/>
        </w:trPr>
        <w:tc>
          <w:tcPr>
            <w:tcW w:w="4560" w:type="dxa"/>
            <w:vAlign w:val="bottom"/>
            <w:shd w:val="clear" w:color="auto" w:fill="CCEEFF"/>
          </w:tcPr>
          <w:p>
            <w:pPr>
              <w:ind w:left="160"/>
              <w:spacing w:after="0"/>
              <w:rPr>
                <w:sz w:val="20"/>
                <w:szCs w:val="20"/>
                <w:color w:val="auto"/>
              </w:rPr>
            </w:pPr>
            <w:r>
              <w:rPr>
                <w:rFonts w:ascii="Arial" w:cs="Arial" w:eastAsia="Arial" w:hAnsi="Arial"/>
                <w:sz w:val="14"/>
                <w:szCs w:val="14"/>
                <w:color w:val="auto"/>
              </w:rPr>
              <w:t>(Power Products, LLC)</w:t>
            </w:r>
          </w:p>
        </w:tc>
        <w:tc>
          <w:tcPr>
            <w:tcW w:w="740" w:type="dxa"/>
            <w:vAlign w:val="bottom"/>
            <w:shd w:val="clear" w:color="auto" w:fill="CCEEFF"/>
          </w:tcPr>
          <w:p>
            <w:pPr>
              <w:spacing w:after="0"/>
              <w:rPr>
                <w:sz w:val="14"/>
                <w:szCs w:val="14"/>
                <w:color w:val="auto"/>
              </w:rPr>
            </w:pPr>
          </w:p>
        </w:tc>
        <w:tc>
          <w:tcPr>
            <w:tcW w:w="138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4560" w:type="dxa"/>
            <w:vAlign w:val="bottom"/>
          </w:tcPr>
          <w:p>
            <w:pPr>
              <w:spacing w:after="0" w:line="130" w:lineRule="exact"/>
              <w:rPr>
                <w:sz w:val="20"/>
                <w:szCs w:val="20"/>
                <w:color w:val="auto"/>
              </w:rPr>
            </w:pPr>
            <w:r>
              <w:rPr>
                <w:rFonts w:ascii="Arial" w:cs="Arial" w:eastAsia="Arial" w:hAnsi="Arial"/>
                <w:sz w:val="14"/>
                <w:szCs w:val="14"/>
                <w:color w:val="auto"/>
              </w:rPr>
              <w:t>Power Products Holdings, LLC, Class B Units</w:t>
            </w:r>
          </w:p>
        </w:tc>
        <w:tc>
          <w:tcPr>
            <w:tcW w:w="740" w:type="dxa"/>
            <w:vAlign w:val="bottom"/>
          </w:tcPr>
          <w:p>
            <w:pPr>
              <w:ind w:left="260"/>
              <w:spacing w:after="0" w:line="130" w:lineRule="exact"/>
              <w:rPr>
                <w:sz w:val="20"/>
                <w:szCs w:val="20"/>
                <w:color w:val="auto"/>
              </w:rPr>
            </w:pPr>
            <w:r>
              <w:rPr>
                <w:rFonts w:ascii="Arial" w:cs="Arial" w:eastAsia="Arial" w:hAnsi="Arial"/>
                <w:sz w:val="14"/>
                <w:szCs w:val="14"/>
                <w:color w:val="auto"/>
              </w:rPr>
              <w:t>—</w:t>
            </w:r>
          </w:p>
        </w:tc>
        <w:tc>
          <w:tcPr>
            <w:tcW w:w="1380" w:type="dxa"/>
            <w:vAlign w:val="bottom"/>
          </w:tcPr>
          <w:p>
            <w:pPr>
              <w:jc w:val="center"/>
              <w:spacing w:after="0" w:line="130" w:lineRule="exact"/>
              <w:rPr>
                <w:sz w:val="20"/>
                <w:szCs w:val="20"/>
                <w:color w:val="auto"/>
              </w:rPr>
            </w:pPr>
            <w:r>
              <w:rPr>
                <w:rFonts w:ascii="Arial" w:cs="Arial" w:eastAsia="Arial" w:hAnsi="Arial"/>
                <w:sz w:val="14"/>
                <w:szCs w:val="14"/>
                <w:color w:val="auto"/>
                <w:w w:val="93"/>
              </w:rPr>
              <w:t>Electronics</w:t>
            </w:r>
          </w:p>
        </w:tc>
        <w:tc>
          <w:tcPr>
            <w:tcW w:w="640" w:type="dxa"/>
            <w:vAlign w:val="bottom"/>
          </w:tcPr>
          <w:p>
            <w:pPr>
              <w:ind w:left="340"/>
              <w:spacing w:after="0" w:line="130" w:lineRule="exact"/>
              <w:rPr>
                <w:sz w:val="20"/>
                <w:szCs w:val="20"/>
                <w:color w:val="auto"/>
              </w:rPr>
            </w:pPr>
            <w:r>
              <w:rPr>
                <w:rFonts w:ascii="Arial" w:cs="Arial" w:eastAsia="Arial" w:hAnsi="Arial"/>
                <w:sz w:val="14"/>
                <w:szCs w:val="14"/>
                <w:color w:val="auto"/>
              </w:rPr>
              <w:t>—</w:t>
            </w:r>
          </w:p>
        </w:tc>
        <w:tc>
          <w:tcPr>
            <w:tcW w:w="900" w:type="dxa"/>
            <w:vAlign w:val="bottom"/>
          </w:tcPr>
          <w:p>
            <w:pPr>
              <w:ind w:left="580"/>
              <w:spacing w:after="0" w:line="130" w:lineRule="exact"/>
              <w:rPr>
                <w:sz w:val="20"/>
                <w:szCs w:val="20"/>
                <w:color w:val="auto"/>
              </w:rPr>
            </w:pPr>
            <w:r>
              <w:rPr>
                <w:rFonts w:ascii="Arial" w:cs="Arial" w:eastAsia="Arial" w:hAnsi="Arial"/>
                <w:sz w:val="14"/>
                <w:szCs w:val="14"/>
                <w:color w:val="auto"/>
              </w:rPr>
              <w:t>—</w:t>
            </w:r>
          </w:p>
        </w:tc>
        <w:tc>
          <w:tcPr>
            <w:tcW w:w="860" w:type="dxa"/>
            <w:vAlign w:val="bottom"/>
          </w:tcPr>
          <w:p>
            <w:pPr>
              <w:jc w:val="right"/>
              <w:ind w:right="108"/>
              <w:spacing w:after="0" w:line="130" w:lineRule="exact"/>
              <w:rPr>
                <w:sz w:val="20"/>
                <w:szCs w:val="20"/>
                <w:color w:val="auto"/>
              </w:rPr>
            </w:pPr>
            <w:r>
              <w:rPr>
                <w:rFonts w:ascii="Arial" w:cs="Arial" w:eastAsia="Arial" w:hAnsi="Arial"/>
                <w:sz w:val="14"/>
                <w:szCs w:val="14"/>
                <w:color w:val="auto"/>
              </w:rPr>
              <w:t>150,000</w:t>
            </w:r>
          </w:p>
        </w:tc>
        <w:tc>
          <w:tcPr>
            <w:tcW w:w="80" w:type="dxa"/>
            <w:vAlign w:val="bottom"/>
          </w:tcPr>
          <w:p>
            <w:pPr>
              <w:spacing w:after="0"/>
              <w:rPr>
                <w:sz w:val="11"/>
                <w:szCs w:val="11"/>
                <w:color w:val="auto"/>
              </w:rPr>
            </w:pPr>
          </w:p>
        </w:tc>
        <w:tc>
          <w:tcPr>
            <w:tcW w:w="920" w:type="dxa"/>
            <w:vAlign w:val="bottom"/>
            <w:gridSpan w:val="2"/>
          </w:tcPr>
          <w:p>
            <w:pPr>
              <w:jc w:val="right"/>
              <w:ind w:right="80"/>
              <w:spacing w:after="0" w:line="130" w:lineRule="exact"/>
              <w:rPr>
                <w:sz w:val="20"/>
                <w:szCs w:val="20"/>
                <w:color w:val="auto"/>
              </w:rPr>
            </w:pPr>
            <w:r>
              <w:rPr>
                <w:rFonts w:ascii="Arial" w:cs="Arial" w:eastAsia="Arial" w:hAnsi="Arial"/>
                <w:sz w:val="14"/>
                <w:szCs w:val="14"/>
                <w:color w:val="auto"/>
              </w:rPr>
              <w:t>150,000</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80" w:type="dxa"/>
            <w:vAlign w:val="bottom"/>
            <w:gridSpan w:val="2"/>
          </w:tcPr>
          <w:p>
            <w:pPr>
              <w:jc w:val="right"/>
              <w:ind w:right="140"/>
              <w:spacing w:after="0" w:line="130" w:lineRule="exact"/>
              <w:rPr>
                <w:sz w:val="20"/>
                <w:szCs w:val="20"/>
                <w:color w:val="auto"/>
              </w:rPr>
            </w:pPr>
            <w:r>
              <w:rPr>
                <w:rFonts w:ascii="Arial" w:cs="Arial" w:eastAsia="Arial" w:hAnsi="Arial"/>
                <w:sz w:val="14"/>
                <w:szCs w:val="14"/>
                <w:color w:val="auto"/>
              </w:rPr>
              <w:t>150,000</w:t>
            </w:r>
          </w:p>
        </w:tc>
        <w:tc>
          <w:tcPr>
            <w:tcW w:w="0" w:type="dxa"/>
            <w:vAlign w:val="bottom"/>
          </w:tcPr>
          <w:p>
            <w:pPr>
              <w:spacing w:after="0"/>
              <w:rPr>
                <w:sz w:val="1"/>
                <w:szCs w:val="1"/>
                <w:color w:val="auto"/>
              </w:rPr>
            </w:pPr>
          </w:p>
        </w:tc>
      </w:tr>
      <w:tr>
        <w:trPr>
          <w:trHeight w:val="167"/>
        </w:trPr>
        <w:tc>
          <w:tcPr>
            <w:tcW w:w="4560" w:type="dxa"/>
            <w:vAlign w:val="bottom"/>
          </w:tcPr>
          <w:p>
            <w:pPr>
              <w:ind w:left="160"/>
              <w:spacing w:after="0"/>
              <w:rPr>
                <w:sz w:val="20"/>
                <w:szCs w:val="20"/>
                <w:color w:val="auto"/>
              </w:rPr>
            </w:pPr>
            <w:r>
              <w:rPr>
                <w:rFonts w:ascii="Arial" w:cs="Arial" w:eastAsia="Arial" w:hAnsi="Arial"/>
                <w:sz w:val="14"/>
                <w:szCs w:val="14"/>
                <w:color w:val="auto"/>
              </w:rPr>
              <w:t>(Power Products, LLC)</w:t>
            </w:r>
          </w:p>
        </w:tc>
        <w:tc>
          <w:tcPr>
            <w:tcW w:w="74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456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QMG HoldCo, LLC, Class A</w:t>
            </w:r>
          </w:p>
        </w:tc>
        <w:tc>
          <w:tcPr>
            <w:tcW w:w="740" w:type="dxa"/>
            <w:vAlign w:val="bottom"/>
            <w:shd w:val="clear" w:color="auto" w:fill="CCEEFF"/>
          </w:tcPr>
          <w:p>
            <w:pPr>
              <w:ind w:left="260"/>
              <w:spacing w:after="0" w:line="130" w:lineRule="exact"/>
              <w:rPr>
                <w:sz w:val="20"/>
                <w:szCs w:val="20"/>
                <w:color w:val="auto"/>
              </w:rPr>
            </w:pPr>
            <w:r>
              <w:rPr>
                <w:rFonts w:ascii="Arial" w:cs="Arial" w:eastAsia="Arial" w:hAnsi="Arial"/>
                <w:sz w:val="14"/>
                <w:szCs w:val="14"/>
                <w:color w:val="auto"/>
              </w:rPr>
              <w:t>—</w:t>
            </w:r>
          </w:p>
        </w:tc>
        <w:tc>
          <w:tcPr>
            <w:tcW w:w="1380" w:type="dxa"/>
            <w:vAlign w:val="bottom"/>
            <w:shd w:val="clear" w:color="auto" w:fill="CCEEFF"/>
          </w:tcPr>
          <w:p>
            <w:pPr>
              <w:jc w:val="center"/>
              <w:spacing w:after="0" w:line="130" w:lineRule="exact"/>
              <w:rPr>
                <w:sz w:val="20"/>
                <w:szCs w:val="20"/>
                <w:color w:val="auto"/>
              </w:rPr>
            </w:pPr>
            <w:r>
              <w:rPr>
                <w:rFonts w:ascii="Arial" w:cs="Arial" w:eastAsia="Arial" w:hAnsi="Arial"/>
                <w:sz w:val="14"/>
                <w:szCs w:val="14"/>
                <w:color w:val="auto"/>
                <w:w w:val="96"/>
              </w:rPr>
              <w:t>Other Media</w:t>
            </w:r>
          </w:p>
        </w:tc>
        <w:tc>
          <w:tcPr>
            <w:tcW w:w="640" w:type="dxa"/>
            <w:vAlign w:val="bottom"/>
            <w:shd w:val="clear" w:color="auto" w:fill="CCEEFF"/>
          </w:tcPr>
          <w:p>
            <w:pPr>
              <w:ind w:left="340"/>
              <w:spacing w:after="0" w:line="130" w:lineRule="exact"/>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ind w:left="580"/>
              <w:spacing w:after="0" w:line="130" w:lineRule="exact"/>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ind w:right="108"/>
              <w:spacing w:after="0" w:line="130" w:lineRule="exact"/>
              <w:rPr>
                <w:sz w:val="20"/>
                <w:szCs w:val="20"/>
                <w:color w:val="auto"/>
              </w:rPr>
            </w:pPr>
            <w:r>
              <w:rPr>
                <w:rFonts w:ascii="Arial" w:cs="Arial" w:eastAsia="Arial" w:hAnsi="Arial"/>
                <w:sz w:val="14"/>
                <w:szCs w:val="14"/>
                <w:color w:val="auto"/>
              </w:rPr>
              <w:t>4,325</w:t>
            </w:r>
          </w:p>
        </w:tc>
        <w:tc>
          <w:tcPr>
            <w:tcW w:w="80" w:type="dxa"/>
            <w:vAlign w:val="bottom"/>
            <w:shd w:val="clear" w:color="auto" w:fill="CCEEFF"/>
          </w:tcPr>
          <w:p>
            <w:pPr>
              <w:spacing w:after="0"/>
              <w:rPr>
                <w:sz w:val="11"/>
                <w:szCs w:val="11"/>
                <w:color w:val="auto"/>
              </w:rPr>
            </w:pPr>
          </w:p>
        </w:tc>
        <w:tc>
          <w:tcPr>
            <w:tcW w:w="920" w:type="dxa"/>
            <w:vAlign w:val="bottom"/>
            <w:gridSpan w:val="2"/>
            <w:shd w:val="clear" w:color="auto" w:fill="CCEEFF"/>
          </w:tcPr>
          <w:p>
            <w:pPr>
              <w:jc w:val="right"/>
              <w:ind w:right="80"/>
              <w:spacing w:after="0" w:line="130" w:lineRule="exact"/>
              <w:rPr>
                <w:sz w:val="20"/>
                <w:szCs w:val="20"/>
                <w:color w:val="auto"/>
              </w:rPr>
            </w:pPr>
            <w:r>
              <w:rPr>
                <w:rFonts w:ascii="Arial" w:cs="Arial" w:eastAsia="Arial" w:hAnsi="Arial"/>
                <w:sz w:val="14"/>
                <w:szCs w:val="14"/>
                <w:color w:val="auto"/>
              </w:rPr>
              <w:t>1,306,166</w:t>
            </w: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80" w:type="dxa"/>
            <w:vAlign w:val="bottom"/>
            <w:gridSpan w:val="2"/>
            <w:shd w:val="clear" w:color="auto" w:fill="CCEEFF"/>
          </w:tcPr>
          <w:p>
            <w:pPr>
              <w:jc w:val="right"/>
              <w:ind w:right="140"/>
              <w:spacing w:after="0" w:line="130" w:lineRule="exact"/>
              <w:rPr>
                <w:sz w:val="20"/>
                <w:szCs w:val="20"/>
                <w:color w:val="auto"/>
              </w:rPr>
            </w:pPr>
            <w:r>
              <w:rPr>
                <w:rFonts w:ascii="Arial" w:cs="Arial" w:eastAsia="Arial" w:hAnsi="Arial"/>
                <w:sz w:val="14"/>
                <w:szCs w:val="14"/>
                <w:color w:val="auto"/>
              </w:rPr>
              <w:t>2,303,044</w:t>
            </w:r>
          </w:p>
        </w:tc>
        <w:tc>
          <w:tcPr>
            <w:tcW w:w="0" w:type="dxa"/>
            <w:vAlign w:val="bottom"/>
          </w:tcPr>
          <w:p>
            <w:pPr>
              <w:spacing w:after="0"/>
              <w:rPr>
                <w:sz w:val="1"/>
                <w:szCs w:val="1"/>
                <w:color w:val="auto"/>
              </w:rPr>
            </w:pPr>
          </w:p>
        </w:tc>
      </w:tr>
      <w:tr>
        <w:trPr>
          <w:trHeight w:val="167"/>
        </w:trPr>
        <w:tc>
          <w:tcPr>
            <w:tcW w:w="4560" w:type="dxa"/>
            <w:vAlign w:val="bottom"/>
            <w:shd w:val="clear" w:color="auto" w:fill="CCEEFF"/>
          </w:tcPr>
          <w:p>
            <w:pPr>
              <w:ind w:left="160"/>
              <w:spacing w:after="0"/>
              <w:rPr>
                <w:sz w:val="20"/>
                <w:szCs w:val="20"/>
                <w:color w:val="auto"/>
              </w:rPr>
            </w:pPr>
            <w:r>
              <w:rPr>
                <w:rFonts w:ascii="Arial" w:cs="Arial" w:eastAsia="Arial" w:hAnsi="Arial"/>
                <w:sz w:val="14"/>
                <w:szCs w:val="14"/>
                <w:color w:val="auto"/>
              </w:rPr>
              <w:t>(Questex Media Group, LLC)</w:t>
            </w:r>
          </w:p>
        </w:tc>
        <w:tc>
          <w:tcPr>
            <w:tcW w:w="740" w:type="dxa"/>
            <w:vAlign w:val="bottom"/>
            <w:shd w:val="clear" w:color="auto" w:fill="CCEEFF"/>
          </w:tcPr>
          <w:p>
            <w:pPr>
              <w:spacing w:after="0"/>
              <w:rPr>
                <w:sz w:val="14"/>
                <w:szCs w:val="14"/>
                <w:color w:val="auto"/>
              </w:rPr>
            </w:pPr>
          </w:p>
        </w:tc>
        <w:tc>
          <w:tcPr>
            <w:tcW w:w="138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4560" w:type="dxa"/>
            <w:vAlign w:val="bottom"/>
          </w:tcPr>
          <w:p>
            <w:pPr>
              <w:spacing w:after="0" w:line="130" w:lineRule="exact"/>
              <w:rPr>
                <w:sz w:val="20"/>
                <w:szCs w:val="20"/>
                <w:color w:val="auto"/>
              </w:rPr>
            </w:pPr>
            <w:r>
              <w:rPr>
                <w:rFonts w:ascii="Arial" w:cs="Arial" w:eastAsia="Arial" w:hAnsi="Arial"/>
                <w:sz w:val="14"/>
                <w:szCs w:val="14"/>
                <w:color w:val="auto"/>
              </w:rPr>
              <w:t>QMG HoldCo, LLC, Class B</w:t>
            </w:r>
          </w:p>
        </w:tc>
        <w:tc>
          <w:tcPr>
            <w:tcW w:w="740" w:type="dxa"/>
            <w:vAlign w:val="bottom"/>
          </w:tcPr>
          <w:p>
            <w:pPr>
              <w:ind w:left="260"/>
              <w:spacing w:after="0" w:line="130" w:lineRule="exact"/>
              <w:rPr>
                <w:sz w:val="20"/>
                <w:szCs w:val="20"/>
                <w:color w:val="auto"/>
              </w:rPr>
            </w:pPr>
            <w:r>
              <w:rPr>
                <w:rFonts w:ascii="Arial" w:cs="Arial" w:eastAsia="Arial" w:hAnsi="Arial"/>
                <w:sz w:val="14"/>
                <w:szCs w:val="14"/>
                <w:color w:val="auto"/>
              </w:rPr>
              <w:t>—</w:t>
            </w:r>
          </w:p>
        </w:tc>
        <w:tc>
          <w:tcPr>
            <w:tcW w:w="1380" w:type="dxa"/>
            <w:vAlign w:val="bottom"/>
          </w:tcPr>
          <w:p>
            <w:pPr>
              <w:jc w:val="center"/>
              <w:spacing w:after="0" w:line="130" w:lineRule="exact"/>
              <w:rPr>
                <w:sz w:val="20"/>
                <w:szCs w:val="20"/>
                <w:color w:val="auto"/>
              </w:rPr>
            </w:pPr>
            <w:r>
              <w:rPr>
                <w:rFonts w:ascii="Arial" w:cs="Arial" w:eastAsia="Arial" w:hAnsi="Arial"/>
                <w:sz w:val="14"/>
                <w:szCs w:val="14"/>
                <w:color w:val="auto"/>
                <w:w w:val="96"/>
              </w:rPr>
              <w:t>Other Media</w:t>
            </w:r>
          </w:p>
        </w:tc>
        <w:tc>
          <w:tcPr>
            <w:tcW w:w="640" w:type="dxa"/>
            <w:vAlign w:val="bottom"/>
          </w:tcPr>
          <w:p>
            <w:pPr>
              <w:ind w:left="340"/>
              <w:spacing w:after="0" w:line="130" w:lineRule="exact"/>
              <w:rPr>
                <w:sz w:val="20"/>
                <w:szCs w:val="20"/>
                <w:color w:val="auto"/>
              </w:rPr>
            </w:pPr>
            <w:r>
              <w:rPr>
                <w:rFonts w:ascii="Arial" w:cs="Arial" w:eastAsia="Arial" w:hAnsi="Arial"/>
                <w:sz w:val="14"/>
                <w:szCs w:val="14"/>
                <w:color w:val="auto"/>
              </w:rPr>
              <w:t>—</w:t>
            </w:r>
          </w:p>
        </w:tc>
        <w:tc>
          <w:tcPr>
            <w:tcW w:w="900" w:type="dxa"/>
            <w:vAlign w:val="bottom"/>
          </w:tcPr>
          <w:p>
            <w:pPr>
              <w:ind w:left="580"/>
              <w:spacing w:after="0" w:line="130" w:lineRule="exact"/>
              <w:rPr>
                <w:sz w:val="20"/>
                <w:szCs w:val="20"/>
                <w:color w:val="auto"/>
              </w:rPr>
            </w:pPr>
            <w:r>
              <w:rPr>
                <w:rFonts w:ascii="Arial" w:cs="Arial" w:eastAsia="Arial" w:hAnsi="Arial"/>
                <w:sz w:val="14"/>
                <w:szCs w:val="14"/>
                <w:color w:val="auto"/>
              </w:rPr>
              <w:t>—</w:t>
            </w:r>
          </w:p>
        </w:tc>
        <w:tc>
          <w:tcPr>
            <w:tcW w:w="860" w:type="dxa"/>
            <w:vAlign w:val="bottom"/>
          </w:tcPr>
          <w:p>
            <w:pPr>
              <w:jc w:val="right"/>
              <w:ind w:right="108"/>
              <w:spacing w:after="0" w:line="130" w:lineRule="exact"/>
              <w:rPr>
                <w:sz w:val="20"/>
                <w:szCs w:val="20"/>
                <w:color w:val="auto"/>
              </w:rPr>
            </w:pPr>
            <w:r>
              <w:rPr>
                <w:rFonts w:ascii="Arial" w:cs="Arial" w:eastAsia="Arial" w:hAnsi="Arial"/>
                <w:sz w:val="14"/>
                <w:szCs w:val="14"/>
                <w:color w:val="auto"/>
              </w:rPr>
              <w:t>531</w:t>
            </w:r>
          </w:p>
        </w:tc>
        <w:tc>
          <w:tcPr>
            <w:tcW w:w="80" w:type="dxa"/>
            <w:vAlign w:val="bottom"/>
          </w:tcPr>
          <w:p>
            <w:pPr>
              <w:spacing w:after="0"/>
              <w:rPr>
                <w:sz w:val="11"/>
                <w:szCs w:val="11"/>
                <w:color w:val="auto"/>
              </w:rPr>
            </w:pPr>
          </w:p>
        </w:tc>
        <w:tc>
          <w:tcPr>
            <w:tcW w:w="920" w:type="dxa"/>
            <w:vAlign w:val="bottom"/>
            <w:gridSpan w:val="2"/>
          </w:tcPr>
          <w:p>
            <w:pPr>
              <w:ind w:left="620"/>
              <w:spacing w:after="0" w:line="130"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80" w:type="dxa"/>
            <w:vAlign w:val="bottom"/>
            <w:gridSpan w:val="2"/>
          </w:tcPr>
          <w:p>
            <w:pPr>
              <w:jc w:val="right"/>
              <w:ind w:right="140"/>
              <w:spacing w:after="0" w:line="130" w:lineRule="exact"/>
              <w:rPr>
                <w:sz w:val="20"/>
                <w:szCs w:val="20"/>
                <w:color w:val="auto"/>
              </w:rPr>
            </w:pPr>
            <w:r>
              <w:rPr>
                <w:rFonts w:ascii="Arial" w:cs="Arial" w:eastAsia="Arial" w:hAnsi="Arial"/>
                <w:sz w:val="14"/>
                <w:szCs w:val="14"/>
                <w:color w:val="auto"/>
              </w:rPr>
              <w:t>282,755</w:t>
            </w:r>
          </w:p>
        </w:tc>
        <w:tc>
          <w:tcPr>
            <w:tcW w:w="0" w:type="dxa"/>
            <w:vAlign w:val="bottom"/>
          </w:tcPr>
          <w:p>
            <w:pPr>
              <w:spacing w:after="0"/>
              <w:rPr>
                <w:sz w:val="1"/>
                <w:szCs w:val="1"/>
                <w:color w:val="auto"/>
              </w:rPr>
            </w:pPr>
          </w:p>
        </w:tc>
      </w:tr>
      <w:tr>
        <w:trPr>
          <w:trHeight w:val="167"/>
        </w:trPr>
        <w:tc>
          <w:tcPr>
            <w:tcW w:w="4560" w:type="dxa"/>
            <w:vAlign w:val="bottom"/>
          </w:tcPr>
          <w:p>
            <w:pPr>
              <w:ind w:left="160"/>
              <w:spacing w:after="0"/>
              <w:rPr>
                <w:sz w:val="20"/>
                <w:szCs w:val="20"/>
                <w:color w:val="auto"/>
              </w:rPr>
            </w:pPr>
            <w:r>
              <w:rPr>
                <w:rFonts w:ascii="Arial" w:cs="Arial" w:eastAsia="Arial" w:hAnsi="Arial"/>
                <w:sz w:val="14"/>
                <w:szCs w:val="14"/>
                <w:color w:val="auto"/>
              </w:rPr>
              <w:t>(Questex Media Group, LLC)</w:t>
            </w:r>
          </w:p>
        </w:tc>
        <w:tc>
          <w:tcPr>
            <w:tcW w:w="74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456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SPG Boyd Holdings Corp.</w:t>
            </w:r>
          </w:p>
        </w:tc>
        <w:tc>
          <w:tcPr>
            <w:tcW w:w="740" w:type="dxa"/>
            <w:vAlign w:val="bottom"/>
            <w:shd w:val="clear" w:color="auto" w:fill="CCEEFF"/>
          </w:tcPr>
          <w:p>
            <w:pPr>
              <w:ind w:left="260"/>
              <w:spacing w:after="0" w:line="130" w:lineRule="exact"/>
              <w:rPr>
                <w:sz w:val="20"/>
                <w:szCs w:val="20"/>
                <w:color w:val="auto"/>
              </w:rPr>
            </w:pPr>
            <w:r>
              <w:rPr>
                <w:rFonts w:ascii="Arial" w:cs="Arial" w:eastAsia="Arial" w:hAnsi="Arial"/>
                <w:sz w:val="14"/>
                <w:szCs w:val="14"/>
                <w:color w:val="auto"/>
              </w:rPr>
              <w:t>—</w:t>
            </w:r>
          </w:p>
        </w:tc>
        <w:tc>
          <w:tcPr>
            <w:tcW w:w="1380" w:type="dxa"/>
            <w:vAlign w:val="bottom"/>
            <w:shd w:val="clear" w:color="auto" w:fill="CCEEFF"/>
          </w:tcPr>
          <w:p>
            <w:pPr>
              <w:jc w:val="center"/>
              <w:spacing w:after="0" w:line="130" w:lineRule="exact"/>
              <w:rPr>
                <w:sz w:val="20"/>
                <w:szCs w:val="20"/>
                <w:color w:val="auto"/>
              </w:rPr>
            </w:pPr>
            <w:r>
              <w:rPr>
                <w:rFonts w:ascii="Arial" w:cs="Arial" w:eastAsia="Arial" w:hAnsi="Arial"/>
                <w:sz w:val="14"/>
                <w:szCs w:val="14"/>
                <w:color w:val="auto"/>
                <w:w w:val="92"/>
              </w:rPr>
              <w:t>Chemical, Plastic and</w:t>
            </w:r>
          </w:p>
        </w:tc>
        <w:tc>
          <w:tcPr>
            <w:tcW w:w="640" w:type="dxa"/>
            <w:vAlign w:val="bottom"/>
            <w:shd w:val="clear" w:color="auto" w:fill="CCEEFF"/>
          </w:tcPr>
          <w:p>
            <w:pPr>
              <w:ind w:left="340"/>
              <w:spacing w:after="0" w:line="130" w:lineRule="exact"/>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ind w:left="580"/>
              <w:spacing w:after="0" w:line="130" w:lineRule="exact"/>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ind w:right="108"/>
              <w:spacing w:after="0" w:line="130" w:lineRule="exact"/>
              <w:rPr>
                <w:sz w:val="20"/>
                <w:szCs w:val="20"/>
                <w:color w:val="auto"/>
              </w:rPr>
            </w:pPr>
            <w:r>
              <w:rPr>
                <w:rFonts w:ascii="Arial" w:cs="Arial" w:eastAsia="Arial" w:hAnsi="Arial"/>
                <w:sz w:val="14"/>
                <w:szCs w:val="14"/>
                <w:color w:val="auto"/>
              </w:rPr>
              <w:t>3,000</w:t>
            </w:r>
          </w:p>
        </w:tc>
        <w:tc>
          <w:tcPr>
            <w:tcW w:w="80" w:type="dxa"/>
            <w:vAlign w:val="bottom"/>
            <w:shd w:val="clear" w:color="auto" w:fill="CCEEFF"/>
          </w:tcPr>
          <w:p>
            <w:pPr>
              <w:spacing w:after="0"/>
              <w:rPr>
                <w:sz w:val="11"/>
                <w:szCs w:val="11"/>
                <w:color w:val="auto"/>
              </w:rPr>
            </w:pPr>
          </w:p>
        </w:tc>
        <w:tc>
          <w:tcPr>
            <w:tcW w:w="920" w:type="dxa"/>
            <w:vAlign w:val="bottom"/>
            <w:gridSpan w:val="2"/>
            <w:shd w:val="clear" w:color="auto" w:fill="CCEEFF"/>
          </w:tcPr>
          <w:p>
            <w:pPr>
              <w:jc w:val="right"/>
              <w:ind w:right="80"/>
              <w:spacing w:after="0" w:line="130" w:lineRule="exact"/>
              <w:rPr>
                <w:sz w:val="20"/>
                <w:szCs w:val="20"/>
                <w:color w:val="auto"/>
              </w:rPr>
            </w:pPr>
            <w:r>
              <w:rPr>
                <w:rFonts w:ascii="Arial" w:cs="Arial" w:eastAsia="Arial" w:hAnsi="Arial"/>
                <w:sz w:val="14"/>
                <w:szCs w:val="14"/>
                <w:color w:val="auto"/>
              </w:rPr>
              <w:t>3,000,000</w:t>
            </w: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80" w:type="dxa"/>
            <w:vAlign w:val="bottom"/>
            <w:gridSpan w:val="2"/>
            <w:shd w:val="clear" w:color="auto" w:fill="CCEEFF"/>
          </w:tcPr>
          <w:p>
            <w:pPr>
              <w:jc w:val="right"/>
              <w:ind w:right="140"/>
              <w:spacing w:after="0" w:line="130" w:lineRule="exact"/>
              <w:rPr>
                <w:sz w:val="20"/>
                <w:szCs w:val="20"/>
                <w:color w:val="auto"/>
              </w:rPr>
            </w:pPr>
            <w:r>
              <w:rPr>
                <w:rFonts w:ascii="Arial" w:cs="Arial" w:eastAsia="Arial" w:hAnsi="Arial"/>
                <w:sz w:val="14"/>
                <w:szCs w:val="14"/>
                <w:color w:val="auto"/>
              </w:rPr>
              <w:t>6,486,623</w:t>
            </w:r>
          </w:p>
        </w:tc>
        <w:tc>
          <w:tcPr>
            <w:tcW w:w="0" w:type="dxa"/>
            <w:vAlign w:val="bottom"/>
          </w:tcPr>
          <w:p>
            <w:pPr>
              <w:spacing w:after="0"/>
              <w:rPr>
                <w:sz w:val="1"/>
                <w:szCs w:val="1"/>
                <w:color w:val="auto"/>
              </w:rPr>
            </w:pPr>
          </w:p>
        </w:tc>
      </w:tr>
      <w:tr>
        <w:trPr>
          <w:trHeight w:val="167"/>
        </w:trPr>
        <w:tc>
          <w:tcPr>
            <w:tcW w:w="4560" w:type="dxa"/>
            <w:vAlign w:val="bottom"/>
            <w:shd w:val="clear" w:color="auto" w:fill="CCEEFF"/>
          </w:tcPr>
          <w:p>
            <w:pPr>
              <w:ind w:left="160"/>
              <w:spacing w:after="0"/>
              <w:rPr>
                <w:sz w:val="20"/>
                <w:szCs w:val="20"/>
                <w:color w:val="auto"/>
              </w:rPr>
            </w:pPr>
            <w:r>
              <w:rPr>
                <w:rFonts w:ascii="Arial" w:cs="Arial" w:eastAsia="Arial" w:hAnsi="Arial"/>
                <w:sz w:val="14"/>
                <w:szCs w:val="14"/>
                <w:color w:val="auto"/>
              </w:rPr>
              <w:t>(LTI Flexible Products, Inc.)</w:t>
            </w:r>
          </w:p>
        </w:tc>
        <w:tc>
          <w:tcPr>
            <w:tcW w:w="740" w:type="dxa"/>
            <w:vAlign w:val="bottom"/>
            <w:shd w:val="clear" w:color="auto" w:fill="CCEEFF"/>
          </w:tcPr>
          <w:p>
            <w:pPr>
              <w:spacing w:after="0"/>
              <w:rPr>
                <w:sz w:val="14"/>
                <w:szCs w:val="14"/>
                <w:color w:val="auto"/>
              </w:rPr>
            </w:pPr>
          </w:p>
        </w:tc>
        <w:tc>
          <w:tcPr>
            <w:tcW w:w="13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1"/>
              </w:rPr>
              <w:t>Rubber</w:t>
            </w:r>
          </w:p>
        </w:tc>
        <w:tc>
          <w:tcPr>
            <w:tcW w:w="64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4560" w:type="dxa"/>
            <w:vAlign w:val="bottom"/>
          </w:tcPr>
          <w:p>
            <w:pPr>
              <w:spacing w:after="0" w:line="149" w:lineRule="exact"/>
              <w:rPr>
                <w:sz w:val="20"/>
                <w:szCs w:val="20"/>
                <w:color w:val="auto"/>
              </w:rPr>
            </w:pPr>
            <w:r>
              <w:rPr>
                <w:rFonts w:ascii="Arial" w:cs="Arial" w:eastAsia="Arial" w:hAnsi="Arial"/>
                <w:sz w:val="14"/>
                <w:szCs w:val="14"/>
                <w:color w:val="auto"/>
              </w:rPr>
              <w:t>TRAK Acquisition Corp. (Warrants)</w:t>
            </w:r>
          </w:p>
        </w:tc>
        <w:tc>
          <w:tcPr>
            <w:tcW w:w="740" w:type="dxa"/>
            <w:vAlign w:val="bottom"/>
          </w:tcPr>
          <w:p>
            <w:pPr>
              <w:ind w:left="40"/>
              <w:spacing w:after="0" w:line="149" w:lineRule="exact"/>
              <w:rPr>
                <w:sz w:val="20"/>
                <w:szCs w:val="20"/>
                <w:color w:val="auto"/>
              </w:rPr>
            </w:pPr>
            <w:r>
              <w:rPr>
                <w:rFonts w:ascii="Arial" w:cs="Arial" w:eastAsia="Arial" w:hAnsi="Arial"/>
                <w:sz w:val="14"/>
                <w:szCs w:val="14"/>
                <w:color w:val="auto"/>
                <w:w w:val="96"/>
              </w:rPr>
              <w:t>12/29/2019</w:t>
            </w:r>
          </w:p>
        </w:tc>
        <w:tc>
          <w:tcPr>
            <w:tcW w:w="1380" w:type="dxa"/>
            <w:vAlign w:val="bottom"/>
          </w:tcPr>
          <w:p>
            <w:pPr>
              <w:jc w:val="center"/>
              <w:spacing w:after="0" w:line="149" w:lineRule="exact"/>
              <w:rPr>
                <w:sz w:val="20"/>
                <w:szCs w:val="20"/>
                <w:color w:val="auto"/>
              </w:rPr>
            </w:pPr>
            <w:r>
              <w:rPr>
                <w:rFonts w:ascii="Arial" w:cs="Arial" w:eastAsia="Arial" w:hAnsi="Arial"/>
                <w:sz w:val="14"/>
                <w:szCs w:val="14"/>
                <w:color w:val="auto"/>
                <w:w w:val="90"/>
              </w:rPr>
              <w:t>Business Services</w:t>
            </w:r>
          </w:p>
        </w:tc>
        <w:tc>
          <w:tcPr>
            <w:tcW w:w="640" w:type="dxa"/>
            <w:vAlign w:val="bottom"/>
          </w:tcPr>
          <w:p>
            <w:pPr>
              <w:ind w:left="340"/>
              <w:spacing w:after="0" w:line="149" w:lineRule="exact"/>
              <w:rPr>
                <w:sz w:val="20"/>
                <w:szCs w:val="20"/>
                <w:color w:val="auto"/>
              </w:rPr>
            </w:pPr>
            <w:r>
              <w:rPr>
                <w:rFonts w:ascii="Arial" w:cs="Arial" w:eastAsia="Arial" w:hAnsi="Arial"/>
                <w:sz w:val="14"/>
                <w:szCs w:val="14"/>
                <w:color w:val="auto"/>
              </w:rPr>
              <w:t>—</w:t>
            </w:r>
          </w:p>
        </w:tc>
        <w:tc>
          <w:tcPr>
            <w:tcW w:w="900" w:type="dxa"/>
            <w:vAlign w:val="bottom"/>
          </w:tcPr>
          <w:p>
            <w:pPr>
              <w:ind w:left="580"/>
              <w:spacing w:after="0" w:line="149" w:lineRule="exact"/>
              <w:rPr>
                <w:sz w:val="20"/>
                <w:szCs w:val="20"/>
                <w:color w:val="auto"/>
              </w:rPr>
            </w:pPr>
            <w:r>
              <w:rPr>
                <w:rFonts w:ascii="Arial" w:cs="Arial" w:eastAsia="Arial" w:hAnsi="Arial"/>
                <w:sz w:val="14"/>
                <w:szCs w:val="14"/>
                <w:color w:val="auto"/>
              </w:rPr>
              <w:t>—</w:t>
            </w:r>
          </w:p>
        </w:tc>
        <w:tc>
          <w:tcPr>
            <w:tcW w:w="860" w:type="dxa"/>
            <w:vAlign w:val="bottom"/>
          </w:tcPr>
          <w:p>
            <w:pPr>
              <w:jc w:val="right"/>
              <w:ind w:right="108"/>
              <w:spacing w:after="0" w:line="149" w:lineRule="exact"/>
              <w:rPr>
                <w:sz w:val="20"/>
                <w:szCs w:val="20"/>
                <w:color w:val="auto"/>
              </w:rPr>
            </w:pPr>
            <w:r>
              <w:rPr>
                <w:rFonts w:ascii="Arial" w:cs="Arial" w:eastAsia="Arial" w:hAnsi="Arial"/>
                <w:sz w:val="14"/>
                <w:szCs w:val="14"/>
                <w:color w:val="auto"/>
              </w:rPr>
              <w:t>3,500</w:t>
            </w:r>
          </w:p>
        </w:tc>
        <w:tc>
          <w:tcPr>
            <w:tcW w:w="80" w:type="dxa"/>
            <w:vAlign w:val="bottom"/>
          </w:tcPr>
          <w:p>
            <w:pPr>
              <w:spacing w:after="0"/>
              <w:rPr>
                <w:sz w:val="12"/>
                <w:szCs w:val="12"/>
                <w:color w:val="auto"/>
              </w:rPr>
            </w:pPr>
          </w:p>
        </w:tc>
        <w:tc>
          <w:tcPr>
            <w:tcW w:w="9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29,400</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596,304</w:t>
            </w:r>
          </w:p>
        </w:tc>
        <w:tc>
          <w:tcPr>
            <w:tcW w:w="0" w:type="dxa"/>
            <w:vAlign w:val="bottom"/>
          </w:tcPr>
          <w:p>
            <w:pPr>
              <w:spacing w:after="0"/>
              <w:rPr>
                <w:sz w:val="1"/>
                <w:szCs w:val="1"/>
                <w:color w:val="auto"/>
              </w:rPr>
            </w:pPr>
          </w:p>
        </w:tc>
      </w:tr>
      <w:tr>
        <w:trPr>
          <w:trHeight w:val="130"/>
        </w:trPr>
        <w:tc>
          <w:tcPr>
            <w:tcW w:w="456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 xml:space="preserve">Transportation 100 Holdco, L.L.C. </w:t>
            </w:r>
            <w:r>
              <w:rPr>
                <w:rFonts w:ascii="Arial" w:cs="Arial" w:eastAsia="Arial" w:hAnsi="Arial"/>
                <w:sz w:val="12"/>
                <w:szCs w:val="12"/>
                <w:color w:val="auto"/>
              </w:rPr>
              <w:t>(13)</w:t>
            </w:r>
          </w:p>
        </w:tc>
        <w:tc>
          <w:tcPr>
            <w:tcW w:w="740" w:type="dxa"/>
            <w:vAlign w:val="bottom"/>
            <w:shd w:val="clear" w:color="auto" w:fill="CCEEFF"/>
          </w:tcPr>
          <w:p>
            <w:pPr>
              <w:ind w:left="260"/>
              <w:spacing w:after="0" w:line="130" w:lineRule="exact"/>
              <w:rPr>
                <w:sz w:val="20"/>
                <w:szCs w:val="20"/>
                <w:color w:val="auto"/>
              </w:rPr>
            </w:pPr>
            <w:r>
              <w:rPr>
                <w:rFonts w:ascii="Arial" w:cs="Arial" w:eastAsia="Arial" w:hAnsi="Arial"/>
                <w:sz w:val="14"/>
                <w:szCs w:val="14"/>
                <w:color w:val="auto"/>
              </w:rPr>
              <w:t>—</w:t>
            </w:r>
          </w:p>
        </w:tc>
        <w:tc>
          <w:tcPr>
            <w:tcW w:w="1380" w:type="dxa"/>
            <w:vAlign w:val="bottom"/>
            <w:shd w:val="clear" w:color="auto" w:fill="CCEEFF"/>
          </w:tcPr>
          <w:p>
            <w:pPr>
              <w:jc w:val="center"/>
              <w:spacing w:after="0" w:line="130" w:lineRule="exact"/>
              <w:rPr>
                <w:sz w:val="20"/>
                <w:szCs w:val="20"/>
                <w:color w:val="auto"/>
              </w:rPr>
            </w:pPr>
            <w:r>
              <w:rPr>
                <w:rFonts w:ascii="Arial" w:cs="Arial" w:eastAsia="Arial" w:hAnsi="Arial"/>
                <w:sz w:val="14"/>
                <w:szCs w:val="14"/>
                <w:color w:val="auto"/>
                <w:w w:val="92"/>
              </w:rPr>
              <w:t>Cargo Transport</w:t>
            </w:r>
          </w:p>
        </w:tc>
        <w:tc>
          <w:tcPr>
            <w:tcW w:w="640" w:type="dxa"/>
            <w:vAlign w:val="bottom"/>
            <w:shd w:val="clear" w:color="auto" w:fill="CCEEFF"/>
          </w:tcPr>
          <w:p>
            <w:pPr>
              <w:ind w:left="340"/>
              <w:spacing w:after="0" w:line="130" w:lineRule="exact"/>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ind w:left="580"/>
              <w:spacing w:after="0" w:line="130" w:lineRule="exact"/>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ind w:right="108"/>
              <w:spacing w:after="0" w:line="130" w:lineRule="exact"/>
              <w:rPr>
                <w:sz w:val="20"/>
                <w:szCs w:val="20"/>
                <w:color w:val="auto"/>
              </w:rPr>
            </w:pPr>
            <w:r>
              <w:rPr>
                <w:rFonts w:ascii="Arial" w:cs="Arial" w:eastAsia="Arial" w:hAnsi="Arial"/>
                <w:sz w:val="14"/>
                <w:szCs w:val="14"/>
                <w:color w:val="auto"/>
              </w:rPr>
              <w:t>137,923</w:t>
            </w:r>
          </w:p>
        </w:tc>
        <w:tc>
          <w:tcPr>
            <w:tcW w:w="80" w:type="dxa"/>
            <w:vAlign w:val="bottom"/>
            <w:shd w:val="clear" w:color="auto" w:fill="CCEEFF"/>
          </w:tcPr>
          <w:p>
            <w:pPr>
              <w:spacing w:after="0"/>
              <w:rPr>
                <w:sz w:val="11"/>
                <w:szCs w:val="11"/>
                <w:color w:val="auto"/>
              </w:rPr>
            </w:pPr>
          </w:p>
        </w:tc>
        <w:tc>
          <w:tcPr>
            <w:tcW w:w="920" w:type="dxa"/>
            <w:vAlign w:val="bottom"/>
            <w:gridSpan w:val="2"/>
            <w:shd w:val="clear" w:color="auto" w:fill="CCEEFF"/>
          </w:tcPr>
          <w:p>
            <w:pPr>
              <w:jc w:val="right"/>
              <w:ind w:right="80"/>
              <w:spacing w:after="0" w:line="130" w:lineRule="exact"/>
              <w:rPr>
                <w:sz w:val="20"/>
                <w:szCs w:val="20"/>
                <w:color w:val="auto"/>
              </w:rPr>
            </w:pPr>
            <w:r>
              <w:rPr>
                <w:rFonts w:ascii="Arial" w:cs="Arial" w:eastAsia="Arial" w:hAnsi="Arial"/>
                <w:sz w:val="14"/>
                <w:szCs w:val="14"/>
                <w:color w:val="auto"/>
              </w:rPr>
              <w:t>2,111,588</w:t>
            </w: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80" w:type="dxa"/>
            <w:vAlign w:val="bottom"/>
            <w:gridSpan w:val="2"/>
            <w:shd w:val="clear" w:color="auto" w:fill="CCEEFF"/>
          </w:tcPr>
          <w:p>
            <w:pPr>
              <w:jc w:val="right"/>
              <w:ind w:right="140"/>
              <w:spacing w:after="0" w:line="130" w:lineRule="exact"/>
              <w:rPr>
                <w:sz w:val="20"/>
                <w:szCs w:val="20"/>
                <w:color w:val="auto"/>
              </w:rPr>
            </w:pPr>
            <w:r>
              <w:rPr>
                <w:rFonts w:ascii="Arial" w:cs="Arial" w:eastAsia="Arial" w:hAnsi="Arial"/>
                <w:sz w:val="14"/>
                <w:szCs w:val="14"/>
                <w:color w:val="auto"/>
              </w:rPr>
              <w:t>433,133</w:t>
            </w:r>
          </w:p>
        </w:tc>
        <w:tc>
          <w:tcPr>
            <w:tcW w:w="0" w:type="dxa"/>
            <w:vAlign w:val="bottom"/>
          </w:tcPr>
          <w:p>
            <w:pPr>
              <w:spacing w:after="0"/>
              <w:rPr>
                <w:sz w:val="1"/>
                <w:szCs w:val="1"/>
                <w:color w:val="auto"/>
              </w:rPr>
            </w:pPr>
          </w:p>
        </w:tc>
      </w:tr>
      <w:tr>
        <w:trPr>
          <w:trHeight w:val="167"/>
        </w:trPr>
        <w:tc>
          <w:tcPr>
            <w:tcW w:w="4560" w:type="dxa"/>
            <w:vAlign w:val="bottom"/>
            <w:shd w:val="clear" w:color="auto" w:fill="CCEEFF"/>
          </w:tcPr>
          <w:p>
            <w:pPr>
              <w:ind w:left="160"/>
              <w:spacing w:after="0"/>
              <w:rPr>
                <w:sz w:val="20"/>
                <w:szCs w:val="20"/>
                <w:color w:val="auto"/>
              </w:rPr>
            </w:pPr>
            <w:r>
              <w:rPr>
                <w:rFonts w:ascii="Arial" w:cs="Arial" w:eastAsia="Arial" w:hAnsi="Arial"/>
                <w:sz w:val="14"/>
                <w:szCs w:val="14"/>
                <w:color w:val="auto"/>
              </w:rPr>
              <w:t>(Intermediate Transportation 100, L.L.C.)</w:t>
            </w:r>
          </w:p>
        </w:tc>
        <w:tc>
          <w:tcPr>
            <w:tcW w:w="740" w:type="dxa"/>
            <w:vAlign w:val="bottom"/>
            <w:shd w:val="clear" w:color="auto" w:fill="CCEEFF"/>
          </w:tcPr>
          <w:p>
            <w:pPr>
              <w:spacing w:after="0"/>
              <w:rPr>
                <w:sz w:val="14"/>
                <w:szCs w:val="14"/>
                <w:color w:val="auto"/>
              </w:rPr>
            </w:pPr>
          </w:p>
        </w:tc>
        <w:tc>
          <w:tcPr>
            <w:tcW w:w="138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4560" w:type="dxa"/>
            <w:vAlign w:val="bottom"/>
          </w:tcPr>
          <w:p>
            <w:pPr>
              <w:spacing w:after="0" w:line="149" w:lineRule="exact"/>
              <w:rPr>
                <w:sz w:val="20"/>
                <w:szCs w:val="20"/>
                <w:color w:val="auto"/>
              </w:rPr>
            </w:pPr>
            <w:r>
              <w:rPr>
                <w:rFonts w:ascii="Arial" w:cs="Arial" w:eastAsia="Arial" w:hAnsi="Arial"/>
                <w:sz w:val="14"/>
                <w:szCs w:val="14"/>
                <w:color w:val="auto"/>
              </w:rPr>
              <w:t>TZ Holdings, L.P.</w:t>
            </w:r>
          </w:p>
        </w:tc>
        <w:tc>
          <w:tcPr>
            <w:tcW w:w="740" w:type="dxa"/>
            <w:vAlign w:val="bottom"/>
          </w:tcPr>
          <w:p>
            <w:pPr>
              <w:ind w:left="260"/>
              <w:spacing w:after="0" w:line="149" w:lineRule="exact"/>
              <w:rPr>
                <w:sz w:val="20"/>
                <w:szCs w:val="20"/>
                <w:color w:val="auto"/>
              </w:rPr>
            </w:pPr>
            <w:r>
              <w:rPr>
                <w:rFonts w:ascii="Arial" w:cs="Arial" w:eastAsia="Arial" w:hAnsi="Arial"/>
                <w:sz w:val="14"/>
                <w:szCs w:val="14"/>
                <w:color w:val="auto"/>
              </w:rPr>
              <w:t>—</w:t>
            </w:r>
          </w:p>
        </w:tc>
        <w:tc>
          <w:tcPr>
            <w:tcW w:w="1380" w:type="dxa"/>
            <w:vAlign w:val="bottom"/>
          </w:tcPr>
          <w:p>
            <w:pPr>
              <w:jc w:val="center"/>
              <w:spacing w:after="0" w:line="149" w:lineRule="exact"/>
              <w:rPr>
                <w:sz w:val="20"/>
                <w:szCs w:val="20"/>
                <w:color w:val="auto"/>
              </w:rPr>
            </w:pPr>
            <w:r>
              <w:rPr>
                <w:rFonts w:ascii="Arial" w:cs="Arial" w:eastAsia="Arial" w:hAnsi="Arial"/>
                <w:sz w:val="14"/>
                <w:szCs w:val="14"/>
                <w:color w:val="auto"/>
                <w:w w:val="91"/>
              </w:rPr>
              <w:t>Insurance</w:t>
            </w:r>
          </w:p>
        </w:tc>
        <w:tc>
          <w:tcPr>
            <w:tcW w:w="640" w:type="dxa"/>
            <w:vAlign w:val="bottom"/>
          </w:tcPr>
          <w:p>
            <w:pPr>
              <w:ind w:left="340"/>
              <w:spacing w:after="0" w:line="149" w:lineRule="exact"/>
              <w:rPr>
                <w:sz w:val="20"/>
                <w:szCs w:val="20"/>
                <w:color w:val="auto"/>
              </w:rPr>
            </w:pPr>
            <w:r>
              <w:rPr>
                <w:rFonts w:ascii="Arial" w:cs="Arial" w:eastAsia="Arial" w:hAnsi="Arial"/>
                <w:sz w:val="14"/>
                <w:szCs w:val="14"/>
                <w:color w:val="auto"/>
              </w:rPr>
              <w:t>—</w:t>
            </w:r>
          </w:p>
        </w:tc>
        <w:tc>
          <w:tcPr>
            <w:tcW w:w="900" w:type="dxa"/>
            <w:vAlign w:val="bottom"/>
          </w:tcPr>
          <w:p>
            <w:pPr>
              <w:ind w:left="580"/>
              <w:spacing w:after="0" w:line="149" w:lineRule="exact"/>
              <w:rPr>
                <w:sz w:val="20"/>
                <w:szCs w:val="20"/>
                <w:color w:val="auto"/>
              </w:rPr>
            </w:pPr>
            <w:r>
              <w:rPr>
                <w:rFonts w:ascii="Arial" w:cs="Arial" w:eastAsia="Arial" w:hAnsi="Arial"/>
                <w:sz w:val="14"/>
                <w:szCs w:val="14"/>
                <w:color w:val="auto"/>
              </w:rPr>
              <w:t>—</w:t>
            </w:r>
          </w:p>
        </w:tc>
        <w:tc>
          <w:tcPr>
            <w:tcW w:w="860" w:type="dxa"/>
            <w:vAlign w:val="bottom"/>
          </w:tcPr>
          <w:p>
            <w:pPr>
              <w:jc w:val="right"/>
              <w:ind w:right="108"/>
              <w:spacing w:after="0" w:line="149" w:lineRule="exact"/>
              <w:rPr>
                <w:sz w:val="20"/>
                <w:szCs w:val="20"/>
                <w:color w:val="auto"/>
              </w:rPr>
            </w:pPr>
            <w:r>
              <w:rPr>
                <w:rFonts w:ascii="Arial" w:cs="Arial" w:eastAsia="Arial" w:hAnsi="Arial"/>
                <w:sz w:val="14"/>
                <w:szCs w:val="14"/>
                <w:color w:val="auto"/>
              </w:rPr>
              <w:t>2</w:t>
            </w:r>
          </w:p>
        </w:tc>
        <w:tc>
          <w:tcPr>
            <w:tcW w:w="80" w:type="dxa"/>
            <w:vAlign w:val="bottom"/>
          </w:tcPr>
          <w:p>
            <w:pPr>
              <w:spacing w:after="0"/>
              <w:rPr>
                <w:sz w:val="12"/>
                <w:szCs w:val="12"/>
                <w:color w:val="auto"/>
              </w:rPr>
            </w:pPr>
          </w:p>
        </w:tc>
        <w:tc>
          <w:tcPr>
            <w:tcW w:w="9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9,567</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gridSpan w:val="2"/>
          </w:tcPr>
          <w:p>
            <w:pPr>
              <w:ind w:left="62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0"/>
        </w:trPr>
        <w:tc>
          <w:tcPr>
            <w:tcW w:w="456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Vestcom Parent Holdings, Inc.</w:t>
            </w:r>
          </w:p>
        </w:tc>
        <w:tc>
          <w:tcPr>
            <w:tcW w:w="740" w:type="dxa"/>
            <w:vAlign w:val="bottom"/>
            <w:shd w:val="clear" w:color="auto" w:fill="CCEEFF"/>
          </w:tcPr>
          <w:p>
            <w:pPr>
              <w:ind w:left="260"/>
              <w:spacing w:after="0" w:line="130" w:lineRule="exact"/>
              <w:rPr>
                <w:sz w:val="20"/>
                <w:szCs w:val="20"/>
                <w:color w:val="auto"/>
              </w:rPr>
            </w:pPr>
            <w:r>
              <w:rPr>
                <w:rFonts w:ascii="Arial" w:cs="Arial" w:eastAsia="Arial" w:hAnsi="Arial"/>
                <w:sz w:val="14"/>
                <w:szCs w:val="14"/>
                <w:color w:val="auto"/>
              </w:rPr>
              <w:t>—</w:t>
            </w:r>
          </w:p>
        </w:tc>
        <w:tc>
          <w:tcPr>
            <w:tcW w:w="1380" w:type="dxa"/>
            <w:vAlign w:val="bottom"/>
            <w:shd w:val="clear" w:color="auto" w:fill="CCEEFF"/>
          </w:tcPr>
          <w:p>
            <w:pPr>
              <w:jc w:val="center"/>
              <w:spacing w:after="0" w:line="130" w:lineRule="exact"/>
              <w:rPr>
                <w:sz w:val="20"/>
                <w:szCs w:val="20"/>
                <w:color w:val="auto"/>
              </w:rPr>
            </w:pPr>
            <w:r>
              <w:rPr>
                <w:rFonts w:ascii="Arial" w:cs="Arial" w:eastAsia="Arial" w:hAnsi="Arial"/>
                <w:sz w:val="14"/>
                <w:szCs w:val="14"/>
                <w:color w:val="auto"/>
                <w:w w:val="93"/>
              </w:rPr>
              <w:t>Printing and</w:t>
            </w:r>
          </w:p>
        </w:tc>
        <w:tc>
          <w:tcPr>
            <w:tcW w:w="640" w:type="dxa"/>
            <w:vAlign w:val="bottom"/>
            <w:shd w:val="clear" w:color="auto" w:fill="CCEEFF"/>
          </w:tcPr>
          <w:p>
            <w:pPr>
              <w:ind w:left="340"/>
              <w:spacing w:after="0" w:line="130" w:lineRule="exact"/>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ind w:left="580"/>
              <w:spacing w:after="0" w:line="130" w:lineRule="exact"/>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ind w:right="108"/>
              <w:spacing w:after="0" w:line="130" w:lineRule="exact"/>
              <w:rPr>
                <w:sz w:val="20"/>
                <w:szCs w:val="20"/>
                <w:color w:val="auto"/>
              </w:rPr>
            </w:pPr>
            <w:r>
              <w:rPr>
                <w:rFonts w:ascii="Arial" w:cs="Arial" w:eastAsia="Arial" w:hAnsi="Arial"/>
                <w:sz w:val="14"/>
                <w:szCs w:val="14"/>
                <w:color w:val="auto"/>
              </w:rPr>
              <w:t>211,797</w:t>
            </w:r>
          </w:p>
        </w:tc>
        <w:tc>
          <w:tcPr>
            <w:tcW w:w="80" w:type="dxa"/>
            <w:vAlign w:val="bottom"/>
            <w:shd w:val="clear" w:color="auto" w:fill="CCEEFF"/>
          </w:tcPr>
          <w:p>
            <w:pPr>
              <w:spacing w:after="0"/>
              <w:rPr>
                <w:sz w:val="11"/>
                <w:szCs w:val="11"/>
                <w:color w:val="auto"/>
              </w:rPr>
            </w:pPr>
          </w:p>
        </w:tc>
        <w:tc>
          <w:tcPr>
            <w:tcW w:w="920" w:type="dxa"/>
            <w:vAlign w:val="bottom"/>
            <w:gridSpan w:val="2"/>
            <w:shd w:val="clear" w:color="auto" w:fill="CCEEFF"/>
          </w:tcPr>
          <w:p>
            <w:pPr>
              <w:jc w:val="right"/>
              <w:ind w:right="80"/>
              <w:spacing w:after="0" w:line="130" w:lineRule="exact"/>
              <w:rPr>
                <w:sz w:val="20"/>
                <w:szCs w:val="20"/>
                <w:color w:val="auto"/>
              </w:rPr>
            </w:pPr>
            <w:r>
              <w:rPr>
                <w:rFonts w:ascii="Arial" w:cs="Arial" w:eastAsia="Arial" w:hAnsi="Arial"/>
                <w:sz w:val="14"/>
                <w:szCs w:val="14"/>
                <w:color w:val="auto"/>
              </w:rPr>
              <w:t>2,325,555</w:t>
            </w: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80" w:type="dxa"/>
            <w:vAlign w:val="bottom"/>
            <w:gridSpan w:val="2"/>
            <w:shd w:val="clear" w:color="auto" w:fill="CCEEFF"/>
          </w:tcPr>
          <w:p>
            <w:pPr>
              <w:jc w:val="right"/>
              <w:ind w:right="140"/>
              <w:spacing w:after="0" w:line="130" w:lineRule="exact"/>
              <w:rPr>
                <w:sz w:val="20"/>
                <w:szCs w:val="20"/>
                <w:color w:val="auto"/>
              </w:rPr>
            </w:pPr>
            <w:r>
              <w:rPr>
                <w:rFonts w:ascii="Arial" w:cs="Arial" w:eastAsia="Arial" w:hAnsi="Arial"/>
                <w:sz w:val="14"/>
                <w:szCs w:val="14"/>
                <w:color w:val="auto"/>
              </w:rPr>
              <w:t>3,298,311</w:t>
            </w:r>
          </w:p>
        </w:tc>
        <w:tc>
          <w:tcPr>
            <w:tcW w:w="0" w:type="dxa"/>
            <w:vAlign w:val="bottom"/>
          </w:tcPr>
          <w:p>
            <w:pPr>
              <w:spacing w:after="0"/>
              <w:rPr>
                <w:sz w:val="1"/>
                <w:szCs w:val="1"/>
                <w:color w:val="auto"/>
              </w:rPr>
            </w:pPr>
          </w:p>
        </w:tc>
      </w:tr>
      <w:tr>
        <w:trPr>
          <w:trHeight w:val="167"/>
        </w:trPr>
        <w:tc>
          <w:tcPr>
            <w:tcW w:w="4560" w:type="dxa"/>
            <w:vAlign w:val="bottom"/>
            <w:shd w:val="clear" w:color="auto" w:fill="CCEEFF"/>
          </w:tcPr>
          <w:p>
            <w:pPr>
              <w:ind w:left="160"/>
              <w:spacing w:after="0"/>
              <w:rPr>
                <w:sz w:val="20"/>
                <w:szCs w:val="20"/>
                <w:color w:val="auto"/>
              </w:rPr>
            </w:pPr>
            <w:r>
              <w:rPr>
                <w:rFonts w:ascii="Arial" w:cs="Arial" w:eastAsia="Arial" w:hAnsi="Arial"/>
                <w:sz w:val="14"/>
                <w:szCs w:val="14"/>
                <w:color w:val="auto"/>
              </w:rPr>
              <w:t>(Vestcom International, Inc.)</w:t>
            </w:r>
          </w:p>
        </w:tc>
        <w:tc>
          <w:tcPr>
            <w:tcW w:w="740" w:type="dxa"/>
            <w:vAlign w:val="bottom"/>
            <w:shd w:val="clear" w:color="auto" w:fill="CCEEFF"/>
          </w:tcPr>
          <w:p>
            <w:pPr>
              <w:spacing w:after="0"/>
              <w:rPr>
                <w:sz w:val="14"/>
                <w:szCs w:val="14"/>
                <w:color w:val="auto"/>
              </w:rPr>
            </w:pPr>
          </w:p>
        </w:tc>
        <w:tc>
          <w:tcPr>
            <w:tcW w:w="13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5"/>
              </w:rPr>
              <w:t>Publishing</w:t>
            </w:r>
          </w:p>
        </w:tc>
        <w:tc>
          <w:tcPr>
            <w:tcW w:w="64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4560" w:type="dxa"/>
            <w:vAlign w:val="bottom"/>
          </w:tcPr>
          <w:p>
            <w:pPr>
              <w:spacing w:after="0" w:line="130" w:lineRule="exact"/>
              <w:rPr>
                <w:sz w:val="20"/>
                <w:szCs w:val="20"/>
                <w:color w:val="auto"/>
              </w:rPr>
            </w:pPr>
            <w:r>
              <w:rPr>
                <w:rFonts w:ascii="Arial" w:cs="Arial" w:eastAsia="Arial" w:hAnsi="Arial"/>
                <w:sz w:val="14"/>
                <w:szCs w:val="14"/>
                <w:color w:val="auto"/>
              </w:rPr>
              <w:t>VRide Holdings Inc.</w:t>
            </w:r>
          </w:p>
        </w:tc>
        <w:tc>
          <w:tcPr>
            <w:tcW w:w="740" w:type="dxa"/>
            <w:vAlign w:val="bottom"/>
          </w:tcPr>
          <w:p>
            <w:pPr>
              <w:ind w:left="260"/>
              <w:spacing w:after="0" w:line="130" w:lineRule="exact"/>
              <w:rPr>
                <w:sz w:val="20"/>
                <w:szCs w:val="20"/>
                <w:color w:val="auto"/>
              </w:rPr>
            </w:pPr>
            <w:r>
              <w:rPr>
                <w:rFonts w:ascii="Arial" w:cs="Arial" w:eastAsia="Arial" w:hAnsi="Arial"/>
                <w:sz w:val="14"/>
                <w:szCs w:val="14"/>
                <w:color w:val="auto"/>
              </w:rPr>
              <w:t>—</w:t>
            </w:r>
          </w:p>
        </w:tc>
        <w:tc>
          <w:tcPr>
            <w:tcW w:w="1380" w:type="dxa"/>
            <w:vAlign w:val="bottom"/>
          </w:tcPr>
          <w:p>
            <w:pPr>
              <w:jc w:val="center"/>
              <w:spacing w:after="0" w:line="130" w:lineRule="exact"/>
              <w:rPr>
                <w:sz w:val="20"/>
                <w:szCs w:val="20"/>
                <w:color w:val="auto"/>
              </w:rPr>
            </w:pPr>
            <w:r>
              <w:rPr>
                <w:rFonts w:ascii="Arial" w:cs="Arial" w:eastAsia="Arial" w:hAnsi="Arial"/>
                <w:sz w:val="14"/>
                <w:szCs w:val="14"/>
                <w:color w:val="auto"/>
                <w:w w:val="90"/>
              </w:rPr>
              <w:t>Personal</w:t>
            </w:r>
          </w:p>
        </w:tc>
        <w:tc>
          <w:tcPr>
            <w:tcW w:w="640" w:type="dxa"/>
            <w:vAlign w:val="bottom"/>
          </w:tcPr>
          <w:p>
            <w:pPr>
              <w:ind w:left="340"/>
              <w:spacing w:after="0" w:line="130" w:lineRule="exact"/>
              <w:rPr>
                <w:sz w:val="20"/>
                <w:szCs w:val="20"/>
                <w:color w:val="auto"/>
              </w:rPr>
            </w:pPr>
            <w:r>
              <w:rPr>
                <w:rFonts w:ascii="Arial" w:cs="Arial" w:eastAsia="Arial" w:hAnsi="Arial"/>
                <w:sz w:val="14"/>
                <w:szCs w:val="14"/>
                <w:color w:val="auto"/>
              </w:rPr>
              <w:t>—</w:t>
            </w:r>
          </w:p>
        </w:tc>
        <w:tc>
          <w:tcPr>
            <w:tcW w:w="900" w:type="dxa"/>
            <w:vAlign w:val="bottom"/>
          </w:tcPr>
          <w:p>
            <w:pPr>
              <w:ind w:left="580"/>
              <w:spacing w:after="0" w:line="130" w:lineRule="exact"/>
              <w:rPr>
                <w:sz w:val="20"/>
                <w:szCs w:val="20"/>
                <w:color w:val="auto"/>
              </w:rPr>
            </w:pPr>
            <w:r>
              <w:rPr>
                <w:rFonts w:ascii="Arial" w:cs="Arial" w:eastAsia="Arial" w:hAnsi="Arial"/>
                <w:sz w:val="14"/>
                <w:szCs w:val="14"/>
                <w:color w:val="auto"/>
              </w:rPr>
              <w:t>—</w:t>
            </w:r>
          </w:p>
        </w:tc>
        <w:tc>
          <w:tcPr>
            <w:tcW w:w="860" w:type="dxa"/>
            <w:vAlign w:val="bottom"/>
          </w:tcPr>
          <w:p>
            <w:pPr>
              <w:jc w:val="right"/>
              <w:ind w:right="108"/>
              <w:spacing w:after="0" w:line="130" w:lineRule="exact"/>
              <w:rPr>
                <w:sz w:val="20"/>
                <w:szCs w:val="20"/>
                <w:color w:val="auto"/>
              </w:rPr>
            </w:pPr>
            <w:r>
              <w:rPr>
                <w:rFonts w:ascii="Arial" w:cs="Arial" w:eastAsia="Arial" w:hAnsi="Arial"/>
                <w:sz w:val="14"/>
                <w:szCs w:val="14"/>
                <w:color w:val="auto"/>
              </w:rPr>
              <w:t>9,166</w:t>
            </w:r>
          </w:p>
        </w:tc>
        <w:tc>
          <w:tcPr>
            <w:tcW w:w="80" w:type="dxa"/>
            <w:vAlign w:val="bottom"/>
          </w:tcPr>
          <w:p>
            <w:pPr>
              <w:spacing w:after="0"/>
              <w:rPr>
                <w:sz w:val="11"/>
                <w:szCs w:val="11"/>
                <w:color w:val="auto"/>
              </w:rPr>
            </w:pPr>
          </w:p>
        </w:tc>
        <w:tc>
          <w:tcPr>
            <w:tcW w:w="920" w:type="dxa"/>
            <w:vAlign w:val="bottom"/>
            <w:gridSpan w:val="2"/>
          </w:tcPr>
          <w:p>
            <w:pPr>
              <w:jc w:val="right"/>
              <w:ind w:right="80"/>
              <w:spacing w:after="0" w:line="130" w:lineRule="exact"/>
              <w:rPr>
                <w:sz w:val="20"/>
                <w:szCs w:val="20"/>
                <w:color w:val="auto"/>
              </w:rPr>
            </w:pPr>
            <w:r>
              <w:rPr>
                <w:rFonts w:ascii="Arial" w:cs="Arial" w:eastAsia="Arial" w:hAnsi="Arial"/>
                <w:sz w:val="14"/>
                <w:szCs w:val="14"/>
                <w:color w:val="auto"/>
              </w:rPr>
              <w:t>9,166</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80" w:type="dxa"/>
            <w:vAlign w:val="bottom"/>
            <w:gridSpan w:val="2"/>
          </w:tcPr>
          <w:p>
            <w:pPr>
              <w:ind w:left="620"/>
              <w:spacing w:after="0" w:line="130"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7"/>
        </w:trPr>
        <w:tc>
          <w:tcPr>
            <w:tcW w:w="45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380" w:type="dxa"/>
            <w:vAlign w:val="bottom"/>
          </w:tcPr>
          <w:p>
            <w:pPr>
              <w:jc w:val="center"/>
              <w:spacing w:after="0"/>
              <w:rPr>
                <w:sz w:val="20"/>
                <w:szCs w:val="20"/>
                <w:color w:val="auto"/>
              </w:rPr>
            </w:pPr>
            <w:r>
              <w:rPr>
                <w:rFonts w:ascii="Arial" w:cs="Arial" w:eastAsia="Arial" w:hAnsi="Arial"/>
                <w:sz w:val="14"/>
                <w:szCs w:val="14"/>
                <w:color w:val="auto"/>
                <w:w w:val="93"/>
              </w:rPr>
              <w:t>Transportation</w:t>
            </w:r>
          </w:p>
        </w:tc>
        <w:tc>
          <w:tcPr>
            <w:tcW w:w="6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45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VText Holdings, Inc.</w:t>
            </w:r>
          </w:p>
        </w:tc>
        <w:tc>
          <w:tcPr>
            <w:tcW w:w="740" w:type="dxa"/>
            <w:vAlign w:val="bottom"/>
            <w:shd w:val="clear" w:color="auto" w:fill="CCEEFF"/>
          </w:tcPr>
          <w:p>
            <w:pPr>
              <w:ind w:left="260"/>
              <w:spacing w:after="0" w:line="149" w:lineRule="exact"/>
              <w:rPr>
                <w:sz w:val="20"/>
                <w:szCs w:val="20"/>
                <w:color w:val="auto"/>
              </w:rPr>
            </w:pPr>
            <w:r>
              <w:rPr>
                <w:rFonts w:ascii="Arial" w:cs="Arial" w:eastAsia="Arial" w:hAnsi="Arial"/>
                <w:sz w:val="14"/>
                <w:szCs w:val="14"/>
                <w:color w:val="auto"/>
              </w:rPr>
              <w:t>—</w:t>
            </w:r>
          </w:p>
        </w:tc>
        <w:tc>
          <w:tcPr>
            <w:tcW w:w="138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0"/>
              </w:rPr>
              <w:t>Business Services</w:t>
            </w:r>
          </w:p>
        </w:tc>
        <w:tc>
          <w:tcPr>
            <w:tcW w:w="640" w:type="dxa"/>
            <w:vAlign w:val="bottom"/>
            <w:shd w:val="clear" w:color="auto" w:fill="CCEEFF"/>
          </w:tcPr>
          <w:p>
            <w:pPr>
              <w:ind w:left="340"/>
              <w:spacing w:after="0" w:line="149" w:lineRule="exact"/>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ind w:left="580"/>
              <w:spacing w:after="0" w:line="149" w:lineRule="exact"/>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ind w:right="108"/>
              <w:spacing w:after="0" w:line="149" w:lineRule="exact"/>
              <w:rPr>
                <w:sz w:val="20"/>
                <w:szCs w:val="20"/>
                <w:color w:val="auto"/>
              </w:rPr>
            </w:pPr>
            <w:r>
              <w:rPr>
                <w:rFonts w:ascii="Arial" w:cs="Arial" w:eastAsia="Arial" w:hAnsi="Arial"/>
                <w:sz w:val="14"/>
                <w:szCs w:val="14"/>
                <w:color w:val="auto"/>
              </w:rPr>
              <w:t>35,526</w:t>
            </w:r>
          </w:p>
        </w:tc>
        <w:tc>
          <w:tcPr>
            <w:tcW w:w="8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4,050,000</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5,629,236</w:t>
            </w:r>
          </w:p>
        </w:tc>
        <w:tc>
          <w:tcPr>
            <w:tcW w:w="0" w:type="dxa"/>
            <w:vAlign w:val="bottom"/>
          </w:tcPr>
          <w:p>
            <w:pPr>
              <w:spacing w:after="0"/>
              <w:rPr>
                <w:sz w:val="1"/>
                <w:szCs w:val="1"/>
                <w:color w:val="auto"/>
              </w:rPr>
            </w:pPr>
          </w:p>
        </w:tc>
      </w:tr>
      <w:tr>
        <w:trPr>
          <w:trHeight w:val="163"/>
        </w:trPr>
        <w:tc>
          <w:tcPr>
            <w:tcW w:w="4560" w:type="dxa"/>
            <w:vAlign w:val="bottom"/>
          </w:tcPr>
          <w:p>
            <w:pPr>
              <w:spacing w:after="0" w:line="155" w:lineRule="exact"/>
              <w:rPr>
                <w:sz w:val="20"/>
                <w:szCs w:val="20"/>
                <w:color w:val="auto"/>
              </w:rPr>
            </w:pPr>
            <w:r>
              <w:rPr>
                <w:rFonts w:ascii="Arial" w:cs="Arial" w:eastAsia="Arial" w:hAnsi="Arial"/>
                <w:sz w:val="14"/>
                <w:szCs w:val="14"/>
                <w:b w:val="1"/>
                <w:bCs w:val="1"/>
                <w:color w:val="auto"/>
              </w:rPr>
              <w:t>Total Common Equity/Warrants/Partnership Interests</w:t>
            </w:r>
          </w:p>
        </w:tc>
        <w:tc>
          <w:tcPr>
            <w:tcW w:w="74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0" w:type="dxa"/>
            <w:vAlign w:val="bottom"/>
            <w:tcBorders>
              <w:top w:val="single" w:sz="8" w:color="auto"/>
              <w:bottom w:val="single" w:sz="8" w:color="auto"/>
            </w:tcBorders>
          </w:tcPr>
          <w:p>
            <w:pPr>
              <w:spacing w:after="0"/>
              <w:rPr>
                <w:sz w:val="14"/>
                <w:szCs w:val="14"/>
                <w:color w:val="auto"/>
              </w:rPr>
            </w:pPr>
          </w:p>
        </w:tc>
        <w:tc>
          <w:tcPr>
            <w:tcW w:w="8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43,829,283</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Borders>
              <w:top w:val="single" w:sz="8" w:color="auto"/>
              <w:bottom w:val="single" w:sz="8" w:color="auto"/>
            </w:tcBorders>
          </w:tcPr>
          <w:p>
            <w:pPr>
              <w:spacing w:after="0"/>
              <w:rPr>
                <w:sz w:val="14"/>
                <w:szCs w:val="14"/>
                <w:color w:val="auto"/>
              </w:rPr>
            </w:pPr>
          </w:p>
        </w:tc>
        <w:tc>
          <w:tcPr>
            <w:tcW w:w="8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78,496,590</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456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w w:val="94"/>
              </w:rPr>
              <w:t>Total Investments in Non-Controlled, Non-Affiliated Portfolio Companies</w:t>
            </w:r>
          </w:p>
        </w:tc>
        <w:tc>
          <w:tcPr>
            <w:tcW w:w="740" w:type="dxa"/>
            <w:vAlign w:val="bottom"/>
            <w:shd w:val="clear" w:color="auto" w:fill="CCEEFF"/>
          </w:tcPr>
          <w:p>
            <w:pPr>
              <w:spacing w:after="0"/>
              <w:rPr>
                <w:sz w:val="12"/>
                <w:szCs w:val="12"/>
                <w:color w:val="auto"/>
              </w:rPr>
            </w:pPr>
          </w:p>
        </w:tc>
        <w:tc>
          <w:tcPr>
            <w:tcW w:w="13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84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w w:val="91"/>
              </w:rPr>
              <w:t>1,001,294,305</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84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w w:val="91"/>
              </w:rPr>
              <w:t>1,055,902,267</w:t>
            </w: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bl>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240"/>
          </w:cols>
          <w:pgMar w:left="320" w:top="459" w:right="3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PENNANTPARK INVESTMENT CORPORATION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SCHEDULE OF INVESTMENTS—(Continued)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2013</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6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880" w:type="dxa"/>
            <w:vAlign w:val="bottom"/>
          </w:tcPr>
          <w:p>
            <w:pPr>
              <w:jc w:val="center"/>
              <w:ind w:right="97"/>
              <w:spacing w:after="0"/>
              <w:rPr>
                <w:sz w:val="20"/>
                <w:szCs w:val="20"/>
                <w:color w:val="auto"/>
              </w:rPr>
            </w:pPr>
            <w:r>
              <w:rPr>
                <w:rFonts w:ascii="Arial" w:cs="Arial" w:eastAsia="Arial" w:hAnsi="Arial"/>
                <w:sz w:val="13"/>
                <w:szCs w:val="13"/>
                <w:b w:val="1"/>
                <w:bCs w:val="1"/>
                <w:color w:val="auto"/>
                <w:w w:val="84"/>
              </w:rPr>
              <w:t>Basis Point</w:t>
            </w: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46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80" w:type="dxa"/>
            <w:vAlign w:val="bottom"/>
          </w:tcPr>
          <w:p>
            <w:pPr>
              <w:jc w:val="center"/>
              <w:ind w:right="77"/>
              <w:spacing w:after="0" w:line="135" w:lineRule="exact"/>
              <w:rPr>
                <w:sz w:val="20"/>
                <w:szCs w:val="20"/>
                <w:color w:val="auto"/>
              </w:rPr>
            </w:pPr>
            <w:r>
              <w:rPr>
                <w:rFonts w:ascii="Arial" w:cs="Arial" w:eastAsia="Arial" w:hAnsi="Arial"/>
                <w:sz w:val="13"/>
                <w:szCs w:val="13"/>
                <w:b w:val="1"/>
                <w:bCs w:val="1"/>
                <w:color w:val="auto"/>
                <w:w w:val="86"/>
              </w:rPr>
              <w:t>Spread</w:t>
            </w: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600" w:type="dxa"/>
            <w:vAlign w:val="bottom"/>
            <w:vMerge w:val="restart"/>
          </w:tcPr>
          <w:p>
            <w:pPr>
              <w:spacing w:after="0"/>
              <w:rPr>
                <w:sz w:val="20"/>
                <w:szCs w:val="20"/>
                <w:color w:val="auto"/>
              </w:rPr>
            </w:pPr>
            <w:r>
              <w:rPr>
                <w:rFonts w:ascii="Arial" w:cs="Arial" w:eastAsia="Arial" w:hAnsi="Arial"/>
                <w:sz w:val="13"/>
                <w:szCs w:val="13"/>
                <w:b w:val="1"/>
                <w:bCs w:val="1"/>
                <w:color w:val="auto"/>
              </w:rPr>
              <w:t>Issuer Name</w:t>
            </w:r>
          </w:p>
        </w:tc>
        <w:tc>
          <w:tcPr>
            <w:tcW w:w="10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940" w:type="dxa"/>
            <w:vAlign w:val="bottom"/>
          </w:tcPr>
          <w:p>
            <w:pPr>
              <w:jc w:val="right"/>
              <w:ind w:right="337"/>
              <w:spacing w:after="0" w:line="135" w:lineRule="exact"/>
              <w:rPr>
                <w:sz w:val="20"/>
                <w:szCs w:val="20"/>
                <w:color w:val="auto"/>
              </w:rPr>
            </w:pPr>
            <w:r>
              <w:rPr>
                <w:rFonts w:ascii="Arial" w:cs="Arial" w:eastAsia="Arial" w:hAnsi="Arial"/>
                <w:sz w:val="13"/>
                <w:szCs w:val="13"/>
                <w:b w:val="1"/>
                <w:bCs w:val="1"/>
                <w:color w:val="auto"/>
              </w:rPr>
              <w:t>Current</w:t>
            </w:r>
          </w:p>
        </w:tc>
        <w:tc>
          <w:tcPr>
            <w:tcW w:w="880" w:type="dxa"/>
            <w:vAlign w:val="bottom"/>
          </w:tcPr>
          <w:p>
            <w:pPr>
              <w:jc w:val="center"/>
              <w:ind w:right="77"/>
              <w:spacing w:after="0" w:line="135" w:lineRule="exact"/>
              <w:rPr>
                <w:sz w:val="20"/>
                <w:szCs w:val="20"/>
                <w:color w:val="auto"/>
              </w:rPr>
            </w:pPr>
            <w:r>
              <w:rPr>
                <w:rFonts w:ascii="Arial" w:cs="Arial" w:eastAsia="Arial" w:hAnsi="Arial"/>
                <w:sz w:val="13"/>
                <w:szCs w:val="13"/>
                <w:b w:val="1"/>
                <w:bCs w:val="1"/>
                <w:color w:val="auto"/>
                <w:w w:val="85"/>
              </w:rPr>
              <w:t>Above</w:t>
            </w:r>
          </w:p>
        </w:tc>
        <w:tc>
          <w:tcPr>
            <w:tcW w:w="740" w:type="dxa"/>
            <w:vAlign w:val="bottom"/>
            <w:gridSpan w:val="2"/>
          </w:tcPr>
          <w:p>
            <w:pPr>
              <w:jc w:val="right"/>
              <w:ind w:right="280"/>
              <w:spacing w:after="0" w:line="135" w:lineRule="exact"/>
              <w:rPr>
                <w:sz w:val="20"/>
                <w:szCs w:val="20"/>
                <w:color w:val="auto"/>
              </w:rPr>
            </w:pPr>
            <w:r>
              <w:rPr>
                <w:rFonts w:ascii="Arial" w:cs="Arial" w:eastAsia="Arial" w:hAnsi="Arial"/>
                <w:sz w:val="13"/>
                <w:szCs w:val="13"/>
                <w:b w:val="1"/>
                <w:bCs w:val="1"/>
                <w:color w:val="auto"/>
              </w:rPr>
              <w:t>Par /</w:t>
            </w: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4600" w:type="dxa"/>
            <w:vAlign w:val="bottom"/>
            <w:vMerge w:val="continue"/>
          </w:tcPr>
          <w:p>
            <w:pPr>
              <w:spacing w:after="0"/>
              <w:rPr>
                <w:sz w:val="13"/>
                <w:szCs w:val="13"/>
                <w:color w:val="auto"/>
              </w:rPr>
            </w:pPr>
          </w:p>
        </w:tc>
        <w:tc>
          <w:tcPr>
            <w:tcW w:w="1040" w:type="dxa"/>
            <w:vAlign w:val="bottom"/>
          </w:tcPr>
          <w:p>
            <w:pPr>
              <w:ind w:left="460"/>
              <w:spacing w:after="0"/>
              <w:rPr>
                <w:sz w:val="20"/>
                <w:szCs w:val="20"/>
                <w:color w:val="auto"/>
              </w:rPr>
            </w:pPr>
            <w:r>
              <w:rPr>
                <w:rFonts w:ascii="Arial" w:cs="Arial" w:eastAsia="Arial" w:hAnsi="Arial"/>
                <w:sz w:val="13"/>
                <w:szCs w:val="13"/>
                <w:b w:val="1"/>
                <w:bCs w:val="1"/>
                <w:color w:val="auto"/>
              </w:rPr>
              <w:t>Maturity</w:t>
            </w:r>
          </w:p>
        </w:tc>
        <w:tc>
          <w:tcPr>
            <w:tcW w:w="1100" w:type="dxa"/>
            <w:vAlign w:val="bottom"/>
          </w:tcPr>
          <w:p>
            <w:pPr>
              <w:jc w:val="center"/>
              <w:spacing w:after="0"/>
              <w:rPr>
                <w:sz w:val="20"/>
                <w:szCs w:val="20"/>
                <w:color w:val="auto"/>
              </w:rPr>
            </w:pPr>
            <w:r>
              <w:rPr>
                <w:rFonts w:ascii="Arial" w:cs="Arial" w:eastAsia="Arial" w:hAnsi="Arial"/>
                <w:sz w:val="13"/>
                <w:szCs w:val="13"/>
                <w:b w:val="1"/>
                <w:bCs w:val="1"/>
                <w:color w:val="auto"/>
                <w:w w:val="93"/>
              </w:rPr>
              <w:t>Industry</w:t>
            </w:r>
          </w:p>
        </w:tc>
        <w:tc>
          <w:tcPr>
            <w:tcW w:w="940" w:type="dxa"/>
            <w:vAlign w:val="bottom"/>
          </w:tcPr>
          <w:p>
            <w:pPr>
              <w:jc w:val="right"/>
              <w:ind w:right="337"/>
              <w:spacing w:after="0"/>
              <w:rPr>
                <w:sz w:val="20"/>
                <w:szCs w:val="20"/>
                <w:color w:val="auto"/>
              </w:rPr>
            </w:pPr>
            <w:r>
              <w:rPr>
                <w:rFonts w:ascii="Arial" w:cs="Arial" w:eastAsia="Arial" w:hAnsi="Arial"/>
                <w:sz w:val="13"/>
                <w:szCs w:val="13"/>
                <w:b w:val="1"/>
                <w:bCs w:val="1"/>
                <w:color w:val="auto"/>
              </w:rPr>
              <w:t>Coupon</w:t>
            </w:r>
          </w:p>
        </w:tc>
        <w:tc>
          <w:tcPr>
            <w:tcW w:w="880" w:type="dxa"/>
            <w:vAlign w:val="bottom"/>
          </w:tcPr>
          <w:p>
            <w:pPr>
              <w:jc w:val="center"/>
              <w:ind w:right="77"/>
              <w:spacing w:after="0"/>
              <w:rPr>
                <w:sz w:val="20"/>
                <w:szCs w:val="20"/>
                <w:color w:val="auto"/>
              </w:rPr>
            </w:pPr>
            <w:r>
              <w:rPr>
                <w:rFonts w:ascii="Arial" w:cs="Arial" w:eastAsia="Arial" w:hAnsi="Arial"/>
                <w:sz w:val="13"/>
                <w:szCs w:val="13"/>
                <w:b w:val="1"/>
                <w:bCs w:val="1"/>
                <w:color w:val="auto"/>
                <w:w w:val="92"/>
              </w:rPr>
              <w:t xml:space="preserve">Index </w:t>
            </w:r>
            <w:r>
              <w:rPr>
                <w:rFonts w:ascii="Arial" w:cs="Arial" w:eastAsia="Arial" w:hAnsi="Arial"/>
                <w:sz w:val="10"/>
                <w:szCs w:val="10"/>
                <w:b w:val="1"/>
                <w:bCs w:val="1"/>
                <w:color w:val="auto"/>
                <w:w w:val="92"/>
              </w:rPr>
              <w:t>(4)</w:t>
            </w:r>
          </w:p>
        </w:tc>
        <w:tc>
          <w:tcPr>
            <w:tcW w:w="740" w:type="dxa"/>
            <w:vAlign w:val="bottom"/>
            <w:gridSpan w:val="2"/>
          </w:tcPr>
          <w:p>
            <w:pPr>
              <w:jc w:val="right"/>
              <w:ind w:right="220"/>
              <w:spacing w:after="0"/>
              <w:rPr>
                <w:sz w:val="20"/>
                <w:szCs w:val="20"/>
                <w:color w:val="auto"/>
              </w:rPr>
            </w:pPr>
            <w:r>
              <w:rPr>
                <w:rFonts w:ascii="Arial" w:cs="Arial" w:eastAsia="Arial" w:hAnsi="Arial"/>
                <w:sz w:val="13"/>
                <w:szCs w:val="13"/>
                <w:b w:val="1"/>
                <w:bCs w:val="1"/>
                <w:color w:val="auto"/>
              </w:rPr>
              <w:t>Shares</w:t>
            </w: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0" w:type="dxa"/>
            <w:vAlign w:val="bottom"/>
            <w:gridSpan w:val="2"/>
          </w:tcPr>
          <w:p>
            <w:pPr>
              <w:ind w:left="220"/>
              <w:spacing w:after="0"/>
              <w:rPr>
                <w:sz w:val="20"/>
                <w:szCs w:val="20"/>
                <w:color w:val="auto"/>
              </w:rPr>
            </w:pPr>
            <w:r>
              <w:rPr>
                <w:rFonts w:ascii="Arial" w:cs="Arial" w:eastAsia="Arial" w:hAnsi="Arial"/>
                <w:sz w:val="13"/>
                <w:szCs w:val="13"/>
                <w:b w:val="1"/>
                <w:bCs w:val="1"/>
                <w:color w:val="auto"/>
              </w:rPr>
              <w:t>Cost</w:t>
            </w:r>
          </w:p>
        </w:tc>
        <w:tc>
          <w:tcPr>
            <w:tcW w:w="80" w:type="dxa"/>
            <w:vAlign w:val="bottom"/>
          </w:tcPr>
          <w:p>
            <w:pPr>
              <w:spacing w:after="0"/>
              <w:rPr>
                <w:sz w:val="13"/>
                <w:szCs w:val="13"/>
                <w:color w:val="auto"/>
              </w:rPr>
            </w:pPr>
          </w:p>
        </w:tc>
        <w:tc>
          <w:tcPr>
            <w:tcW w:w="880" w:type="dxa"/>
            <w:vAlign w:val="bottom"/>
            <w:gridSpan w:val="3"/>
          </w:tcPr>
          <w:p>
            <w:pPr>
              <w:ind w:left="40"/>
              <w:spacing w:after="0"/>
              <w:rPr>
                <w:sz w:val="20"/>
                <w:szCs w:val="20"/>
                <w:color w:val="auto"/>
              </w:rPr>
            </w:pPr>
            <w:r>
              <w:rPr>
                <w:rFonts w:ascii="Arial" w:cs="Arial" w:eastAsia="Arial" w:hAnsi="Arial"/>
                <w:sz w:val="13"/>
                <w:szCs w:val="13"/>
                <w:b w:val="1"/>
                <w:bCs w:val="1"/>
                <w:color w:val="auto"/>
              </w:rPr>
              <w:t xml:space="preserve">Fair Value </w:t>
            </w:r>
            <w:r>
              <w:rPr>
                <w:rFonts w:ascii="Arial" w:cs="Arial" w:eastAsia="Arial" w:hAnsi="Arial"/>
                <w:sz w:val="10"/>
                <w:szCs w:val="10"/>
                <w:b w:val="1"/>
                <w:bCs w:val="1"/>
                <w:color w:val="auto"/>
              </w:rPr>
              <w:t>(3)</w:t>
            </w:r>
          </w:p>
        </w:tc>
        <w:tc>
          <w:tcPr>
            <w:tcW w:w="0" w:type="dxa"/>
            <w:vAlign w:val="bottom"/>
          </w:tcPr>
          <w:p>
            <w:pPr>
              <w:spacing w:after="0"/>
              <w:rPr>
                <w:sz w:val="1"/>
                <w:szCs w:val="1"/>
                <w:color w:val="auto"/>
              </w:rPr>
            </w:pPr>
          </w:p>
        </w:tc>
      </w:tr>
      <w:tr>
        <w:trPr>
          <w:trHeight w:val="128"/>
        </w:trPr>
        <w:tc>
          <w:tcPr>
            <w:tcW w:w="4600" w:type="dxa"/>
            <w:vAlign w:val="bottom"/>
            <w:tcBorders>
              <w:top w:val="single" w:sz="8" w:color="auto"/>
            </w:tcBorders>
            <w:shd w:val="clear" w:color="auto" w:fill="CCEEFF"/>
          </w:tcPr>
          <w:p>
            <w:pPr>
              <w:spacing w:after="0" w:line="129" w:lineRule="exact"/>
              <w:rPr>
                <w:sz w:val="20"/>
                <w:szCs w:val="20"/>
                <w:color w:val="auto"/>
              </w:rPr>
            </w:pPr>
            <w:r>
              <w:rPr>
                <w:rFonts w:ascii="Arial" w:cs="Arial" w:eastAsia="Arial" w:hAnsi="Arial"/>
                <w:sz w:val="13"/>
                <w:szCs w:val="13"/>
                <w:b w:val="1"/>
                <w:bCs w:val="1"/>
                <w:color w:val="auto"/>
                <w:w w:val="98"/>
              </w:rPr>
              <w:t xml:space="preserve">Investments in Non-Controlled, Affiliated Portfolio Companies—11.7% </w:t>
            </w:r>
            <w:r>
              <w:rPr>
                <w:rFonts w:ascii="Arial" w:cs="Arial" w:eastAsia="Arial" w:hAnsi="Arial"/>
                <w:sz w:val="10"/>
                <w:szCs w:val="10"/>
                <w:b w:val="1"/>
                <w:bCs w:val="1"/>
                <w:color w:val="auto"/>
                <w:w w:val="98"/>
              </w:rPr>
              <w:t>(1), (2)</w:t>
            </w:r>
          </w:p>
        </w:tc>
        <w:tc>
          <w:tcPr>
            <w:tcW w:w="1040" w:type="dxa"/>
            <w:vAlign w:val="bottom"/>
            <w:tcBorders>
              <w:top w:val="single" w:sz="8" w:color="auto"/>
            </w:tcBorders>
            <w:shd w:val="clear" w:color="auto" w:fill="CCEEFF"/>
          </w:tcPr>
          <w:p>
            <w:pPr>
              <w:spacing w:after="0"/>
              <w:rPr>
                <w:sz w:val="11"/>
                <w:szCs w:val="11"/>
                <w:color w:val="auto"/>
              </w:rPr>
            </w:pPr>
          </w:p>
        </w:tc>
        <w:tc>
          <w:tcPr>
            <w:tcW w:w="1100" w:type="dxa"/>
            <w:vAlign w:val="bottom"/>
            <w:tcBorders>
              <w:top w:val="single" w:sz="8" w:color="auto"/>
            </w:tcBorders>
            <w:shd w:val="clear" w:color="auto" w:fill="CCEEFF"/>
          </w:tcPr>
          <w:p>
            <w:pPr>
              <w:spacing w:after="0"/>
              <w:rPr>
                <w:sz w:val="11"/>
                <w:szCs w:val="11"/>
                <w:color w:val="auto"/>
              </w:rPr>
            </w:pPr>
          </w:p>
        </w:tc>
        <w:tc>
          <w:tcPr>
            <w:tcW w:w="940" w:type="dxa"/>
            <w:vAlign w:val="bottom"/>
            <w:tcBorders>
              <w:top w:val="single" w:sz="8" w:color="auto"/>
            </w:tcBorders>
            <w:shd w:val="clear" w:color="auto" w:fill="CCEEFF"/>
          </w:tcPr>
          <w:p>
            <w:pPr>
              <w:spacing w:after="0"/>
              <w:rPr>
                <w:sz w:val="11"/>
                <w:szCs w:val="11"/>
                <w:color w:val="auto"/>
              </w:rPr>
            </w:pPr>
          </w:p>
        </w:tc>
        <w:tc>
          <w:tcPr>
            <w:tcW w:w="880" w:type="dxa"/>
            <w:vAlign w:val="bottom"/>
            <w:tcBorders>
              <w:top w:val="single" w:sz="8" w:color="auto"/>
            </w:tcBorders>
            <w:shd w:val="clear" w:color="auto" w:fill="CCEEFF"/>
          </w:tcPr>
          <w:p>
            <w:pPr>
              <w:spacing w:after="0"/>
              <w:rPr>
                <w:sz w:val="11"/>
                <w:szCs w:val="11"/>
                <w:color w:val="auto"/>
              </w:rPr>
            </w:pPr>
          </w:p>
        </w:tc>
        <w:tc>
          <w:tcPr>
            <w:tcW w:w="64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spacing w:after="0"/>
              <w:rPr>
                <w:sz w:val="11"/>
                <w:szCs w:val="11"/>
                <w:color w:val="auto"/>
              </w:rPr>
            </w:pPr>
          </w:p>
        </w:tc>
        <w:tc>
          <w:tcPr>
            <w:tcW w:w="740" w:type="dxa"/>
            <w:vAlign w:val="bottom"/>
            <w:tcBorders>
              <w:top w:val="single" w:sz="8" w:color="auto"/>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72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4600" w:type="dxa"/>
            <w:vAlign w:val="bottom"/>
          </w:tcPr>
          <w:p>
            <w:pPr>
              <w:spacing w:after="0"/>
              <w:rPr>
                <w:sz w:val="20"/>
                <w:szCs w:val="20"/>
                <w:color w:val="auto"/>
              </w:rPr>
            </w:pPr>
            <w:r>
              <w:rPr>
                <w:rFonts w:ascii="Arial" w:cs="Arial" w:eastAsia="Arial" w:hAnsi="Arial"/>
                <w:sz w:val="13"/>
                <w:szCs w:val="13"/>
                <w:b w:val="1"/>
                <w:bCs w:val="1"/>
                <w:color w:val="auto"/>
              </w:rPr>
              <w:t>Second Lien Secured Debt—1.2%</w:t>
            </w:r>
          </w:p>
        </w:tc>
        <w:tc>
          <w:tcPr>
            <w:tcW w:w="10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1"/>
        </w:trPr>
        <w:tc>
          <w:tcPr>
            <w:tcW w:w="4600" w:type="dxa"/>
            <w:vAlign w:val="bottom"/>
            <w:shd w:val="clear" w:color="auto" w:fill="CCEEFF"/>
          </w:tcPr>
          <w:p>
            <w:pPr>
              <w:spacing w:after="0" w:line="121" w:lineRule="exact"/>
              <w:rPr>
                <w:sz w:val="20"/>
                <w:szCs w:val="20"/>
                <w:color w:val="auto"/>
              </w:rPr>
            </w:pPr>
            <w:r>
              <w:rPr>
                <w:rFonts w:ascii="Arial" w:cs="Arial" w:eastAsia="Arial" w:hAnsi="Arial"/>
                <w:sz w:val="13"/>
                <w:szCs w:val="13"/>
                <w:color w:val="auto"/>
              </w:rPr>
              <w:t>EnviroSolutions Real Property Holdings, Inc.</w:t>
            </w:r>
          </w:p>
        </w:tc>
        <w:tc>
          <w:tcPr>
            <w:tcW w:w="1040" w:type="dxa"/>
            <w:vAlign w:val="bottom"/>
            <w:shd w:val="clear" w:color="auto" w:fill="CCEEFF"/>
          </w:tcPr>
          <w:p>
            <w:pPr>
              <w:jc w:val="center"/>
              <w:ind w:left="317"/>
              <w:spacing w:after="0" w:line="121" w:lineRule="exact"/>
              <w:rPr>
                <w:sz w:val="20"/>
                <w:szCs w:val="20"/>
                <w:color w:val="auto"/>
              </w:rPr>
            </w:pPr>
            <w:r>
              <w:rPr>
                <w:rFonts w:ascii="Arial" w:cs="Arial" w:eastAsia="Arial" w:hAnsi="Arial"/>
                <w:sz w:val="13"/>
                <w:szCs w:val="13"/>
                <w:color w:val="auto"/>
                <w:w w:val="89"/>
              </w:rPr>
              <w:t>12/26/2017</w:t>
            </w:r>
          </w:p>
        </w:tc>
        <w:tc>
          <w:tcPr>
            <w:tcW w:w="1100" w:type="dxa"/>
            <w:vAlign w:val="bottom"/>
            <w:shd w:val="clear" w:color="auto" w:fill="CCEEFF"/>
          </w:tcPr>
          <w:p>
            <w:pPr>
              <w:jc w:val="center"/>
              <w:spacing w:after="0" w:line="121" w:lineRule="exact"/>
              <w:rPr>
                <w:sz w:val="20"/>
                <w:szCs w:val="20"/>
                <w:color w:val="auto"/>
              </w:rPr>
            </w:pPr>
            <w:r>
              <w:rPr>
                <w:rFonts w:ascii="Arial" w:cs="Arial" w:eastAsia="Arial" w:hAnsi="Arial"/>
                <w:sz w:val="13"/>
                <w:szCs w:val="13"/>
                <w:color w:val="auto"/>
                <w:w w:val="91"/>
              </w:rPr>
              <w:t>Environmental</w:t>
            </w:r>
          </w:p>
        </w:tc>
        <w:tc>
          <w:tcPr>
            <w:tcW w:w="940" w:type="dxa"/>
            <w:vAlign w:val="bottom"/>
            <w:shd w:val="clear" w:color="auto" w:fill="CCEEFF"/>
          </w:tcPr>
          <w:p>
            <w:pPr>
              <w:jc w:val="right"/>
              <w:ind w:right="137"/>
              <w:spacing w:after="0" w:line="121" w:lineRule="exact"/>
              <w:rPr>
                <w:sz w:val="20"/>
                <w:szCs w:val="20"/>
                <w:color w:val="auto"/>
              </w:rPr>
            </w:pPr>
            <w:r>
              <w:rPr>
                <w:rFonts w:ascii="Arial" w:cs="Arial" w:eastAsia="Arial" w:hAnsi="Arial"/>
                <w:sz w:val="13"/>
                <w:szCs w:val="13"/>
                <w:color w:val="auto"/>
              </w:rPr>
              <w:t>9.00%</w:t>
            </w:r>
          </w:p>
        </w:tc>
        <w:tc>
          <w:tcPr>
            <w:tcW w:w="880" w:type="dxa"/>
            <w:vAlign w:val="bottom"/>
            <w:shd w:val="clear" w:color="auto" w:fill="CCEEFF"/>
          </w:tcPr>
          <w:p>
            <w:pPr>
              <w:jc w:val="right"/>
              <w:ind w:right="17"/>
              <w:spacing w:after="0" w:line="121" w:lineRule="exact"/>
              <w:rPr>
                <w:sz w:val="20"/>
                <w:szCs w:val="20"/>
                <w:color w:val="auto"/>
              </w:rPr>
            </w:pPr>
            <w:r>
              <w:rPr>
                <w:rFonts w:ascii="Arial" w:cs="Arial" w:eastAsia="Arial" w:hAnsi="Arial"/>
                <w:sz w:val="13"/>
                <w:szCs w:val="13"/>
                <w:color w:val="auto"/>
              </w:rPr>
              <w:t xml:space="preserve">L+800 </w:t>
            </w:r>
            <w:r>
              <w:rPr>
                <w:rFonts w:ascii="Arial" w:cs="Arial" w:eastAsia="Arial" w:hAnsi="Arial"/>
                <w:sz w:val="10"/>
                <w:szCs w:val="10"/>
                <w:color w:val="auto"/>
              </w:rPr>
              <w:t>(8)</w:t>
            </w:r>
          </w:p>
        </w:tc>
        <w:tc>
          <w:tcPr>
            <w:tcW w:w="740" w:type="dxa"/>
            <w:vAlign w:val="bottom"/>
            <w:gridSpan w:val="2"/>
            <w:shd w:val="clear" w:color="auto" w:fill="CCEEFF"/>
          </w:tcPr>
          <w:p>
            <w:pPr>
              <w:jc w:val="right"/>
              <w:ind w:right="100"/>
              <w:spacing w:after="0" w:line="121" w:lineRule="exact"/>
              <w:rPr>
                <w:sz w:val="20"/>
                <w:szCs w:val="20"/>
                <w:color w:val="auto"/>
              </w:rPr>
            </w:pPr>
            <w:r>
              <w:rPr>
                <w:rFonts w:ascii="Arial" w:cs="Arial" w:eastAsia="Arial" w:hAnsi="Arial"/>
                <w:sz w:val="13"/>
                <w:szCs w:val="13"/>
                <w:color w:val="auto"/>
              </w:rPr>
              <w:t>9,409,740</w:t>
            </w:r>
          </w:p>
        </w:tc>
        <w:tc>
          <w:tcPr>
            <w:tcW w:w="180" w:type="dxa"/>
            <w:vAlign w:val="bottom"/>
            <w:gridSpan w:val="2"/>
            <w:shd w:val="clear" w:color="auto" w:fill="CCEEFF"/>
          </w:tcPr>
          <w:p>
            <w:pPr>
              <w:jc w:val="right"/>
              <w:spacing w:after="0" w:line="121" w:lineRule="exact"/>
              <w:rPr>
                <w:sz w:val="20"/>
                <w:szCs w:val="20"/>
                <w:color w:val="auto"/>
              </w:rPr>
            </w:pPr>
            <w:r>
              <w:rPr>
                <w:rFonts w:ascii="Arial" w:cs="Arial" w:eastAsia="Arial" w:hAnsi="Arial"/>
                <w:sz w:val="13"/>
                <w:szCs w:val="13"/>
                <w:color w:val="auto"/>
              </w:rPr>
              <w:t>$</w:t>
            </w:r>
          </w:p>
        </w:tc>
        <w:tc>
          <w:tcPr>
            <w:tcW w:w="800" w:type="dxa"/>
            <w:vAlign w:val="bottom"/>
            <w:gridSpan w:val="2"/>
            <w:shd w:val="clear" w:color="auto" w:fill="CCEEFF"/>
          </w:tcPr>
          <w:p>
            <w:pPr>
              <w:jc w:val="right"/>
              <w:ind w:right="60"/>
              <w:spacing w:after="0" w:line="121" w:lineRule="exact"/>
              <w:rPr>
                <w:sz w:val="20"/>
                <w:szCs w:val="20"/>
                <w:color w:val="auto"/>
              </w:rPr>
            </w:pPr>
            <w:r>
              <w:rPr>
                <w:rFonts w:ascii="Arial" w:cs="Arial" w:eastAsia="Arial" w:hAnsi="Arial"/>
                <w:sz w:val="13"/>
                <w:szCs w:val="13"/>
                <w:color w:val="auto"/>
              </w:rPr>
              <w:t>9,129,208</w:t>
            </w:r>
          </w:p>
        </w:tc>
        <w:tc>
          <w:tcPr>
            <w:tcW w:w="160" w:type="dxa"/>
            <w:vAlign w:val="bottom"/>
            <w:gridSpan w:val="2"/>
            <w:shd w:val="clear" w:color="auto" w:fill="CCEEFF"/>
          </w:tcPr>
          <w:p>
            <w:pPr>
              <w:jc w:val="right"/>
              <w:spacing w:after="0" w:line="121" w:lineRule="exact"/>
              <w:rPr>
                <w:sz w:val="20"/>
                <w:szCs w:val="20"/>
                <w:color w:val="auto"/>
              </w:rPr>
            </w:pPr>
            <w:r>
              <w:rPr>
                <w:rFonts w:ascii="Arial" w:cs="Arial" w:eastAsia="Arial" w:hAnsi="Arial"/>
                <w:sz w:val="13"/>
                <w:szCs w:val="13"/>
                <w:color w:val="auto"/>
              </w:rPr>
              <w:t>$</w:t>
            </w:r>
          </w:p>
        </w:tc>
        <w:tc>
          <w:tcPr>
            <w:tcW w:w="800" w:type="dxa"/>
            <w:vAlign w:val="bottom"/>
            <w:gridSpan w:val="2"/>
            <w:shd w:val="clear" w:color="auto" w:fill="CCEEFF"/>
          </w:tcPr>
          <w:p>
            <w:pPr>
              <w:jc w:val="right"/>
              <w:ind w:right="80"/>
              <w:spacing w:after="0" w:line="121" w:lineRule="exact"/>
              <w:rPr>
                <w:sz w:val="20"/>
                <w:szCs w:val="20"/>
                <w:color w:val="auto"/>
              </w:rPr>
            </w:pPr>
            <w:r>
              <w:rPr>
                <w:rFonts w:ascii="Arial" w:cs="Arial" w:eastAsia="Arial" w:hAnsi="Arial"/>
                <w:sz w:val="13"/>
                <w:szCs w:val="13"/>
                <w:color w:val="auto"/>
              </w:rPr>
              <w:t>9,127,448</w:t>
            </w:r>
          </w:p>
        </w:tc>
        <w:tc>
          <w:tcPr>
            <w:tcW w:w="0" w:type="dxa"/>
            <w:vAlign w:val="bottom"/>
          </w:tcPr>
          <w:p>
            <w:pPr>
              <w:spacing w:after="0"/>
              <w:rPr>
                <w:sz w:val="1"/>
                <w:szCs w:val="1"/>
                <w:color w:val="auto"/>
              </w:rPr>
            </w:pPr>
          </w:p>
        </w:tc>
      </w:tr>
      <w:tr>
        <w:trPr>
          <w:trHeight w:val="149"/>
        </w:trPr>
        <w:tc>
          <w:tcPr>
            <w:tcW w:w="460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10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8"/>
              </w:rPr>
              <w:t>Services</w:t>
            </w:r>
          </w:p>
        </w:tc>
        <w:tc>
          <w:tcPr>
            <w:tcW w:w="9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tcBorders>
              <w:bottom w:val="single" w:sz="8" w:color="auto"/>
            </w:tcBorders>
            <w:shd w:val="clear" w:color="auto" w:fill="CCEEFF"/>
          </w:tcPr>
          <w:p>
            <w:pPr>
              <w:spacing w:after="0"/>
              <w:rPr>
                <w:sz w:val="12"/>
                <w:szCs w:val="12"/>
                <w:color w:val="auto"/>
              </w:rPr>
            </w:pPr>
          </w:p>
        </w:tc>
        <w:tc>
          <w:tcPr>
            <w:tcW w:w="740" w:type="dxa"/>
            <w:vAlign w:val="bottom"/>
            <w:tcBorders>
              <w:bottom w:val="single" w:sz="8" w:color="auto"/>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720" w:type="dxa"/>
            <w:vAlign w:val="bottom"/>
            <w:tcBorders>
              <w:bottom w:val="single" w:sz="8" w:color="auto"/>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4"/>
        </w:trPr>
        <w:tc>
          <w:tcPr>
            <w:tcW w:w="4600" w:type="dxa"/>
            <w:vAlign w:val="bottom"/>
          </w:tcPr>
          <w:p>
            <w:pPr>
              <w:spacing w:after="0"/>
              <w:rPr>
                <w:sz w:val="20"/>
                <w:szCs w:val="20"/>
                <w:color w:val="auto"/>
              </w:rPr>
            </w:pPr>
            <w:r>
              <w:rPr>
                <w:rFonts w:ascii="Arial" w:cs="Arial" w:eastAsia="Arial" w:hAnsi="Arial"/>
                <w:sz w:val="13"/>
                <w:szCs w:val="13"/>
                <w:b w:val="1"/>
                <w:bCs w:val="1"/>
                <w:color w:val="auto"/>
              </w:rPr>
              <w:t>Subordinated Debt/Corporate Notes—5.4%</w:t>
            </w:r>
          </w:p>
        </w:tc>
        <w:tc>
          <w:tcPr>
            <w:tcW w:w="10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4600" w:type="dxa"/>
            <w:vAlign w:val="bottom"/>
            <w:shd w:val="clear" w:color="auto" w:fill="CCEEFF"/>
          </w:tcPr>
          <w:p>
            <w:pPr>
              <w:spacing w:after="0" w:line="122" w:lineRule="exact"/>
              <w:rPr>
                <w:sz w:val="20"/>
                <w:szCs w:val="20"/>
                <w:color w:val="auto"/>
              </w:rPr>
            </w:pPr>
            <w:r>
              <w:rPr>
                <w:rFonts w:ascii="Arial" w:cs="Arial" w:eastAsia="Arial" w:hAnsi="Arial"/>
                <w:sz w:val="13"/>
                <w:szCs w:val="13"/>
                <w:color w:val="auto"/>
              </w:rPr>
              <w:t>DirectBuy Holdings, Inc.</w:t>
            </w:r>
          </w:p>
        </w:tc>
        <w:tc>
          <w:tcPr>
            <w:tcW w:w="1040" w:type="dxa"/>
            <w:vAlign w:val="bottom"/>
            <w:shd w:val="clear" w:color="auto" w:fill="CCEEFF"/>
          </w:tcPr>
          <w:p>
            <w:pPr>
              <w:jc w:val="center"/>
              <w:ind w:left="317"/>
              <w:spacing w:after="0" w:line="122" w:lineRule="exact"/>
              <w:rPr>
                <w:sz w:val="20"/>
                <w:szCs w:val="20"/>
                <w:color w:val="auto"/>
              </w:rPr>
            </w:pPr>
            <w:r>
              <w:rPr>
                <w:rFonts w:ascii="Arial" w:cs="Arial" w:eastAsia="Arial" w:hAnsi="Arial"/>
                <w:sz w:val="13"/>
                <w:szCs w:val="13"/>
                <w:color w:val="auto"/>
                <w:w w:val="89"/>
              </w:rPr>
              <w:t>11/05/2019</w:t>
            </w:r>
          </w:p>
        </w:tc>
        <w:tc>
          <w:tcPr>
            <w:tcW w:w="1100" w:type="dxa"/>
            <w:vAlign w:val="bottom"/>
            <w:shd w:val="clear" w:color="auto" w:fill="CCEEFF"/>
          </w:tcPr>
          <w:p>
            <w:pPr>
              <w:jc w:val="center"/>
              <w:spacing w:after="0" w:line="122" w:lineRule="exact"/>
              <w:rPr>
                <w:sz w:val="20"/>
                <w:szCs w:val="20"/>
                <w:color w:val="auto"/>
              </w:rPr>
            </w:pPr>
            <w:r>
              <w:rPr>
                <w:rFonts w:ascii="Arial" w:cs="Arial" w:eastAsia="Arial" w:hAnsi="Arial"/>
                <w:sz w:val="13"/>
                <w:szCs w:val="13"/>
                <w:color w:val="auto"/>
                <w:w w:val="87"/>
              </w:rPr>
              <w:t>Consumer Products</w:t>
            </w:r>
          </w:p>
        </w:tc>
        <w:tc>
          <w:tcPr>
            <w:tcW w:w="940" w:type="dxa"/>
            <w:vAlign w:val="bottom"/>
            <w:shd w:val="clear" w:color="auto" w:fill="CCEEFF"/>
          </w:tcPr>
          <w:p>
            <w:pPr>
              <w:jc w:val="right"/>
              <w:ind w:right="137"/>
              <w:spacing w:after="0" w:line="122" w:lineRule="exact"/>
              <w:rPr>
                <w:sz w:val="20"/>
                <w:szCs w:val="20"/>
                <w:color w:val="auto"/>
              </w:rPr>
            </w:pPr>
            <w:r>
              <w:rPr>
                <w:rFonts w:ascii="Arial" w:cs="Arial" w:eastAsia="Arial" w:hAnsi="Arial"/>
                <w:sz w:val="13"/>
                <w:szCs w:val="13"/>
                <w:color w:val="auto"/>
              </w:rPr>
              <w:t>12.00%</w:t>
            </w:r>
          </w:p>
        </w:tc>
        <w:tc>
          <w:tcPr>
            <w:tcW w:w="880" w:type="dxa"/>
            <w:vAlign w:val="bottom"/>
            <w:shd w:val="clear" w:color="auto" w:fill="CCEEFF"/>
          </w:tcPr>
          <w:p>
            <w:pPr>
              <w:jc w:val="right"/>
              <w:ind w:right="217"/>
              <w:spacing w:after="0" w:line="122" w:lineRule="exact"/>
              <w:rPr>
                <w:sz w:val="20"/>
                <w:szCs w:val="20"/>
                <w:color w:val="auto"/>
              </w:rPr>
            </w:pPr>
            <w:r>
              <w:rPr>
                <w:rFonts w:ascii="Arial" w:cs="Arial" w:eastAsia="Arial" w:hAnsi="Arial"/>
                <w:sz w:val="13"/>
                <w:szCs w:val="13"/>
                <w:color w:val="auto"/>
              </w:rPr>
              <w:t>—</w:t>
            </w:r>
          </w:p>
        </w:tc>
        <w:tc>
          <w:tcPr>
            <w:tcW w:w="740" w:type="dxa"/>
            <w:vAlign w:val="bottom"/>
            <w:gridSpan w:val="2"/>
            <w:shd w:val="clear" w:color="auto" w:fill="CCEEFF"/>
          </w:tcPr>
          <w:p>
            <w:pPr>
              <w:jc w:val="right"/>
              <w:ind w:right="100"/>
              <w:spacing w:after="0" w:line="122" w:lineRule="exact"/>
              <w:rPr>
                <w:sz w:val="20"/>
                <w:szCs w:val="20"/>
                <w:color w:val="auto"/>
              </w:rPr>
            </w:pPr>
            <w:r>
              <w:rPr>
                <w:rFonts w:ascii="Arial" w:cs="Arial" w:eastAsia="Arial" w:hAnsi="Arial"/>
                <w:sz w:val="13"/>
                <w:szCs w:val="13"/>
                <w:color w:val="auto"/>
                <w:w w:val="95"/>
              </w:rPr>
              <w:t>10,645,053</w:t>
            </w:r>
          </w:p>
        </w:tc>
        <w:tc>
          <w:tcPr>
            <w:tcW w:w="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0" w:type="dxa"/>
            <w:vAlign w:val="bottom"/>
            <w:gridSpan w:val="2"/>
            <w:shd w:val="clear" w:color="auto" w:fill="CCEEFF"/>
          </w:tcPr>
          <w:p>
            <w:pPr>
              <w:jc w:val="right"/>
              <w:ind w:right="60"/>
              <w:spacing w:after="0" w:line="122" w:lineRule="exact"/>
              <w:rPr>
                <w:sz w:val="20"/>
                <w:szCs w:val="20"/>
                <w:color w:val="auto"/>
              </w:rPr>
            </w:pPr>
            <w:r>
              <w:rPr>
                <w:rFonts w:ascii="Arial" w:cs="Arial" w:eastAsia="Arial" w:hAnsi="Arial"/>
                <w:sz w:val="13"/>
                <w:szCs w:val="13"/>
                <w:color w:val="auto"/>
              </w:rPr>
              <w:t>10,645,053</w:t>
            </w: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0" w:type="dxa"/>
            <w:vAlign w:val="bottom"/>
            <w:gridSpan w:val="2"/>
            <w:shd w:val="clear" w:color="auto" w:fill="CCEEFF"/>
          </w:tcPr>
          <w:p>
            <w:pPr>
              <w:jc w:val="right"/>
              <w:ind w:right="80"/>
              <w:spacing w:after="0" w:line="122" w:lineRule="exact"/>
              <w:rPr>
                <w:sz w:val="20"/>
                <w:szCs w:val="20"/>
                <w:color w:val="auto"/>
              </w:rPr>
            </w:pPr>
            <w:r>
              <w:rPr>
                <w:rFonts w:ascii="Arial" w:cs="Arial" w:eastAsia="Arial" w:hAnsi="Arial"/>
                <w:sz w:val="13"/>
                <w:szCs w:val="13"/>
                <w:color w:val="auto"/>
              </w:rPr>
              <w:t>10,645,054</w:t>
            </w:r>
          </w:p>
        </w:tc>
        <w:tc>
          <w:tcPr>
            <w:tcW w:w="0" w:type="dxa"/>
            <w:vAlign w:val="bottom"/>
          </w:tcPr>
          <w:p>
            <w:pPr>
              <w:spacing w:after="0"/>
              <w:rPr>
                <w:sz w:val="1"/>
                <w:szCs w:val="1"/>
                <w:color w:val="auto"/>
              </w:rPr>
            </w:pPr>
          </w:p>
        </w:tc>
      </w:tr>
      <w:tr>
        <w:trPr>
          <w:trHeight w:val="163"/>
        </w:trPr>
        <w:tc>
          <w:tcPr>
            <w:tcW w:w="460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94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auto"/>
                <w:w w:val="98"/>
              </w:rPr>
              <w:t>(PIK 12.00%)</w:t>
            </w:r>
          </w:p>
        </w:tc>
        <w:tc>
          <w:tcPr>
            <w:tcW w:w="88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4600" w:type="dxa"/>
            <w:vAlign w:val="bottom"/>
          </w:tcPr>
          <w:p>
            <w:pPr>
              <w:spacing w:after="0"/>
              <w:rPr>
                <w:sz w:val="20"/>
                <w:szCs w:val="20"/>
                <w:color w:val="auto"/>
              </w:rPr>
            </w:pPr>
            <w:r>
              <w:rPr>
                <w:rFonts w:ascii="Arial" w:cs="Arial" w:eastAsia="Arial" w:hAnsi="Arial"/>
                <w:sz w:val="13"/>
                <w:szCs w:val="13"/>
                <w:color w:val="auto"/>
              </w:rPr>
              <w:t>Service Champ, Inc.</w:t>
            </w:r>
          </w:p>
        </w:tc>
        <w:tc>
          <w:tcPr>
            <w:tcW w:w="1040" w:type="dxa"/>
            <w:vAlign w:val="bottom"/>
          </w:tcPr>
          <w:p>
            <w:pPr>
              <w:jc w:val="center"/>
              <w:ind w:left="317"/>
              <w:spacing w:after="0"/>
              <w:rPr>
                <w:sz w:val="20"/>
                <w:szCs w:val="20"/>
                <w:color w:val="auto"/>
              </w:rPr>
            </w:pPr>
            <w:r>
              <w:rPr>
                <w:rFonts w:ascii="Arial" w:cs="Arial" w:eastAsia="Arial" w:hAnsi="Arial"/>
                <w:sz w:val="13"/>
                <w:szCs w:val="13"/>
                <w:color w:val="auto"/>
                <w:w w:val="89"/>
              </w:rPr>
              <w:t>10/02/2017</w:t>
            </w:r>
          </w:p>
        </w:tc>
        <w:tc>
          <w:tcPr>
            <w:tcW w:w="1100" w:type="dxa"/>
            <w:vAlign w:val="bottom"/>
          </w:tcPr>
          <w:p>
            <w:pPr>
              <w:jc w:val="center"/>
              <w:spacing w:after="0"/>
              <w:rPr>
                <w:sz w:val="20"/>
                <w:szCs w:val="20"/>
                <w:color w:val="auto"/>
              </w:rPr>
            </w:pPr>
            <w:r>
              <w:rPr>
                <w:rFonts w:ascii="Arial" w:cs="Arial" w:eastAsia="Arial" w:hAnsi="Arial"/>
                <w:sz w:val="13"/>
                <w:szCs w:val="13"/>
                <w:color w:val="auto"/>
                <w:w w:val="88"/>
              </w:rPr>
              <w:t>Auto Sector</w:t>
            </w:r>
          </w:p>
        </w:tc>
        <w:tc>
          <w:tcPr>
            <w:tcW w:w="940" w:type="dxa"/>
            <w:vAlign w:val="bottom"/>
          </w:tcPr>
          <w:p>
            <w:pPr>
              <w:jc w:val="right"/>
              <w:ind w:right="137"/>
              <w:spacing w:after="0"/>
              <w:rPr>
                <w:sz w:val="20"/>
                <w:szCs w:val="20"/>
                <w:color w:val="auto"/>
              </w:rPr>
            </w:pPr>
            <w:r>
              <w:rPr>
                <w:rFonts w:ascii="Arial" w:cs="Arial" w:eastAsia="Arial" w:hAnsi="Arial"/>
                <w:sz w:val="13"/>
                <w:szCs w:val="13"/>
                <w:color w:val="auto"/>
              </w:rPr>
              <w:t>12.50%</w:t>
            </w:r>
          </w:p>
        </w:tc>
        <w:tc>
          <w:tcPr>
            <w:tcW w:w="880" w:type="dxa"/>
            <w:vAlign w:val="bottom"/>
          </w:tcPr>
          <w:p>
            <w:pPr>
              <w:jc w:val="right"/>
              <w:ind w:right="217"/>
              <w:spacing w:after="0"/>
              <w:rPr>
                <w:sz w:val="20"/>
                <w:szCs w:val="20"/>
                <w:color w:val="auto"/>
              </w:rPr>
            </w:pPr>
            <w:r>
              <w:rPr>
                <w:rFonts w:ascii="Arial" w:cs="Arial" w:eastAsia="Arial" w:hAnsi="Arial"/>
                <w:sz w:val="13"/>
                <w:szCs w:val="13"/>
                <w:color w:val="auto"/>
              </w:rPr>
              <w:t>—</w:t>
            </w:r>
          </w:p>
        </w:tc>
        <w:tc>
          <w:tcPr>
            <w:tcW w:w="740" w:type="dxa"/>
            <w:vAlign w:val="bottom"/>
            <w:gridSpan w:val="2"/>
          </w:tcPr>
          <w:p>
            <w:pPr>
              <w:jc w:val="right"/>
              <w:ind w:right="100"/>
              <w:spacing w:after="0"/>
              <w:rPr>
                <w:sz w:val="20"/>
                <w:szCs w:val="20"/>
                <w:color w:val="auto"/>
              </w:rPr>
            </w:pPr>
            <w:r>
              <w:rPr>
                <w:rFonts w:ascii="Arial" w:cs="Arial" w:eastAsia="Arial" w:hAnsi="Arial"/>
                <w:sz w:val="13"/>
                <w:szCs w:val="13"/>
                <w:color w:val="auto"/>
                <w:w w:val="95"/>
              </w:rPr>
              <w:t>28,000,000</w:t>
            </w:r>
          </w:p>
        </w:tc>
        <w:tc>
          <w:tcPr>
            <w:tcW w:w="120" w:type="dxa"/>
            <w:vAlign w:val="bottom"/>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27,506,329</w:t>
            </w: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28,391,235</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460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Total Subordinated Debt/Corporate Notes</w:t>
            </w:r>
          </w:p>
        </w:tc>
        <w:tc>
          <w:tcPr>
            <w:tcW w:w="104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38,151,382</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39,036,289</w:t>
            </w:r>
          </w:p>
        </w:tc>
        <w:tc>
          <w:tcPr>
            <w:tcW w:w="0" w:type="dxa"/>
            <w:vAlign w:val="bottom"/>
          </w:tcPr>
          <w:p>
            <w:pPr>
              <w:spacing w:after="0"/>
              <w:rPr>
                <w:sz w:val="1"/>
                <w:szCs w:val="1"/>
                <w:color w:val="auto"/>
              </w:rPr>
            </w:pPr>
          </w:p>
        </w:tc>
      </w:tr>
      <w:tr>
        <w:trPr>
          <w:trHeight w:val="154"/>
        </w:trPr>
        <w:tc>
          <w:tcPr>
            <w:tcW w:w="4600" w:type="dxa"/>
            <w:vAlign w:val="bottom"/>
          </w:tcPr>
          <w:p>
            <w:pPr>
              <w:spacing w:after="0"/>
              <w:rPr>
                <w:sz w:val="20"/>
                <w:szCs w:val="20"/>
                <w:color w:val="auto"/>
              </w:rPr>
            </w:pPr>
            <w:r>
              <w:rPr>
                <w:rFonts w:ascii="Arial" w:cs="Arial" w:eastAsia="Arial" w:hAnsi="Arial"/>
                <w:sz w:val="13"/>
                <w:szCs w:val="13"/>
                <w:b w:val="1"/>
                <w:bCs w:val="1"/>
                <w:color w:val="auto"/>
              </w:rPr>
              <w:t xml:space="preserve">Preferred Equity – 0.1% </w:t>
            </w:r>
            <w:r>
              <w:rPr>
                <w:rFonts w:ascii="Arial" w:cs="Arial" w:eastAsia="Arial" w:hAnsi="Arial"/>
                <w:sz w:val="10"/>
                <w:szCs w:val="10"/>
                <w:b w:val="1"/>
                <w:bCs w:val="1"/>
                <w:color w:val="auto"/>
              </w:rPr>
              <w:t>(6)</w:t>
            </w:r>
          </w:p>
        </w:tc>
        <w:tc>
          <w:tcPr>
            <w:tcW w:w="10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740" w:type="dxa"/>
            <w:vAlign w:val="bottom"/>
            <w:tcBorders>
              <w:top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72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4600" w:type="dxa"/>
            <w:vAlign w:val="bottom"/>
            <w:shd w:val="clear" w:color="auto" w:fill="CCEEFF"/>
          </w:tcPr>
          <w:p>
            <w:pPr>
              <w:spacing w:after="0" w:line="122" w:lineRule="exact"/>
              <w:rPr>
                <w:sz w:val="20"/>
                <w:szCs w:val="20"/>
                <w:color w:val="auto"/>
              </w:rPr>
            </w:pPr>
            <w:r>
              <w:rPr>
                <w:rFonts w:ascii="Arial" w:cs="Arial" w:eastAsia="Arial" w:hAnsi="Arial"/>
                <w:sz w:val="13"/>
                <w:szCs w:val="13"/>
                <w:color w:val="auto"/>
              </w:rPr>
              <w:t>PAS International Holdings, Inc.</w:t>
            </w:r>
          </w:p>
        </w:tc>
        <w:tc>
          <w:tcPr>
            <w:tcW w:w="1040" w:type="dxa"/>
            <w:vAlign w:val="bottom"/>
            <w:shd w:val="clear" w:color="auto" w:fill="CCEEFF"/>
          </w:tcPr>
          <w:p>
            <w:pPr>
              <w:ind w:left="620"/>
              <w:spacing w:after="0" w:line="122" w:lineRule="exact"/>
              <w:rPr>
                <w:sz w:val="20"/>
                <w:szCs w:val="20"/>
                <w:color w:val="auto"/>
              </w:rPr>
            </w:pPr>
            <w:r>
              <w:rPr>
                <w:rFonts w:ascii="Arial" w:cs="Arial" w:eastAsia="Arial" w:hAnsi="Arial"/>
                <w:sz w:val="13"/>
                <w:szCs w:val="13"/>
                <w:color w:val="auto"/>
              </w:rPr>
              <w:t>—</w:t>
            </w:r>
          </w:p>
        </w:tc>
        <w:tc>
          <w:tcPr>
            <w:tcW w:w="1100" w:type="dxa"/>
            <w:vAlign w:val="bottom"/>
            <w:shd w:val="clear" w:color="auto" w:fill="CCEEFF"/>
          </w:tcPr>
          <w:p>
            <w:pPr>
              <w:jc w:val="center"/>
              <w:spacing w:after="0" w:line="122" w:lineRule="exact"/>
              <w:rPr>
                <w:sz w:val="20"/>
                <w:szCs w:val="20"/>
                <w:color w:val="auto"/>
              </w:rPr>
            </w:pPr>
            <w:r>
              <w:rPr>
                <w:rFonts w:ascii="Arial" w:cs="Arial" w:eastAsia="Arial" w:hAnsi="Arial"/>
                <w:sz w:val="13"/>
                <w:szCs w:val="13"/>
                <w:color w:val="auto"/>
                <w:w w:val="86"/>
              </w:rPr>
              <w:t>Aerospace and</w:t>
            </w:r>
          </w:p>
        </w:tc>
        <w:tc>
          <w:tcPr>
            <w:tcW w:w="940" w:type="dxa"/>
            <w:vAlign w:val="bottom"/>
            <w:shd w:val="clear" w:color="auto" w:fill="CCEEFF"/>
          </w:tcPr>
          <w:p>
            <w:pPr>
              <w:jc w:val="right"/>
              <w:ind w:right="317"/>
              <w:spacing w:after="0" w:line="122" w:lineRule="exact"/>
              <w:rPr>
                <w:sz w:val="20"/>
                <w:szCs w:val="20"/>
                <w:color w:val="auto"/>
              </w:rPr>
            </w:pPr>
            <w:r>
              <w:rPr>
                <w:rFonts w:ascii="Arial" w:cs="Arial" w:eastAsia="Arial" w:hAnsi="Arial"/>
                <w:sz w:val="13"/>
                <w:szCs w:val="13"/>
                <w:color w:val="auto"/>
              </w:rPr>
              <w:t>—</w:t>
            </w:r>
          </w:p>
        </w:tc>
        <w:tc>
          <w:tcPr>
            <w:tcW w:w="880" w:type="dxa"/>
            <w:vAlign w:val="bottom"/>
            <w:shd w:val="clear" w:color="auto" w:fill="CCEEFF"/>
          </w:tcPr>
          <w:p>
            <w:pPr>
              <w:jc w:val="right"/>
              <w:ind w:right="217"/>
              <w:spacing w:after="0" w:line="122" w:lineRule="exact"/>
              <w:rPr>
                <w:sz w:val="20"/>
                <w:szCs w:val="20"/>
                <w:color w:val="auto"/>
              </w:rPr>
            </w:pPr>
            <w:r>
              <w:rPr>
                <w:rFonts w:ascii="Arial" w:cs="Arial" w:eastAsia="Arial" w:hAnsi="Arial"/>
                <w:sz w:val="13"/>
                <w:szCs w:val="13"/>
                <w:color w:val="auto"/>
              </w:rPr>
              <w:t>—</w:t>
            </w:r>
          </w:p>
        </w:tc>
        <w:tc>
          <w:tcPr>
            <w:tcW w:w="740" w:type="dxa"/>
            <w:vAlign w:val="bottom"/>
            <w:gridSpan w:val="2"/>
            <w:shd w:val="clear" w:color="auto" w:fill="CCEEFF"/>
          </w:tcPr>
          <w:p>
            <w:pPr>
              <w:jc w:val="right"/>
              <w:ind w:right="100"/>
              <w:spacing w:after="0" w:line="122" w:lineRule="exact"/>
              <w:rPr>
                <w:sz w:val="20"/>
                <w:szCs w:val="20"/>
                <w:color w:val="auto"/>
              </w:rPr>
            </w:pPr>
            <w:r>
              <w:rPr>
                <w:rFonts w:ascii="Arial" w:cs="Arial" w:eastAsia="Arial" w:hAnsi="Arial"/>
                <w:sz w:val="13"/>
                <w:szCs w:val="13"/>
                <w:color w:val="auto"/>
              </w:rPr>
              <w:t>53,071</w:t>
            </w:r>
          </w:p>
        </w:tc>
        <w:tc>
          <w:tcPr>
            <w:tcW w:w="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0" w:type="dxa"/>
            <w:vAlign w:val="bottom"/>
            <w:gridSpan w:val="2"/>
            <w:shd w:val="clear" w:color="auto" w:fill="CCEEFF"/>
          </w:tcPr>
          <w:p>
            <w:pPr>
              <w:jc w:val="right"/>
              <w:ind w:right="60"/>
              <w:spacing w:after="0" w:line="122" w:lineRule="exact"/>
              <w:rPr>
                <w:sz w:val="20"/>
                <w:szCs w:val="20"/>
                <w:color w:val="auto"/>
              </w:rPr>
            </w:pPr>
            <w:r>
              <w:rPr>
                <w:rFonts w:ascii="Arial" w:cs="Arial" w:eastAsia="Arial" w:hAnsi="Arial"/>
                <w:sz w:val="13"/>
                <w:szCs w:val="13"/>
                <w:color w:val="auto"/>
              </w:rPr>
              <w:t>20,059,340</w:t>
            </w: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0" w:type="dxa"/>
            <w:vAlign w:val="bottom"/>
            <w:gridSpan w:val="2"/>
            <w:shd w:val="clear" w:color="auto" w:fill="CCEEFF"/>
          </w:tcPr>
          <w:p>
            <w:pPr>
              <w:jc w:val="right"/>
              <w:ind w:right="80"/>
              <w:spacing w:after="0" w:line="122" w:lineRule="exact"/>
              <w:rPr>
                <w:sz w:val="20"/>
                <w:szCs w:val="20"/>
                <w:color w:val="auto"/>
              </w:rPr>
            </w:pPr>
            <w:r>
              <w:rPr>
                <w:rFonts w:ascii="Arial" w:cs="Arial" w:eastAsia="Arial" w:hAnsi="Arial"/>
                <w:sz w:val="13"/>
                <w:szCs w:val="13"/>
                <w:color w:val="auto"/>
              </w:rPr>
              <w:t>523,407</w:t>
            </w:r>
          </w:p>
        </w:tc>
        <w:tc>
          <w:tcPr>
            <w:tcW w:w="0" w:type="dxa"/>
            <w:vAlign w:val="bottom"/>
          </w:tcPr>
          <w:p>
            <w:pPr>
              <w:spacing w:after="0"/>
              <w:rPr>
                <w:sz w:val="1"/>
                <w:szCs w:val="1"/>
                <w:color w:val="auto"/>
              </w:rPr>
            </w:pPr>
          </w:p>
        </w:tc>
      </w:tr>
      <w:tr>
        <w:trPr>
          <w:trHeight w:val="163"/>
        </w:trPr>
        <w:tc>
          <w:tcPr>
            <w:tcW w:w="460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10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2"/>
              </w:rPr>
              <w:t>Defense</w:t>
            </w:r>
          </w:p>
        </w:tc>
        <w:tc>
          <w:tcPr>
            <w:tcW w:w="94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0" w:type="dxa"/>
            <w:vAlign w:val="bottom"/>
            <w:tcBorders>
              <w:bottom w:val="single" w:sz="8" w:color="auto"/>
            </w:tcBorders>
            <w:shd w:val="clear" w:color="auto" w:fill="CCEEFF"/>
          </w:tcPr>
          <w:p>
            <w:pPr>
              <w:spacing w:after="0"/>
              <w:rPr>
                <w:sz w:val="14"/>
                <w:szCs w:val="14"/>
                <w:color w:val="auto"/>
              </w:rPr>
            </w:pPr>
          </w:p>
        </w:tc>
        <w:tc>
          <w:tcPr>
            <w:tcW w:w="740" w:type="dxa"/>
            <w:vAlign w:val="bottom"/>
            <w:tcBorders>
              <w:bottom w:val="single" w:sz="8" w:color="auto"/>
            </w:tcBorders>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720" w:type="dxa"/>
            <w:vAlign w:val="bottom"/>
            <w:tcBorders>
              <w:bottom w:val="single" w:sz="8" w:color="auto"/>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4"/>
        </w:trPr>
        <w:tc>
          <w:tcPr>
            <w:tcW w:w="4600" w:type="dxa"/>
            <w:vAlign w:val="bottom"/>
          </w:tcPr>
          <w:p>
            <w:pPr>
              <w:spacing w:after="0"/>
              <w:rPr>
                <w:sz w:val="20"/>
                <w:szCs w:val="20"/>
                <w:color w:val="auto"/>
              </w:rPr>
            </w:pPr>
            <w:r>
              <w:rPr>
                <w:rFonts w:ascii="Arial" w:cs="Arial" w:eastAsia="Arial" w:hAnsi="Arial"/>
                <w:sz w:val="13"/>
                <w:szCs w:val="13"/>
                <w:b w:val="1"/>
                <w:bCs w:val="1"/>
                <w:color w:val="auto"/>
              </w:rPr>
              <w:t xml:space="preserve">Common Equity/Partnership Interest—5.0% </w:t>
            </w:r>
            <w:r>
              <w:rPr>
                <w:rFonts w:ascii="Arial" w:cs="Arial" w:eastAsia="Arial" w:hAnsi="Arial"/>
                <w:sz w:val="10"/>
                <w:szCs w:val="10"/>
                <w:b w:val="1"/>
                <w:bCs w:val="1"/>
                <w:color w:val="auto"/>
              </w:rPr>
              <w:t>(6)</w:t>
            </w:r>
          </w:p>
        </w:tc>
        <w:tc>
          <w:tcPr>
            <w:tcW w:w="10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4600" w:type="dxa"/>
            <w:vAlign w:val="bottom"/>
            <w:shd w:val="clear" w:color="auto" w:fill="CCEEFF"/>
          </w:tcPr>
          <w:p>
            <w:pPr>
              <w:spacing w:after="0"/>
              <w:rPr>
                <w:sz w:val="20"/>
                <w:szCs w:val="20"/>
                <w:color w:val="auto"/>
              </w:rPr>
            </w:pPr>
            <w:r>
              <w:rPr>
                <w:rFonts w:ascii="Arial" w:cs="Arial" w:eastAsia="Arial" w:hAnsi="Arial"/>
                <w:sz w:val="13"/>
                <w:szCs w:val="13"/>
                <w:color w:val="auto"/>
              </w:rPr>
              <w:t>DirectBuy Holdings, Inc.</w:t>
            </w:r>
          </w:p>
        </w:tc>
        <w:tc>
          <w:tcPr>
            <w:tcW w:w="1040" w:type="dxa"/>
            <w:vAlign w:val="bottom"/>
            <w:shd w:val="clear" w:color="auto" w:fill="CCEEFF"/>
          </w:tcPr>
          <w:p>
            <w:pPr>
              <w:ind w:left="620"/>
              <w:spacing w:after="0"/>
              <w:rPr>
                <w:sz w:val="20"/>
                <w:szCs w:val="20"/>
                <w:color w:val="auto"/>
              </w:rPr>
            </w:pPr>
            <w:r>
              <w:rPr>
                <w:rFonts w:ascii="Arial" w:cs="Arial" w:eastAsia="Arial" w:hAnsi="Arial"/>
                <w:sz w:val="13"/>
                <w:szCs w:val="13"/>
                <w:color w:val="auto"/>
              </w:rPr>
              <w:t>—</w:t>
            </w:r>
          </w:p>
        </w:tc>
        <w:tc>
          <w:tcPr>
            <w:tcW w:w="110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7"/>
              </w:rPr>
              <w:t>Consumer Products</w:t>
            </w:r>
          </w:p>
        </w:tc>
        <w:tc>
          <w:tcPr>
            <w:tcW w:w="940" w:type="dxa"/>
            <w:vAlign w:val="bottom"/>
            <w:shd w:val="clear" w:color="auto" w:fill="CCEEFF"/>
          </w:tcPr>
          <w:p>
            <w:pPr>
              <w:jc w:val="right"/>
              <w:ind w:right="317"/>
              <w:spacing w:after="0"/>
              <w:rPr>
                <w:sz w:val="20"/>
                <w:szCs w:val="20"/>
                <w:color w:val="auto"/>
              </w:rPr>
            </w:pPr>
            <w:r>
              <w:rPr>
                <w:rFonts w:ascii="Arial" w:cs="Arial" w:eastAsia="Arial" w:hAnsi="Arial"/>
                <w:sz w:val="13"/>
                <w:szCs w:val="13"/>
                <w:color w:val="auto"/>
              </w:rPr>
              <w:t>—</w:t>
            </w:r>
          </w:p>
        </w:tc>
        <w:tc>
          <w:tcPr>
            <w:tcW w:w="880" w:type="dxa"/>
            <w:vAlign w:val="bottom"/>
            <w:shd w:val="clear" w:color="auto" w:fill="CCEEFF"/>
          </w:tcPr>
          <w:p>
            <w:pPr>
              <w:jc w:val="right"/>
              <w:ind w:right="217"/>
              <w:spacing w:after="0"/>
              <w:rPr>
                <w:sz w:val="20"/>
                <w:szCs w:val="20"/>
                <w:color w:val="auto"/>
              </w:rPr>
            </w:pPr>
            <w:r>
              <w:rPr>
                <w:rFonts w:ascii="Arial" w:cs="Arial" w:eastAsia="Arial" w:hAnsi="Arial"/>
                <w:sz w:val="13"/>
                <w:szCs w:val="13"/>
                <w:color w:val="auto"/>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104,719</w:t>
            </w:r>
          </w:p>
        </w:tc>
        <w:tc>
          <w:tcPr>
            <w:tcW w:w="1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21,492,822</w:t>
            </w: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4,656,003</w:t>
            </w:r>
          </w:p>
        </w:tc>
        <w:tc>
          <w:tcPr>
            <w:tcW w:w="0" w:type="dxa"/>
            <w:vAlign w:val="bottom"/>
          </w:tcPr>
          <w:p>
            <w:pPr>
              <w:spacing w:after="0"/>
              <w:rPr>
                <w:sz w:val="1"/>
                <w:szCs w:val="1"/>
                <w:color w:val="auto"/>
              </w:rPr>
            </w:pPr>
          </w:p>
        </w:tc>
      </w:tr>
      <w:tr>
        <w:trPr>
          <w:trHeight w:val="148"/>
        </w:trPr>
        <w:tc>
          <w:tcPr>
            <w:tcW w:w="4600" w:type="dxa"/>
            <w:vAlign w:val="bottom"/>
          </w:tcPr>
          <w:p>
            <w:pPr>
              <w:spacing w:after="0"/>
              <w:rPr>
                <w:sz w:val="20"/>
                <w:szCs w:val="20"/>
                <w:color w:val="auto"/>
              </w:rPr>
            </w:pPr>
            <w:r>
              <w:rPr>
                <w:rFonts w:ascii="Arial" w:cs="Arial" w:eastAsia="Arial" w:hAnsi="Arial"/>
                <w:sz w:val="13"/>
                <w:szCs w:val="13"/>
                <w:color w:val="auto"/>
              </w:rPr>
              <w:t>DirectBuy Holdings, Inc. (Warrants)</w:t>
            </w:r>
          </w:p>
        </w:tc>
        <w:tc>
          <w:tcPr>
            <w:tcW w:w="1040" w:type="dxa"/>
            <w:vAlign w:val="bottom"/>
          </w:tcPr>
          <w:p>
            <w:pPr>
              <w:jc w:val="center"/>
              <w:ind w:left="317"/>
              <w:spacing w:after="0"/>
              <w:rPr>
                <w:sz w:val="20"/>
                <w:szCs w:val="20"/>
                <w:color w:val="auto"/>
              </w:rPr>
            </w:pPr>
            <w:r>
              <w:rPr>
                <w:rFonts w:ascii="Arial" w:cs="Arial" w:eastAsia="Arial" w:hAnsi="Arial"/>
                <w:sz w:val="13"/>
                <w:szCs w:val="13"/>
                <w:color w:val="auto"/>
                <w:w w:val="89"/>
              </w:rPr>
              <w:t>11/05/2022</w:t>
            </w:r>
          </w:p>
        </w:tc>
        <w:tc>
          <w:tcPr>
            <w:tcW w:w="1100" w:type="dxa"/>
            <w:vAlign w:val="bottom"/>
          </w:tcPr>
          <w:p>
            <w:pPr>
              <w:jc w:val="center"/>
              <w:spacing w:after="0"/>
              <w:rPr>
                <w:sz w:val="20"/>
                <w:szCs w:val="20"/>
                <w:color w:val="auto"/>
              </w:rPr>
            </w:pPr>
            <w:r>
              <w:rPr>
                <w:rFonts w:ascii="Arial" w:cs="Arial" w:eastAsia="Arial" w:hAnsi="Arial"/>
                <w:sz w:val="13"/>
                <w:szCs w:val="13"/>
                <w:color w:val="auto"/>
                <w:w w:val="87"/>
              </w:rPr>
              <w:t>Consumer Products</w:t>
            </w:r>
          </w:p>
        </w:tc>
        <w:tc>
          <w:tcPr>
            <w:tcW w:w="940" w:type="dxa"/>
            <w:vAlign w:val="bottom"/>
          </w:tcPr>
          <w:p>
            <w:pPr>
              <w:jc w:val="right"/>
              <w:ind w:right="317"/>
              <w:spacing w:after="0"/>
              <w:rPr>
                <w:sz w:val="20"/>
                <w:szCs w:val="20"/>
                <w:color w:val="auto"/>
              </w:rPr>
            </w:pPr>
            <w:r>
              <w:rPr>
                <w:rFonts w:ascii="Arial" w:cs="Arial" w:eastAsia="Arial" w:hAnsi="Arial"/>
                <w:sz w:val="13"/>
                <w:szCs w:val="13"/>
                <w:color w:val="auto"/>
              </w:rPr>
              <w:t>—</w:t>
            </w:r>
          </w:p>
        </w:tc>
        <w:tc>
          <w:tcPr>
            <w:tcW w:w="880" w:type="dxa"/>
            <w:vAlign w:val="bottom"/>
          </w:tcPr>
          <w:p>
            <w:pPr>
              <w:jc w:val="right"/>
              <w:ind w:right="217"/>
              <w:spacing w:after="0"/>
              <w:rPr>
                <w:sz w:val="20"/>
                <w:szCs w:val="20"/>
                <w:color w:val="auto"/>
              </w:rPr>
            </w:pPr>
            <w:r>
              <w:rPr>
                <w:rFonts w:ascii="Arial" w:cs="Arial" w:eastAsia="Arial" w:hAnsi="Arial"/>
                <w:sz w:val="13"/>
                <w:szCs w:val="13"/>
                <w:color w:val="auto"/>
              </w:rPr>
              <w:t>—</w:t>
            </w:r>
          </w:p>
        </w:tc>
        <w:tc>
          <w:tcPr>
            <w:tcW w:w="740" w:type="dxa"/>
            <w:vAlign w:val="bottom"/>
            <w:gridSpan w:val="2"/>
          </w:tcPr>
          <w:p>
            <w:pPr>
              <w:jc w:val="right"/>
              <w:ind w:right="100"/>
              <w:spacing w:after="0"/>
              <w:rPr>
                <w:sz w:val="20"/>
                <w:szCs w:val="20"/>
                <w:color w:val="auto"/>
              </w:rPr>
            </w:pPr>
            <w:r>
              <w:rPr>
                <w:rFonts w:ascii="Arial" w:cs="Arial" w:eastAsia="Arial" w:hAnsi="Arial"/>
                <w:sz w:val="13"/>
                <w:szCs w:val="13"/>
                <w:color w:val="auto"/>
              </w:rPr>
              <w:t>15,486</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gridSpan w:val="2"/>
          </w:tcPr>
          <w:p>
            <w:pPr>
              <w:ind w:left="54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3"/>
                <w:szCs w:val="13"/>
                <w:color w:val="auto"/>
              </w:rPr>
              <w:t>688,382</w:t>
            </w:r>
          </w:p>
        </w:tc>
        <w:tc>
          <w:tcPr>
            <w:tcW w:w="0" w:type="dxa"/>
            <w:vAlign w:val="bottom"/>
          </w:tcPr>
          <w:p>
            <w:pPr>
              <w:spacing w:after="0"/>
              <w:rPr>
                <w:sz w:val="1"/>
                <w:szCs w:val="1"/>
                <w:color w:val="auto"/>
              </w:rPr>
            </w:pPr>
          </w:p>
        </w:tc>
      </w:tr>
      <w:tr>
        <w:trPr>
          <w:trHeight w:val="121"/>
        </w:trPr>
        <w:tc>
          <w:tcPr>
            <w:tcW w:w="4600" w:type="dxa"/>
            <w:vAlign w:val="bottom"/>
            <w:shd w:val="clear" w:color="auto" w:fill="CCEEFF"/>
          </w:tcPr>
          <w:p>
            <w:pPr>
              <w:spacing w:after="0" w:line="121" w:lineRule="exact"/>
              <w:rPr>
                <w:sz w:val="20"/>
                <w:szCs w:val="20"/>
                <w:color w:val="auto"/>
              </w:rPr>
            </w:pPr>
            <w:r>
              <w:rPr>
                <w:rFonts w:ascii="Arial" w:cs="Arial" w:eastAsia="Arial" w:hAnsi="Arial"/>
                <w:sz w:val="13"/>
                <w:szCs w:val="13"/>
                <w:color w:val="auto"/>
              </w:rPr>
              <w:t>EnviroSolutions Holdings, Inc.</w:t>
            </w:r>
          </w:p>
        </w:tc>
        <w:tc>
          <w:tcPr>
            <w:tcW w:w="1040" w:type="dxa"/>
            <w:vAlign w:val="bottom"/>
            <w:shd w:val="clear" w:color="auto" w:fill="CCEEFF"/>
          </w:tcPr>
          <w:p>
            <w:pPr>
              <w:ind w:left="620"/>
              <w:spacing w:after="0" w:line="121" w:lineRule="exact"/>
              <w:rPr>
                <w:sz w:val="20"/>
                <w:szCs w:val="20"/>
                <w:color w:val="auto"/>
              </w:rPr>
            </w:pPr>
            <w:r>
              <w:rPr>
                <w:rFonts w:ascii="Arial" w:cs="Arial" w:eastAsia="Arial" w:hAnsi="Arial"/>
                <w:sz w:val="13"/>
                <w:szCs w:val="13"/>
                <w:color w:val="auto"/>
              </w:rPr>
              <w:t>—</w:t>
            </w:r>
          </w:p>
        </w:tc>
        <w:tc>
          <w:tcPr>
            <w:tcW w:w="1100" w:type="dxa"/>
            <w:vAlign w:val="bottom"/>
            <w:shd w:val="clear" w:color="auto" w:fill="CCEEFF"/>
          </w:tcPr>
          <w:p>
            <w:pPr>
              <w:jc w:val="center"/>
              <w:spacing w:after="0" w:line="121" w:lineRule="exact"/>
              <w:rPr>
                <w:sz w:val="20"/>
                <w:szCs w:val="20"/>
                <w:color w:val="auto"/>
              </w:rPr>
            </w:pPr>
            <w:r>
              <w:rPr>
                <w:rFonts w:ascii="Arial" w:cs="Arial" w:eastAsia="Arial" w:hAnsi="Arial"/>
                <w:sz w:val="13"/>
                <w:szCs w:val="13"/>
                <w:color w:val="auto"/>
                <w:w w:val="91"/>
              </w:rPr>
              <w:t>Environmental</w:t>
            </w:r>
          </w:p>
        </w:tc>
        <w:tc>
          <w:tcPr>
            <w:tcW w:w="940" w:type="dxa"/>
            <w:vAlign w:val="bottom"/>
            <w:shd w:val="clear" w:color="auto" w:fill="CCEEFF"/>
          </w:tcPr>
          <w:p>
            <w:pPr>
              <w:jc w:val="right"/>
              <w:ind w:right="317"/>
              <w:spacing w:after="0" w:line="121" w:lineRule="exact"/>
              <w:rPr>
                <w:sz w:val="20"/>
                <w:szCs w:val="20"/>
                <w:color w:val="auto"/>
              </w:rPr>
            </w:pPr>
            <w:r>
              <w:rPr>
                <w:rFonts w:ascii="Arial" w:cs="Arial" w:eastAsia="Arial" w:hAnsi="Arial"/>
                <w:sz w:val="13"/>
                <w:szCs w:val="13"/>
                <w:color w:val="auto"/>
              </w:rPr>
              <w:t>—</w:t>
            </w:r>
          </w:p>
        </w:tc>
        <w:tc>
          <w:tcPr>
            <w:tcW w:w="880" w:type="dxa"/>
            <w:vAlign w:val="bottom"/>
            <w:shd w:val="clear" w:color="auto" w:fill="CCEEFF"/>
          </w:tcPr>
          <w:p>
            <w:pPr>
              <w:jc w:val="right"/>
              <w:ind w:right="217"/>
              <w:spacing w:after="0" w:line="121" w:lineRule="exact"/>
              <w:rPr>
                <w:sz w:val="20"/>
                <w:szCs w:val="20"/>
                <w:color w:val="auto"/>
              </w:rPr>
            </w:pPr>
            <w:r>
              <w:rPr>
                <w:rFonts w:ascii="Arial" w:cs="Arial" w:eastAsia="Arial" w:hAnsi="Arial"/>
                <w:sz w:val="13"/>
                <w:szCs w:val="13"/>
                <w:color w:val="auto"/>
              </w:rPr>
              <w:t>—</w:t>
            </w:r>
          </w:p>
        </w:tc>
        <w:tc>
          <w:tcPr>
            <w:tcW w:w="740" w:type="dxa"/>
            <w:vAlign w:val="bottom"/>
            <w:gridSpan w:val="2"/>
            <w:shd w:val="clear" w:color="auto" w:fill="CCEEFF"/>
          </w:tcPr>
          <w:p>
            <w:pPr>
              <w:jc w:val="right"/>
              <w:ind w:right="100"/>
              <w:spacing w:after="0" w:line="121" w:lineRule="exact"/>
              <w:rPr>
                <w:sz w:val="20"/>
                <w:szCs w:val="20"/>
                <w:color w:val="auto"/>
              </w:rPr>
            </w:pPr>
            <w:r>
              <w:rPr>
                <w:rFonts w:ascii="Arial" w:cs="Arial" w:eastAsia="Arial" w:hAnsi="Arial"/>
                <w:sz w:val="13"/>
                <w:szCs w:val="13"/>
                <w:color w:val="auto"/>
              </w:rPr>
              <w:t>142,684</w:t>
            </w:r>
          </w:p>
        </w:tc>
        <w:tc>
          <w:tcPr>
            <w:tcW w:w="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0" w:type="dxa"/>
            <w:vAlign w:val="bottom"/>
            <w:gridSpan w:val="2"/>
            <w:shd w:val="clear" w:color="auto" w:fill="CCEEFF"/>
          </w:tcPr>
          <w:p>
            <w:pPr>
              <w:jc w:val="right"/>
              <w:ind w:right="60"/>
              <w:spacing w:after="0" w:line="121" w:lineRule="exact"/>
              <w:rPr>
                <w:sz w:val="20"/>
                <w:szCs w:val="20"/>
                <w:color w:val="auto"/>
              </w:rPr>
            </w:pPr>
            <w:r>
              <w:rPr>
                <w:rFonts w:ascii="Arial" w:cs="Arial" w:eastAsia="Arial" w:hAnsi="Arial"/>
                <w:sz w:val="13"/>
                <w:szCs w:val="13"/>
                <w:color w:val="auto"/>
              </w:rPr>
              <w:t>11,891,822</w:t>
            </w: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0" w:type="dxa"/>
            <w:vAlign w:val="bottom"/>
            <w:gridSpan w:val="2"/>
            <w:shd w:val="clear" w:color="auto" w:fill="CCEEFF"/>
          </w:tcPr>
          <w:p>
            <w:pPr>
              <w:jc w:val="right"/>
              <w:ind w:right="80"/>
              <w:spacing w:after="0" w:line="121" w:lineRule="exact"/>
              <w:rPr>
                <w:sz w:val="20"/>
                <w:szCs w:val="20"/>
                <w:color w:val="auto"/>
              </w:rPr>
            </w:pPr>
            <w:r>
              <w:rPr>
                <w:rFonts w:ascii="Arial" w:cs="Arial" w:eastAsia="Arial" w:hAnsi="Arial"/>
                <w:sz w:val="13"/>
                <w:szCs w:val="13"/>
                <w:color w:val="auto"/>
              </w:rPr>
              <w:t>23,136,931</w:t>
            </w:r>
          </w:p>
        </w:tc>
        <w:tc>
          <w:tcPr>
            <w:tcW w:w="0" w:type="dxa"/>
            <w:vAlign w:val="bottom"/>
          </w:tcPr>
          <w:p>
            <w:pPr>
              <w:spacing w:after="0"/>
              <w:rPr>
                <w:sz w:val="1"/>
                <w:szCs w:val="1"/>
                <w:color w:val="auto"/>
              </w:rPr>
            </w:pPr>
          </w:p>
        </w:tc>
      </w:tr>
      <w:tr>
        <w:trPr>
          <w:trHeight w:val="149"/>
        </w:trPr>
        <w:tc>
          <w:tcPr>
            <w:tcW w:w="46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(EnviroSolutions Real Property Holdings, Inc.)</w:t>
            </w:r>
          </w:p>
        </w:tc>
        <w:tc>
          <w:tcPr>
            <w:tcW w:w="1040" w:type="dxa"/>
            <w:vAlign w:val="bottom"/>
            <w:shd w:val="clear" w:color="auto" w:fill="CCEEFF"/>
          </w:tcPr>
          <w:p>
            <w:pPr>
              <w:spacing w:after="0"/>
              <w:rPr>
                <w:sz w:val="12"/>
                <w:szCs w:val="12"/>
                <w:color w:val="auto"/>
              </w:rPr>
            </w:pPr>
          </w:p>
        </w:tc>
        <w:tc>
          <w:tcPr>
            <w:tcW w:w="110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8"/>
              </w:rPr>
              <w:t>Services</w:t>
            </w:r>
          </w:p>
        </w:tc>
        <w:tc>
          <w:tcPr>
            <w:tcW w:w="9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1"/>
        </w:trPr>
        <w:tc>
          <w:tcPr>
            <w:tcW w:w="4600" w:type="dxa"/>
            <w:vAlign w:val="bottom"/>
          </w:tcPr>
          <w:p>
            <w:pPr>
              <w:spacing w:after="0" w:line="121" w:lineRule="exact"/>
              <w:rPr>
                <w:sz w:val="20"/>
                <w:szCs w:val="20"/>
                <w:color w:val="auto"/>
              </w:rPr>
            </w:pPr>
            <w:r>
              <w:rPr>
                <w:rFonts w:ascii="Arial" w:cs="Arial" w:eastAsia="Arial" w:hAnsi="Arial"/>
                <w:sz w:val="13"/>
                <w:szCs w:val="13"/>
                <w:color w:val="auto"/>
              </w:rPr>
              <w:t>NCP-Performance, L.P.</w:t>
            </w:r>
          </w:p>
        </w:tc>
        <w:tc>
          <w:tcPr>
            <w:tcW w:w="1040" w:type="dxa"/>
            <w:vAlign w:val="bottom"/>
          </w:tcPr>
          <w:p>
            <w:pPr>
              <w:ind w:left="620"/>
              <w:spacing w:after="0" w:line="121" w:lineRule="exact"/>
              <w:rPr>
                <w:sz w:val="20"/>
                <w:szCs w:val="20"/>
                <w:color w:val="auto"/>
              </w:rPr>
            </w:pPr>
            <w:r>
              <w:rPr>
                <w:rFonts w:ascii="Arial" w:cs="Arial" w:eastAsia="Arial" w:hAnsi="Arial"/>
                <w:sz w:val="13"/>
                <w:szCs w:val="13"/>
                <w:color w:val="auto"/>
              </w:rPr>
              <w:t>—</w:t>
            </w:r>
          </w:p>
        </w:tc>
        <w:tc>
          <w:tcPr>
            <w:tcW w:w="1100" w:type="dxa"/>
            <w:vAlign w:val="bottom"/>
          </w:tcPr>
          <w:p>
            <w:pPr>
              <w:jc w:val="center"/>
              <w:spacing w:after="0" w:line="121" w:lineRule="exact"/>
              <w:rPr>
                <w:sz w:val="20"/>
                <w:szCs w:val="20"/>
                <w:color w:val="auto"/>
              </w:rPr>
            </w:pPr>
            <w:r>
              <w:rPr>
                <w:rFonts w:ascii="Arial" w:cs="Arial" w:eastAsia="Arial" w:hAnsi="Arial"/>
                <w:sz w:val="13"/>
                <w:szCs w:val="13"/>
                <w:color w:val="auto"/>
                <w:w w:val="86"/>
              </w:rPr>
              <w:t>Leisure,</w:t>
            </w:r>
          </w:p>
        </w:tc>
        <w:tc>
          <w:tcPr>
            <w:tcW w:w="940" w:type="dxa"/>
            <w:vAlign w:val="bottom"/>
          </w:tcPr>
          <w:p>
            <w:pPr>
              <w:jc w:val="right"/>
              <w:ind w:right="317"/>
              <w:spacing w:after="0" w:line="121" w:lineRule="exact"/>
              <w:rPr>
                <w:sz w:val="20"/>
                <w:szCs w:val="20"/>
                <w:color w:val="auto"/>
              </w:rPr>
            </w:pPr>
            <w:r>
              <w:rPr>
                <w:rFonts w:ascii="Arial" w:cs="Arial" w:eastAsia="Arial" w:hAnsi="Arial"/>
                <w:sz w:val="13"/>
                <w:szCs w:val="13"/>
                <w:color w:val="auto"/>
              </w:rPr>
              <w:t>—</w:t>
            </w:r>
          </w:p>
        </w:tc>
        <w:tc>
          <w:tcPr>
            <w:tcW w:w="880" w:type="dxa"/>
            <w:vAlign w:val="bottom"/>
          </w:tcPr>
          <w:p>
            <w:pPr>
              <w:jc w:val="right"/>
              <w:ind w:right="217"/>
              <w:spacing w:after="0" w:line="121" w:lineRule="exact"/>
              <w:rPr>
                <w:sz w:val="20"/>
                <w:szCs w:val="20"/>
                <w:color w:val="auto"/>
              </w:rPr>
            </w:pPr>
            <w:r>
              <w:rPr>
                <w:rFonts w:ascii="Arial" w:cs="Arial" w:eastAsia="Arial" w:hAnsi="Arial"/>
                <w:sz w:val="13"/>
                <w:szCs w:val="13"/>
                <w:color w:val="auto"/>
              </w:rPr>
              <w:t>—</w:t>
            </w:r>
          </w:p>
        </w:tc>
        <w:tc>
          <w:tcPr>
            <w:tcW w:w="740" w:type="dxa"/>
            <w:vAlign w:val="bottom"/>
            <w:gridSpan w:val="2"/>
          </w:tcPr>
          <w:p>
            <w:pPr>
              <w:jc w:val="right"/>
              <w:ind w:right="100"/>
              <w:spacing w:after="0" w:line="121" w:lineRule="exact"/>
              <w:rPr>
                <w:sz w:val="20"/>
                <w:szCs w:val="20"/>
                <w:color w:val="auto"/>
              </w:rPr>
            </w:pPr>
            <w:r>
              <w:rPr>
                <w:rFonts w:ascii="Arial" w:cs="Arial" w:eastAsia="Arial" w:hAnsi="Arial"/>
                <w:sz w:val="13"/>
                <w:szCs w:val="13"/>
                <w:color w:val="auto"/>
              </w:rPr>
              <w:t>375,000</w:t>
            </w: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0" w:type="dxa"/>
            <w:vAlign w:val="bottom"/>
            <w:gridSpan w:val="2"/>
          </w:tcPr>
          <w:p>
            <w:pPr>
              <w:jc w:val="right"/>
              <w:ind w:right="60"/>
              <w:spacing w:after="0" w:line="121" w:lineRule="exact"/>
              <w:rPr>
                <w:sz w:val="20"/>
                <w:szCs w:val="20"/>
                <w:color w:val="auto"/>
              </w:rPr>
            </w:pPr>
            <w:r>
              <w:rPr>
                <w:rFonts w:ascii="Arial" w:cs="Arial" w:eastAsia="Arial" w:hAnsi="Arial"/>
                <w:sz w:val="13"/>
                <w:szCs w:val="13"/>
                <w:color w:val="auto"/>
              </w:rPr>
              <w:t>3,750,000</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gridSpan w:val="2"/>
          </w:tcPr>
          <w:p>
            <w:pPr>
              <w:jc w:val="right"/>
              <w:ind w:right="80"/>
              <w:spacing w:after="0" w:line="121" w:lineRule="exact"/>
              <w:rPr>
                <w:sz w:val="20"/>
                <w:szCs w:val="20"/>
                <w:color w:val="auto"/>
              </w:rPr>
            </w:pPr>
            <w:r>
              <w:rPr>
                <w:rFonts w:ascii="Arial" w:cs="Arial" w:eastAsia="Arial" w:hAnsi="Arial"/>
                <w:sz w:val="13"/>
                <w:szCs w:val="13"/>
                <w:color w:val="auto"/>
              </w:rPr>
              <w:t>1,288,200</w:t>
            </w:r>
          </w:p>
        </w:tc>
        <w:tc>
          <w:tcPr>
            <w:tcW w:w="0" w:type="dxa"/>
            <w:vAlign w:val="bottom"/>
          </w:tcPr>
          <w:p>
            <w:pPr>
              <w:spacing w:after="0"/>
              <w:rPr>
                <w:sz w:val="1"/>
                <w:szCs w:val="1"/>
                <w:color w:val="auto"/>
              </w:rPr>
            </w:pPr>
          </w:p>
        </w:tc>
      </w:tr>
      <w:tr>
        <w:trPr>
          <w:trHeight w:val="135"/>
        </w:trPr>
        <w:tc>
          <w:tcPr>
            <w:tcW w:w="46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00" w:type="dxa"/>
            <w:vAlign w:val="bottom"/>
          </w:tcPr>
          <w:p>
            <w:pPr>
              <w:jc w:val="center"/>
              <w:spacing w:after="0" w:line="135" w:lineRule="exact"/>
              <w:rPr>
                <w:sz w:val="20"/>
                <w:szCs w:val="20"/>
                <w:color w:val="auto"/>
              </w:rPr>
            </w:pPr>
            <w:r>
              <w:rPr>
                <w:rFonts w:ascii="Arial" w:cs="Arial" w:eastAsia="Arial" w:hAnsi="Arial"/>
                <w:sz w:val="13"/>
                <w:szCs w:val="13"/>
                <w:color w:val="auto"/>
                <w:w w:val="87"/>
              </w:rPr>
              <w:t>Amusement,</w:t>
            </w:r>
          </w:p>
        </w:tc>
        <w:tc>
          <w:tcPr>
            <w:tcW w:w="9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6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00" w:type="dxa"/>
            <w:vAlign w:val="bottom"/>
          </w:tcPr>
          <w:p>
            <w:pPr>
              <w:jc w:val="center"/>
              <w:spacing w:after="0" w:line="135" w:lineRule="exact"/>
              <w:rPr>
                <w:sz w:val="20"/>
                <w:szCs w:val="20"/>
                <w:color w:val="auto"/>
              </w:rPr>
            </w:pPr>
            <w:r>
              <w:rPr>
                <w:rFonts w:ascii="Arial" w:cs="Arial" w:eastAsia="Arial" w:hAnsi="Arial"/>
                <w:sz w:val="13"/>
                <w:szCs w:val="13"/>
                <w:color w:val="auto"/>
                <w:w w:val="89"/>
              </w:rPr>
              <w:t>Motion Pictures</w:t>
            </w:r>
          </w:p>
        </w:tc>
        <w:tc>
          <w:tcPr>
            <w:tcW w:w="9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46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00" w:type="dxa"/>
            <w:vAlign w:val="bottom"/>
          </w:tcPr>
          <w:p>
            <w:pPr>
              <w:jc w:val="center"/>
              <w:spacing w:after="0"/>
              <w:rPr>
                <w:sz w:val="20"/>
                <w:szCs w:val="20"/>
                <w:color w:val="auto"/>
              </w:rPr>
            </w:pPr>
            <w:r>
              <w:rPr>
                <w:rFonts w:ascii="Arial" w:cs="Arial" w:eastAsia="Arial" w:hAnsi="Arial"/>
                <w:sz w:val="13"/>
                <w:szCs w:val="13"/>
                <w:color w:val="auto"/>
                <w:w w:val="86"/>
              </w:rPr>
              <w:t>and Entertainment</w:t>
            </w:r>
          </w:p>
        </w:tc>
        <w:tc>
          <w:tcPr>
            <w:tcW w:w="9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4600" w:type="dxa"/>
            <w:vAlign w:val="bottom"/>
            <w:shd w:val="clear" w:color="auto" w:fill="CCEEFF"/>
          </w:tcPr>
          <w:p>
            <w:pPr>
              <w:spacing w:after="0" w:line="122" w:lineRule="exact"/>
              <w:rPr>
                <w:sz w:val="20"/>
                <w:szCs w:val="20"/>
                <w:color w:val="auto"/>
              </w:rPr>
            </w:pPr>
            <w:r>
              <w:rPr>
                <w:rFonts w:ascii="Arial" w:cs="Arial" w:eastAsia="Arial" w:hAnsi="Arial"/>
                <w:sz w:val="13"/>
                <w:szCs w:val="13"/>
                <w:color w:val="auto"/>
              </w:rPr>
              <w:t>New Service Champ Holdings, Inc.</w:t>
            </w:r>
          </w:p>
        </w:tc>
        <w:tc>
          <w:tcPr>
            <w:tcW w:w="1040" w:type="dxa"/>
            <w:vAlign w:val="bottom"/>
            <w:shd w:val="clear" w:color="auto" w:fill="CCEEFF"/>
          </w:tcPr>
          <w:p>
            <w:pPr>
              <w:ind w:left="620"/>
              <w:spacing w:after="0" w:line="122" w:lineRule="exact"/>
              <w:rPr>
                <w:sz w:val="20"/>
                <w:szCs w:val="20"/>
                <w:color w:val="auto"/>
              </w:rPr>
            </w:pPr>
            <w:r>
              <w:rPr>
                <w:rFonts w:ascii="Arial" w:cs="Arial" w:eastAsia="Arial" w:hAnsi="Arial"/>
                <w:sz w:val="13"/>
                <w:szCs w:val="13"/>
                <w:color w:val="auto"/>
              </w:rPr>
              <w:t>—</w:t>
            </w:r>
          </w:p>
        </w:tc>
        <w:tc>
          <w:tcPr>
            <w:tcW w:w="1100" w:type="dxa"/>
            <w:vAlign w:val="bottom"/>
            <w:shd w:val="clear" w:color="auto" w:fill="CCEEFF"/>
          </w:tcPr>
          <w:p>
            <w:pPr>
              <w:jc w:val="center"/>
              <w:spacing w:after="0" w:line="122" w:lineRule="exact"/>
              <w:rPr>
                <w:sz w:val="20"/>
                <w:szCs w:val="20"/>
                <w:color w:val="auto"/>
              </w:rPr>
            </w:pPr>
            <w:r>
              <w:rPr>
                <w:rFonts w:ascii="Arial" w:cs="Arial" w:eastAsia="Arial" w:hAnsi="Arial"/>
                <w:sz w:val="13"/>
                <w:szCs w:val="13"/>
                <w:color w:val="auto"/>
                <w:w w:val="88"/>
              </w:rPr>
              <w:t>Auto Sector</w:t>
            </w:r>
          </w:p>
        </w:tc>
        <w:tc>
          <w:tcPr>
            <w:tcW w:w="940" w:type="dxa"/>
            <w:vAlign w:val="bottom"/>
            <w:shd w:val="clear" w:color="auto" w:fill="CCEEFF"/>
          </w:tcPr>
          <w:p>
            <w:pPr>
              <w:jc w:val="right"/>
              <w:ind w:right="317"/>
              <w:spacing w:after="0" w:line="122" w:lineRule="exact"/>
              <w:rPr>
                <w:sz w:val="20"/>
                <w:szCs w:val="20"/>
                <w:color w:val="auto"/>
              </w:rPr>
            </w:pPr>
            <w:r>
              <w:rPr>
                <w:rFonts w:ascii="Arial" w:cs="Arial" w:eastAsia="Arial" w:hAnsi="Arial"/>
                <w:sz w:val="13"/>
                <w:szCs w:val="13"/>
                <w:color w:val="auto"/>
              </w:rPr>
              <w:t>—</w:t>
            </w:r>
          </w:p>
        </w:tc>
        <w:tc>
          <w:tcPr>
            <w:tcW w:w="880" w:type="dxa"/>
            <w:vAlign w:val="bottom"/>
            <w:shd w:val="clear" w:color="auto" w:fill="CCEEFF"/>
          </w:tcPr>
          <w:p>
            <w:pPr>
              <w:jc w:val="right"/>
              <w:ind w:right="217"/>
              <w:spacing w:after="0" w:line="122" w:lineRule="exact"/>
              <w:rPr>
                <w:sz w:val="20"/>
                <w:szCs w:val="20"/>
                <w:color w:val="auto"/>
              </w:rPr>
            </w:pPr>
            <w:r>
              <w:rPr>
                <w:rFonts w:ascii="Arial" w:cs="Arial" w:eastAsia="Arial" w:hAnsi="Arial"/>
                <w:sz w:val="13"/>
                <w:szCs w:val="13"/>
                <w:color w:val="auto"/>
              </w:rPr>
              <w:t>—</w:t>
            </w:r>
          </w:p>
        </w:tc>
        <w:tc>
          <w:tcPr>
            <w:tcW w:w="740" w:type="dxa"/>
            <w:vAlign w:val="bottom"/>
            <w:gridSpan w:val="2"/>
            <w:shd w:val="clear" w:color="auto" w:fill="CCEEFF"/>
          </w:tcPr>
          <w:p>
            <w:pPr>
              <w:jc w:val="right"/>
              <w:ind w:right="100"/>
              <w:spacing w:after="0" w:line="122" w:lineRule="exact"/>
              <w:rPr>
                <w:sz w:val="20"/>
                <w:szCs w:val="20"/>
                <w:color w:val="auto"/>
              </w:rPr>
            </w:pPr>
            <w:r>
              <w:rPr>
                <w:rFonts w:ascii="Arial" w:cs="Arial" w:eastAsia="Arial" w:hAnsi="Arial"/>
                <w:sz w:val="13"/>
                <w:szCs w:val="13"/>
                <w:color w:val="auto"/>
              </w:rPr>
              <w:t>16,800</w:t>
            </w:r>
          </w:p>
        </w:tc>
        <w:tc>
          <w:tcPr>
            <w:tcW w:w="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0" w:type="dxa"/>
            <w:vAlign w:val="bottom"/>
            <w:gridSpan w:val="2"/>
            <w:shd w:val="clear" w:color="auto" w:fill="CCEEFF"/>
          </w:tcPr>
          <w:p>
            <w:pPr>
              <w:jc w:val="right"/>
              <w:ind w:right="60"/>
              <w:spacing w:after="0" w:line="122" w:lineRule="exact"/>
              <w:rPr>
                <w:sz w:val="20"/>
                <w:szCs w:val="20"/>
                <w:color w:val="auto"/>
              </w:rPr>
            </w:pPr>
            <w:r>
              <w:rPr>
                <w:rFonts w:ascii="Arial" w:cs="Arial" w:eastAsia="Arial" w:hAnsi="Arial"/>
                <w:sz w:val="13"/>
                <w:szCs w:val="13"/>
                <w:color w:val="auto"/>
              </w:rPr>
              <w:t>2,721,600</w:t>
            </w: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0" w:type="dxa"/>
            <w:vAlign w:val="bottom"/>
            <w:gridSpan w:val="2"/>
            <w:shd w:val="clear" w:color="auto" w:fill="CCEEFF"/>
          </w:tcPr>
          <w:p>
            <w:pPr>
              <w:jc w:val="right"/>
              <w:ind w:right="80"/>
              <w:spacing w:after="0" w:line="122" w:lineRule="exact"/>
              <w:rPr>
                <w:sz w:val="20"/>
                <w:szCs w:val="20"/>
                <w:color w:val="auto"/>
              </w:rPr>
            </w:pPr>
            <w:r>
              <w:rPr>
                <w:rFonts w:ascii="Arial" w:cs="Arial" w:eastAsia="Arial" w:hAnsi="Arial"/>
                <w:sz w:val="13"/>
                <w:szCs w:val="13"/>
                <w:color w:val="auto"/>
              </w:rPr>
              <w:t>5,990,614</w:t>
            </w:r>
          </w:p>
        </w:tc>
        <w:tc>
          <w:tcPr>
            <w:tcW w:w="0" w:type="dxa"/>
            <w:vAlign w:val="bottom"/>
          </w:tcPr>
          <w:p>
            <w:pPr>
              <w:spacing w:after="0"/>
              <w:rPr>
                <w:sz w:val="1"/>
                <w:szCs w:val="1"/>
                <w:color w:val="auto"/>
              </w:rPr>
            </w:pPr>
          </w:p>
        </w:tc>
      </w:tr>
      <w:tr>
        <w:trPr>
          <w:trHeight w:val="149"/>
        </w:trPr>
        <w:tc>
          <w:tcPr>
            <w:tcW w:w="46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(Service Champ, Inc.)</w:t>
            </w:r>
          </w:p>
        </w:tc>
        <w:tc>
          <w:tcPr>
            <w:tcW w:w="104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1"/>
        </w:trPr>
        <w:tc>
          <w:tcPr>
            <w:tcW w:w="4600" w:type="dxa"/>
            <w:vAlign w:val="bottom"/>
          </w:tcPr>
          <w:p>
            <w:pPr>
              <w:spacing w:after="0" w:line="121" w:lineRule="exact"/>
              <w:rPr>
                <w:sz w:val="20"/>
                <w:szCs w:val="20"/>
                <w:color w:val="auto"/>
              </w:rPr>
            </w:pPr>
            <w:r>
              <w:rPr>
                <w:rFonts w:ascii="Arial" w:cs="Arial" w:eastAsia="Arial" w:hAnsi="Arial"/>
                <w:sz w:val="13"/>
                <w:szCs w:val="13"/>
                <w:color w:val="auto"/>
              </w:rPr>
              <w:t>PAS International Holdings, Inc.</w:t>
            </w:r>
          </w:p>
        </w:tc>
        <w:tc>
          <w:tcPr>
            <w:tcW w:w="1040" w:type="dxa"/>
            <w:vAlign w:val="bottom"/>
          </w:tcPr>
          <w:p>
            <w:pPr>
              <w:ind w:left="620"/>
              <w:spacing w:after="0" w:line="121" w:lineRule="exact"/>
              <w:rPr>
                <w:sz w:val="20"/>
                <w:szCs w:val="20"/>
                <w:color w:val="auto"/>
              </w:rPr>
            </w:pPr>
            <w:r>
              <w:rPr>
                <w:rFonts w:ascii="Arial" w:cs="Arial" w:eastAsia="Arial" w:hAnsi="Arial"/>
                <w:sz w:val="13"/>
                <w:szCs w:val="13"/>
                <w:color w:val="auto"/>
              </w:rPr>
              <w:t>—</w:t>
            </w:r>
          </w:p>
        </w:tc>
        <w:tc>
          <w:tcPr>
            <w:tcW w:w="1100" w:type="dxa"/>
            <w:vAlign w:val="bottom"/>
          </w:tcPr>
          <w:p>
            <w:pPr>
              <w:jc w:val="center"/>
              <w:spacing w:after="0" w:line="121" w:lineRule="exact"/>
              <w:rPr>
                <w:sz w:val="20"/>
                <w:szCs w:val="20"/>
                <w:color w:val="auto"/>
              </w:rPr>
            </w:pPr>
            <w:r>
              <w:rPr>
                <w:rFonts w:ascii="Arial" w:cs="Arial" w:eastAsia="Arial" w:hAnsi="Arial"/>
                <w:sz w:val="13"/>
                <w:szCs w:val="13"/>
                <w:color w:val="auto"/>
                <w:w w:val="86"/>
              </w:rPr>
              <w:t>Aerospace and</w:t>
            </w:r>
          </w:p>
        </w:tc>
        <w:tc>
          <w:tcPr>
            <w:tcW w:w="940" w:type="dxa"/>
            <w:vAlign w:val="bottom"/>
          </w:tcPr>
          <w:p>
            <w:pPr>
              <w:jc w:val="right"/>
              <w:ind w:right="317"/>
              <w:spacing w:after="0" w:line="121" w:lineRule="exact"/>
              <w:rPr>
                <w:sz w:val="20"/>
                <w:szCs w:val="20"/>
                <w:color w:val="auto"/>
              </w:rPr>
            </w:pPr>
            <w:r>
              <w:rPr>
                <w:rFonts w:ascii="Arial" w:cs="Arial" w:eastAsia="Arial" w:hAnsi="Arial"/>
                <w:sz w:val="13"/>
                <w:szCs w:val="13"/>
                <w:color w:val="auto"/>
              </w:rPr>
              <w:t>—</w:t>
            </w:r>
          </w:p>
        </w:tc>
        <w:tc>
          <w:tcPr>
            <w:tcW w:w="880" w:type="dxa"/>
            <w:vAlign w:val="bottom"/>
          </w:tcPr>
          <w:p>
            <w:pPr>
              <w:jc w:val="right"/>
              <w:ind w:right="217"/>
              <w:spacing w:after="0" w:line="121" w:lineRule="exact"/>
              <w:rPr>
                <w:sz w:val="20"/>
                <w:szCs w:val="20"/>
                <w:color w:val="auto"/>
              </w:rPr>
            </w:pPr>
            <w:r>
              <w:rPr>
                <w:rFonts w:ascii="Arial" w:cs="Arial" w:eastAsia="Arial" w:hAnsi="Arial"/>
                <w:sz w:val="13"/>
                <w:szCs w:val="13"/>
                <w:color w:val="auto"/>
              </w:rPr>
              <w:t>—</w:t>
            </w:r>
          </w:p>
        </w:tc>
        <w:tc>
          <w:tcPr>
            <w:tcW w:w="740" w:type="dxa"/>
            <w:vAlign w:val="bottom"/>
            <w:gridSpan w:val="2"/>
          </w:tcPr>
          <w:p>
            <w:pPr>
              <w:jc w:val="right"/>
              <w:ind w:right="100"/>
              <w:spacing w:after="0" w:line="121" w:lineRule="exact"/>
              <w:rPr>
                <w:sz w:val="20"/>
                <w:szCs w:val="20"/>
                <w:color w:val="auto"/>
              </w:rPr>
            </w:pPr>
            <w:r>
              <w:rPr>
                <w:rFonts w:ascii="Arial" w:cs="Arial" w:eastAsia="Arial" w:hAnsi="Arial"/>
                <w:sz w:val="13"/>
                <w:szCs w:val="13"/>
                <w:color w:val="auto"/>
              </w:rPr>
              <w:t>53,071</w:t>
            </w: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0" w:type="dxa"/>
            <w:vAlign w:val="bottom"/>
            <w:gridSpan w:val="2"/>
          </w:tcPr>
          <w:p>
            <w:pPr>
              <w:jc w:val="right"/>
              <w:ind w:right="60"/>
              <w:spacing w:after="0" w:line="121" w:lineRule="exact"/>
              <w:rPr>
                <w:sz w:val="20"/>
                <w:szCs w:val="20"/>
                <w:color w:val="auto"/>
              </w:rPr>
            </w:pPr>
            <w:r>
              <w:rPr>
                <w:rFonts w:ascii="Arial" w:cs="Arial" w:eastAsia="Arial" w:hAnsi="Arial"/>
                <w:sz w:val="13"/>
                <w:szCs w:val="13"/>
                <w:color w:val="auto"/>
              </w:rPr>
              <w:t>202,620</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gridSpan w:val="2"/>
          </w:tcPr>
          <w:p>
            <w:pPr>
              <w:ind w:left="540"/>
              <w:spacing w:after="0" w:line="121"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6"/>
        </w:trPr>
        <w:tc>
          <w:tcPr>
            <w:tcW w:w="46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00" w:type="dxa"/>
            <w:vAlign w:val="bottom"/>
          </w:tcPr>
          <w:p>
            <w:pPr>
              <w:jc w:val="center"/>
              <w:spacing w:after="0"/>
              <w:rPr>
                <w:sz w:val="20"/>
                <w:szCs w:val="20"/>
                <w:color w:val="auto"/>
              </w:rPr>
            </w:pPr>
            <w:r>
              <w:rPr>
                <w:rFonts w:ascii="Arial" w:cs="Arial" w:eastAsia="Arial" w:hAnsi="Arial"/>
                <w:sz w:val="13"/>
                <w:szCs w:val="13"/>
                <w:color w:val="auto"/>
                <w:w w:val="82"/>
              </w:rPr>
              <w:t>Defense</w:t>
            </w:r>
          </w:p>
        </w:tc>
        <w:tc>
          <w:tcPr>
            <w:tcW w:w="9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460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Total Common Equity/Partnership Interest</w:t>
            </w:r>
          </w:p>
        </w:tc>
        <w:tc>
          <w:tcPr>
            <w:tcW w:w="104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40,058,864</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35,760,130</w:t>
            </w:r>
          </w:p>
        </w:tc>
        <w:tc>
          <w:tcPr>
            <w:tcW w:w="0" w:type="dxa"/>
            <w:vAlign w:val="bottom"/>
          </w:tcPr>
          <w:p>
            <w:pPr>
              <w:spacing w:after="0"/>
              <w:rPr>
                <w:sz w:val="1"/>
                <w:szCs w:val="1"/>
                <w:color w:val="auto"/>
              </w:rPr>
            </w:pPr>
          </w:p>
        </w:tc>
      </w:tr>
      <w:tr>
        <w:trPr>
          <w:trHeight w:val="155"/>
        </w:trPr>
        <w:tc>
          <w:tcPr>
            <w:tcW w:w="4600" w:type="dxa"/>
            <w:vAlign w:val="bottom"/>
          </w:tcPr>
          <w:p>
            <w:pPr>
              <w:spacing w:after="0"/>
              <w:rPr>
                <w:sz w:val="20"/>
                <w:szCs w:val="20"/>
                <w:color w:val="auto"/>
              </w:rPr>
            </w:pPr>
            <w:r>
              <w:rPr>
                <w:rFonts w:ascii="Arial" w:cs="Arial" w:eastAsia="Arial" w:hAnsi="Arial"/>
                <w:sz w:val="13"/>
                <w:szCs w:val="13"/>
                <w:b w:val="1"/>
                <w:bCs w:val="1"/>
                <w:color w:val="auto"/>
              </w:rPr>
              <w:t>Total Investments in Non-Controlled, Affiliated Portfolio Companies</w:t>
            </w:r>
          </w:p>
        </w:tc>
        <w:tc>
          <w:tcPr>
            <w:tcW w:w="10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Borders>
              <w:top w:val="single" w:sz="8" w:color="auto"/>
              <w:bottom w:val="single" w:sz="8" w:color="auto"/>
            </w:tcBorders>
          </w:tcPr>
          <w:p>
            <w:pPr>
              <w:spacing w:after="0"/>
              <w:rPr>
                <w:sz w:val="13"/>
                <w:szCs w:val="13"/>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99"/>
              </w:rPr>
              <w:t>107,398,794</w:t>
            </w: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Borders>
              <w:top w:val="single" w:sz="8" w:color="auto"/>
              <w:bottom w:val="single" w:sz="8" w:color="auto"/>
            </w:tcBorders>
          </w:tcPr>
          <w:p>
            <w:pPr>
              <w:spacing w:after="0"/>
              <w:rPr>
                <w:sz w:val="13"/>
                <w:szCs w:val="13"/>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84,447,274</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75"/>
        </w:trPr>
        <w:tc>
          <w:tcPr>
            <w:tcW w:w="460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00" w:type="dxa"/>
            <w:vAlign w:val="bottom"/>
          </w:tcPr>
          <w:p>
            <w:pPr>
              <w:spacing w:after="0"/>
              <w:rPr>
                <w:sz w:val="6"/>
                <w:szCs w:val="6"/>
                <w:color w:val="auto"/>
              </w:rPr>
            </w:pPr>
          </w:p>
        </w:tc>
        <w:tc>
          <w:tcPr>
            <w:tcW w:w="940" w:type="dxa"/>
            <w:vAlign w:val="bottom"/>
          </w:tcPr>
          <w:p>
            <w:pPr>
              <w:spacing w:after="0"/>
              <w:rPr>
                <w:sz w:val="6"/>
                <w:szCs w:val="6"/>
                <w:color w:val="auto"/>
              </w:rPr>
            </w:pPr>
          </w:p>
        </w:tc>
        <w:tc>
          <w:tcPr>
            <w:tcW w:w="880" w:type="dxa"/>
            <w:vAlign w:val="bottom"/>
          </w:tcPr>
          <w:p>
            <w:pPr>
              <w:spacing w:after="0"/>
              <w:rPr>
                <w:sz w:val="6"/>
                <w:szCs w:val="6"/>
                <w:color w:val="auto"/>
              </w:rPr>
            </w:pPr>
          </w:p>
        </w:tc>
        <w:tc>
          <w:tcPr>
            <w:tcW w:w="64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60" w:type="dxa"/>
            <w:vAlign w:val="bottom"/>
          </w:tcPr>
          <w:p>
            <w:pPr>
              <w:spacing w:after="0"/>
              <w:rPr>
                <w:sz w:val="6"/>
                <w:szCs w:val="6"/>
                <w:color w:val="auto"/>
              </w:rPr>
            </w:pPr>
          </w:p>
        </w:tc>
        <w:tc>
          <w:tcPr>
            <w:tcW w:w="74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48"/>
        </w:trPr>
        <w:tc>
          <w:tcPr>
            <w:tcW w:w="460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 xml:space="preserve">Investments in Controlled, Affiliated Portfolio Companies—9.6% </w:t>
            </w:r>
            <w:r>
              <w:rPr>
                <w:rFonts w:ascii="Arial" w:cs="Arial" w:eastAsia="Arial" w:hAnsi="Arial"/>
                <w:sz w:val="10"/>
                <w:szCs w:val="10"/>
                <w:b w:val="1"/>
                <w:bCs w:val="1"/>
                <w:color w:val="auto"/>
              </w:rPr>
              <w:t>(1), (2)</w:t>
            </w:r>
          </w:p>
        </w:tc>
        <w:tc>
          <w:tcPr>
            <w:tcW w:w="104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600" w:type="dxa"/>
            <w:vAlign w:val="bottom"/>
          </w:tcPr>
          <w:p>
            <w:pPr>
              <w:spacing w:after="0"/>
              <w:rPr>
                <w:sz w:val="20"/>
                <w:szCs w:val="20"/>
                <w:color w:val="auto"/>
              </w:rPr>
            </w:pPr>
            <w:r>
              <w:rPr>
                <w:rFonts w:ascii="Arial" w:cs="Arial" w:eastAsia="Arial" w:hAnsi="Arial"/>
                <w:sz w:val="13"/>
                <w:szCs w:val="13"/>
                <w:b w:val="1"/>
                <w:bCs w:val="1"/>
                <w:color w:val="auto"/>
              </w:rPr>
              <w:t>First Lien Secured Debt—6.3%</w:t>
            </w:r>
          </w:p>
        </w:tc>
        <w:tc>
          <w:tcPr>
            <w:tcW w:w="10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600" w:type="dxa"/>
            <w:vAlign w:val="bottom"/>
            <w:shd w:val="clear" w:color="auto" w:fill="CCEEFF"/>
          </w:tcPr>
          <w:p>
            <w:pPr>
              <w:spacing w:after="0"/>
              <w:rPr>
                <w:sz w:val="20"/>
                <w:szCs w:val="20"/>
                <w:color w:val="auto"/>
              </w:rPr>
            </w:pPr>
            <w:r>
              <w:rPr>
                <w:rFonts w:ascii="Arial" w:cs="Arial" w:eastAsia="Arial" w:hAnsi="Arial"/>
                <w:sz w:val="13"/>
                <w:szCs w:val="13"/>
                <w:color w:val="auto"/>
              </w:rPr>
              <w:t>Superior Digital Displays, LLC</w:t>
            </w:r>
          </w:p>
        </w:tc>
        <w:tc>
          <w:tcPr>
            <w:tcW w:w="1040" w:type="dxa"/>
            <w:vAlign w:val="bottom"/>
            <w:shd w:val="clear" w:color="auto" w:fill="CCEEFF"/>
          </w:tcPr>
          <w:p>
            <w:pPr>
              <w:jc w:val="center"/>
              <w:ind w:left="317"/>
              <w:spacing w:after="0"/>
              <w:rPr>
                <w:sz w:val="20"/>
                <w:szCs w:val="20"/>
                <w:color w:val="auto"/>
              </w:rPr>
            </w:pPr>
            <w:r>
              <w:rPr>
                <w:rFonts w:ascii="Arial" w:cs="Arial" w:eastAsia="Arial" w:hAnsi="Arial"/>
                <w:sz w:val="13"/>
                <w:szCs w:val="13"/>
                <w:color w:val="auto"/>
                <w:w w:val="89"/>
              </w:rPr>
              <w:t>12/31/2018</w:t>
            </w:r>
          </w:p>
        </w:tc>
        <w:tc>
          <w:tcPr>
            <w:tcW w:w="110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0"/>
              </w:rPr>
              <w:t>Media</w:t>
            </w:r>
          </w:p>
        </w:tc>
        <w:tc>
          <w:tcPr>
            <w:tcW w:w="940" w:type="dxa"/>
            <w:vAlign w:val="bottom"/>
            <w:shd w:val="clear" w:color="auto" w:fill="CCEEFF"/>
          </w:tcPr>
          <w:p>
            <w:pPr>
              <w:jc w:val="right"/>
              <w:ind w:right="137"/>
              <w:spacing w:after="0"/>
              <w:rPr>
                <w:sz w:val="20"/>
                <w:szCs w:val="20"/>
                <w:color w:val="auto"/>
              </w:rPr>
            </w:pPr>
            <w:r>
              <w:rPr>
                <w:rFonts w:ascii="Arial" w:cs="Arial" w:eastAsia="Arial" w:hAnsi="Arial"/>
                <w:sz w:val="13"/>
                <w:szCs w:val="13"/>
                <w:color w:val="auto"/>
              </w:rPr>
              <w:t>13.50%</w:t>
            </w:r>
          </w:p>
        </w:tc>
        <w:tc>
          <w:tcPr>
            <w:tcW w:w="88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 xml:space="preserve">L+1,250 </w:t>
            </w:r>
            <w:r>
              <w:rPr>
                <w:rFonts w:ascii="Arial" w:cs="Arial" w:eastAsia="Arial" w:hAnsi="Arial"/>
                <w:sz w:val="10"/>
                <w:szCs w:val="10"/>
                <w:color w:val="auto"/>
              </w:rPr>
              <w:t>(8)</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w w:val="95"/>
              </w:rPr>
              <w:t>12,000,000</w:t>
            </w: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10,639,835</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10,638,720</w:t>
            </w:r>
          </w:p>
        </w:tc>
        <w:tc>
          <w:tcPr>
            <w:tcW w:w="0" w:type="dxa"/>
            <w:vAlign w:val="bottom"/>
          </w:tcPr>
          <w:p>
            <w:pPr>
              <w:spacing w:after="0"/>
              <w:rPr>
                <w:sz w:val="1"/>
                <w:szCs w:val="1"/>
                <w:color w:val="auto"/>
              </w:rPr>
            </w:pPr>
          </w:p>
        </w:tc>
      </w:tr>
      <w:tr>
        <w:trPr>
          <w:trHeight w:val="148"/>
        </w:trPr>
        <w:tc>
          <w:tcPr>
            <w:tcW w:w="4600" w:type="dxa"/>
            <w:vAlign w:val="bottom"/>
          </w:tcPr>
          <w:p>
            <w:pPr>
              <w:spacing w:after="0"/>
              <w:rPr>
                <w:sz w:val="20"/>
                <w:szCs w:val="20"/>
                <w:color w:val="auto"/>
              </w:rPr>
            </w:pPr>
            <w:r>
              <w:rPr>
                <w:rFonts w:ascii="Arial" w:cs="Arial" w:eastAsia="Arial" w:hAnsi="Arial"/>
                <w:sz w:val="13"/>
                <w:szCs w:val="13"/>
                <w:color w:val="auto"/>
              </w:rPr>
              <w:t xml:space="preserve">Superior Digital Displays, LLC </w:t>
            </w:r>
            <w:r>
              <w:rPr>
                <w:rFonts w:ascii="Arial" w:cs="Arial" w:eastAsia="Arial" w:hAnsi="Arial"/>
                <w:sz w:val="10"/>
                <w:szCs w:val="10"/>
                <w:color w:val="auto"/>
              </w:rPr>
              <w:t>(9)</w:t>
            </w:r>
          </w:p>
        </w:tc>
        <w:tc>
          <w:tcPr>
            <w:tcW w:w="1040" w:type="dxa"/>
            <w:vAlign w:val="bottom"/>
          </w:tcPr>
          <w:p>
            <w:pPr>
              <w:jc w:val="center"/>
              <w:ind w:left="317"/>
              <w:spacing w:after="0"/>
              <w:rPr>
                <w:sz w:val="20"/>
                <w:szCs w:val="20"/>
                <w:color w:val="auto"/>
              </w:rPr>
            </w:pPr>
            <w:r>
              <w:rPr>
                <w:rFonts w:ascii="Arial" w:cs="Arial" w:eastAsia="Arial" w:hAnsi="Arial"/>
                <w:sz w:val="13"/>
                <w:szCs w:val="13"/>
                <w:color w:val="auto"/>
                <w:w w:val="89"/>
              </w:rPr>
              <w:t>12/31/2018</w:t>
            </w:r>
          </w:p>
        </w:tc>
        <w:tc>
          <w:tcPr>
            <w:tcW w:w="1100" w:type="dxa"/>
            <w:vAlign w:val="bottom"/>
          </w:tcPr>
          <w:p>
            <w:pPr>
              <w:jc w:val="center"/>
              <w:spacing w:after="0"/>
              <w:rPr>
                <w:sz w:val="20"/>
                <w:szCs w:val="20"/>
                <w:color w:val="auto"/>
              </w:rPr>
            </w:pPr>
            <w:r>
              <w:rPr>
                <w:rFonts w:ascii="Arial" w:cs="Arial" w:eastAsia="Arial" w:hAnsi="Arial"/>
                <w:sz w:val="13"/>
                <w:szCs w:val="13"/>
                <w:color w:val="auto"/>
                <w:w w:val="90"/>
              </w:rPr>
              <w:t>Media</w:t>
            </w:r>
          </w:p>
        </w:tc>
        <w:tc>
          <w:tcPr>
            <w:tcW w:w="940" w:type="dxa"/>
            <w:vAlign w:val="bottom"/>
          </w:tcPr>
          <w:p>
            <w:pPr>
              <w:jc w:val="right"/>
              <w:ind w:right="317"/>
              <w:spacing w:after="0"/>
              <w:rPr>
                <w:sz w:val="20"/>
                <w:szCs w:val="20"/>
                <w:color w:val="auto"/>
              </w:rPr>
            </w:pPr>
            <w:r>
              <w:rPr>
                <w:rFonts w:ascii="Arial" w:cs="Arial" w:eastAsia="Arial" w:hAnsi="Arial"/>
                <w:sz w:val="13"/>
                <w:szCs w:val="13"/>
                <w:color w:val="auto"/>
              </w:rPr>
              <w:t>—</w:t>
            </w:r>
          </w:p>
        </w:tc>
        <w:tc>
          <w:tcPr>
            <w:tcW w:w="880" w:type="dxa"/>
            <w:vAlign w:val="bottom"/>
          </w:tcPr>
          <w:p>
            <w:pPr>
              <w:jc w:val="right"/>
              <w:ind w:right="217"/>
              <w:spacing w:after="0"/>
              <w:rPr>
                <w:sz w:val="20"/>
                <w:szCs w:val="20"/>
                <w:color w:val="auto"/>
              </w:rPr>
            </w:pPr>
            <w:r>
              <w:rPr>
                <w:rFonts w:ascii="Arial" w:cs="Arial" w:eastAsia="Arial" w:hAnsi="Arial"/>
                <w:sz w:val="13"/>
                <w:szCs w:val="13"/>
                <w:color w:val="auto"/>
              </w:rPr>
              <w:t>—</w:t>
            </w:r>
          </w:p>
        </w:tc>
        <w:tc>
          <w:tcPr>
            <w:tcW w:w="740" w:type="dxa"/>
            <w:vAlign w:val="bottom"/>
            <w:gridSpan w:val="2"/>
          </w:tcPr>
          <w:p>
            <w:pPr>
              <w:jc w:val="right"/>
              <w:ind w:right="100"/>
              <w:spacing w:after="0"/>
              <w:rPr>
                <w:sz w:val="20"/>
                <w:szCs w:val="20"/>
                <w:color w:val="auto"/>
              </w:rPr>
            </w:pPr>
            <w:r>
              <w:rPr>
                <w:rFonts w:ascii="Arial" w:cs="Arial" w:eastAsia="Arial" w:hAnsi="Arial"/>
                <w:sz w:val="13"/>
                <w:szCs w:val="13"/>
                <w:color w:val="auto"/>
                <w:w w:val="95"/>
              </w:rPr>
              <w:t>13,000,000</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3"/>
                <w:szCs w:val="13"/>
                <w:color w:val="auto"/>
              </w:rPr>
              <w:t>11,526,821</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3"/>
                <w:szCs w:val="13"/>
                <w:color w:val="auto"/>
              </w:rPr>
              <w:t>11,525,280</w:t>
            </w:r>
          </w:p>
        </w:tc>
        <w:tc>
          <w:tcPr>
            <w:tcW w:w="0" w:type="dxa"/>
            <w:vAlign w:val="bottom"/>
          </w:tcPr>
          <w:p>
            <w:pPr>
              <w:spacing w:after="0"/>
              <w:rPr>
                <w:sz w:val="1"/>
                <w:szCs w:val="1"/>
                <w:color w:val="auto"/>
              </w:rPr>
            </w:pPr>
          </w:p>
        </w:tc>
      </w:tr>
      <w:tr>
        <w:trPr>
          <w:trHeight w:val="149"/>
        </w:trPr>
        <w:tc>
          <w:tcPr>
            <w:tcW w:w="4600" w:type="dxa"/>
            <w:vAlign w:val="bottom"/>
            <w:shd w:val="clear" w:color="auto" w:fill="CCEEFF"/>
          </w:tcPr>
          <w:p>
            <w:pPr>
              <w:spacing w:after="0"/>
              <w:rPr>
                <w:sz w:val="20"/>
                <w:szCs w:val="20"/>
                <w:color w:val="auto"/>
              </w:rPr>
            </w:pPr>
            <w:r>
              <w:rPr>
                <w:rFonts w:ascii="Arial" w:cs="Arial" w:eastAsia="Arial" w:hAnsi="Arial"/>
                <w:sz w:val="13"/>
                <w:szCs w:val="13"/>
                <w:color w:val="auto"/>
              </w:rPr>
              <w:t>SuttonPark Holdings, Inc.</w:t>
            </w:r>
          </w:p>
        </w:tc>
        <w:tc>
          <w:tcPr>
            <w:tcW w:w="1040" w:type="dxa"/>
            <w:vAlign w:val="bottom"/>
            <w:shd w:val="clear" w:color="auto" w:fill="CCEEFF"/>
          </w:tcPr>
          <w:p>
            <w:pPr>
              <w:jc w:val="center"/>
              <w:ind w:left="317"/>
              <w:spacing w:after="0"/>
              <w:rPr>
                <w:sz w:val="20"/>
                <w:szCs w:val="20"/>
                <w:color w:val="auto"/>
              </w:rPr>
            </w:pPr>
            <w:r>
              <w:rPr>
                <w:rFonts w:ascii="Arial" w:cs="Arial" w:eastAsia="Arial" w:hAnsi="Arial"/>
                <w:sz w:val="13"/>
                <w:szCs w:val="13"/>
                <w:color w:val="auto"/>
                <w:w w:val="89"/>
              </w:rPr>
              <w:t>06/30/2020</w:t>
            </w:r>
          </w:p>
        </w:tc>
        <w:tc>
          <w:tcPr>
            <w:tcW w:w="110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6"/>
              </w:rPr>
              <w:t>Business Services</w:t>
            </w: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 xml:space="preserve">14.00% </w:t>
            </w:r>
            <w:r>
              <w:rPr>
                <w:rFonts w:ascii="Arial" w:cs="Arial" w:eastAsia="Arial" w:hAnsi="Arial"/>
                <w:sz w:val="10"/>
                <w:szCs w:val="10"/>
                <w:color w:val="auto"/>
              </w:rPr>
              <w:t>(7)</w:t>
            </w:r>
          </w:p>
        </w:tc>
        <w:tc>
          <w:tcPr>
            <w:tcW w:w="880" w:type="dxa"/>
            <w:vAlign w:val="bottom"/>
            <w:shd w:val="clear" w:color="auto" w:fill="CCEEFF"/>
          </w:tcPr>
          <w:p>
            <w:pPr>
              <w:jc w:val="right"/>
              <w:ind w:right="217"/>
              <w:spacing w:after="0"/>
              <w:rPr>
                <w:sz w:val="20"/>
                <w:szCs w:val="20"/>
                <w:color w:val="auto"/>
              </w:rPr>
            </w:pPr>
            <w:r>
              <w:rPr>
                <w:rFonts w:ascii="Arial" w:cs="Arial" w:eastAsia="Arial" w:hAnsi="Arial"/>
                <w:sz w:val="13"/>
                <w:szCs w:val="13"/>
                <w:color w:val="auto"/>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9,250,000</w:t>
            </w: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9,250,000</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9,549,190</w:t>
            </w:r>
          </w:p>
        </w:tc>
        <w:tc>
          <w:tcPr>
            <w:tcW w:w="0" w:type="dxa"/>
            <w:vAlign w:val="bottom"/>
          </w:tcPr>
          <w:p>
            <w:pPr>
              <w:spacing w:after="0"/>
              <w:rPr>
                <w:sz w:val="1"/>
                <w:szCs w:val="1"/>
                <w:color w:val="auto"/>
              </w:rPr>
            </w:pPr>
          </w:p>
        </w:tc>
      </w:tr>
      <w:tr>
        <w:trPr>
          <w:trHeight w:val="148"/>
        </w:trPr>
        <w:tc>
          <w:tcPr>
            <w:tcW w:w="4600" w:type="dxa"/>
            <w:vAlign w:val="bottom"/>
          </w:tcPr>
          <w:p>
            <w:pPr>
              <w:spacing w:after="0"/>
              <w:rPr>
                <w:sz w:val="20"/>
                <w:szCs w:val="20"/>
                <w:color w:val="auto"/>
              </w:rPr>
            </w:pPr>
            <w:r>
              <w:rPr>
                <w:rFonts w:ascii="Arial" w:cs="Arial" w:eastAsia="Arial" w:hAnsi="Arial"/>
                <w:sz w:val="13"/>
                <w:szCs w:val="13"/>
                <w:color w:val="auto"/>
              </w:rPr>
              <w:t>Universal Pegasus International, LLC</w:t>
            </w:r>
          </w:p>
        </w:tc>
        <w:tc>
          <w:tcPr>
            <w:tcW w:w="1040" w:type="dxa"/>
            <w:vAlign w:val="bottom"/>
          </w:tcPr>
          <w:p>
            <w:pPr>
              <w:jc w:val="center"/>
              <w:ind w:left="317"/>
              <w:spacing w:after="0"/>
              <w:rPr>
                <w:sz w:val="20"/>
                <w:szCs w:val="20"/>
                <w:color w:val="auto"/>
              </w:rPr>
            </w:pPr>
            <w:r>
              <w:rPr>
                <w:rFonts w:ascii="Arial" w:cs="Arial" w:eastAsia="Arial" w:hAnsi="Arial"/>
                <w:sz w:val="13"/>
                <w:szCs w:val="13"/>
                <w:color w:val="auto"/>
                <w:w w:val="89"/>
              </w:rPr>
              <w:t>12/31/2015</w:t>
            </w:r>
          </w:p>
        </w:tc>
        <w:tc>
          <w:tcPr>
            <w:tcW w:w="1100" w:type="dxa"/>
            <w:vAlign w:val="bottom"/>
          </w:tcPr>
          <w:p>
            <w:pPr>
              <w:jc w:val="center"/>
              <w:spacing w:after="0"/>
              <w:rPr>
                <w:sz w:val="20"/>
                <w:szCs w:val="20"/>
                <w:color w:val="auto"/>
              </w:rPr>
            </w:pPr>
            <w:r>
              <w:rPr>
                <w:rFonts w:ascii="Arial" w:cs="Arial" w:eastAsia="Arial" w:hAnsi="Arial"/>
                <w:sz w:val="13"/>
                <w:szCs w:val="13"/>
                <w:color w:val="auto"/>
                <w:w w:val="87"/>
              </w:rPr>
              <w:t>Oil and Gas</w:t>
            </w:r>
          </w:p>
        </w:tc>
        <w:tc>
          <w:tcPr>
            <w:tcW w:w="940" w:type="dxa"/>
            <w:vAlign w:val="bottom"/>
          </w:tcPr>
          <w:p>
            <w:pPr>
              <w:jc w:val="right"/>
              <w:spacing w:after="0"/>
              <w:rPr>
                <w:sz w:val="20"/>
                <w:szCs w:val="20"/>
                <w:color w:val="auto"/>
              </w:rPr>
            </w:pPr>
            <w:r>
              <w:rPr>
                <w:rFonts w:ascii="Arial" w:cs="Arial" w:eastAsia="Arial" w:hAnsi="Arial"/>
                <w:sz w:val="13"/>
                <w:szCs w:val="13"/>
                <w:color w:val="auto"/>
              </w:rPr>
              <w:t xml:space="preserve">6.50% </w:t>
            </w:r>
            <w:r>
              <w:rPr>
                <w:rFonts w:ascii="Arial" w:cs="Arial" w:eastAsia="Arial" w:hAnsi="Arial"/>
                <w:sz w:val="10"/>
                <w:szCs w:val="10"/>
                <w:color w:val="auto"/>
              </w:rPr>
              <w:t>(8)</w:t>
            </w:r>
          </w:p>
        </w:tc>
        <w:tc>
          <w:tcPr>
            <w:tcW w:w="880" w:type="dxa"/>
            <w:vAlign w:val="bottom"/>
          </w:tcPr>
          <w:p>
            <w:pPr>
              <w:jc w:val="right"/>
              <w:ind w:right="177"/>
              <w:spacing w:after="0"/>
              <w:rPr>
                <w:sz w:val="20"/>
                <w:szCs w:val="20"/>
                <w:color w:val="auto"/>
              </w:rPr>
            </w:pPr>
            <w:r>
              <w:rPr>
                <w:rFonts w:ascii="Arial" w:cs="Arial" w:eastAsia="Arial" w:hAnsi="Arial"/>
                <w:sz w:val="13"/>
                <w:szCs w:val="13"/>
                <w:color w:val="auto"/>
              </w:rPr>
              <w:t>L+500</w:t>
            </w:r>
          </w:p>
        </w:tc>
        <w:tc>
          <w:tcPr>
            <w:tcW w:w="740" w:type="dxa"/>
            <w:vAlign w:val="bottom"/>
            <w:gridSpan w:val="2"/>
          </w:tcPr>
          <w:p>
            <w:pPr>
              <w:jc w:val="right"/>
              <w:ind w:right="100"/>
              <w:spacing w:after="0"/>
              <w:rPr>
                <w:sz w:val="20"/>
                <w:szCs w:val="20"/>
                <w:color w:val="auto"/>
              </w:rPr>
            </w:pPr>
            <w:r>
              <w:rPr>
                <w:rFonts w:ascii="Arial" w:cs="Arial" w:eastAsia="Arial" w:hAnsi="Arial"/>
                <w:sz w:val="13"/>
                <w:szCs w:val="13"/>
                <w:color w:val="auto"/>
                <w:w w:val="95"/>
              </w:rPr>
              <w:t>10,040,624</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3"/>
                <w:szCs w:val="13"/>
                <w:color w:val="auto"/>
              </w:rPr>
              <w:t>8,206,775</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3"/>
                <w:szCs w:val="13"/>
                <w:color w:val="auto"/>
              </w:rPr>
              <w:t>9,839,812</w:t>
            </w:r>
          </w:p>
        </w:tc>
        <w:tc>
          <w:tcPr>
            <w:tcW w:w="0" w:type="dxa"/>
            <w:vAlign w:val="bottom"/>
          </w:tcPr>
          <w:p>
            <w:pPr>
              <w:spacing w:after="0"/>
              <w:rPr>
                <w:sz w:val="1"/>
                <w:szCs w:val="1"/>
                <w:color w:val="auto"/>
              </w:rPr>
            </w:pPr>
          </w:p>
        </w:tc>
      </w:tr>
      <w:tr>
        <w:trPr>
          <w:trHeight w:val="149"/>
        </w:trPr>
        <w:tc>
          <w:tcPr>
            <w:tcW w:w="4600" w:type="dxa"/>
            <w:vAlign w:val="bottom"/>
            <w:shd w:val="clear" w:color="auto" w:fill="CCEEFF"/>
          </w:tcPr>
          <w:p>
            <w:pPr>
              <w:spacing w:after="0"/>
              <w:rPr>
                <w:sz w:val="20"/>
                <w:szCs w:val="20"/>
                <w:color w:val="auto"/>
              </w:rPr>
            </w:pPr>
            <w:r>
              <w:rPr>
                <w:rFonts w:ascii="Arial" w:cs="Arial" w:eastAsia="Arial" w:hAnsi="Arial"/>
                <w:sz w:val="13"/>
                <w:szCs w:val="13"/>
                <w:color w:val="auto"/>
              </w:rPr>
              <w:t xml:space="preserve">Universal Pegasus International, LLC </w:t>
            </w:r>
            <w:r>
              <w:rPr>
                <w:rFonts w:ascii="Arial" w:cs="Arial" w:eastAsia="Arial" w:hAnsi="Arial"/>
                <w:sz w:val="10"/>
                <w:szCs w:val="10"/>
                <w:color w:val="auto"/>
              </w:rPr>
              <w:t>(9)</w:t>
            </w:r>
          </w:p>
        </w:tc>
        <w:tc>
          <w:tcPr>
            <w:tcW w:w="1040" w:type="dxa"/>
            <w:vAlign w:val="bottom"/>
            <w:shd w:val="clear" w:color="auto" w:fill="CCEEFF"/>
          </w:tcPr>
          <w:p>
            <w:pPr>
              <w:jc w:val="center"/>
              <w:ind w:left="317"/>
              <w:spacing w:after="0"/>
              <w:rPr>
                <w:sz w:val="20"/>
                <w:szCs w:val="20"/>
                <w:color w:val="auto"/>
              </w:rPr>
            </w:pPr>
            <w:r>
              <w:rPr>
                <w:rFonts w:ascii="Arial" w:cs="Arial" w:eastAsia="Arial" w:hAnsi="Arial"/>
                <w:sz w:val="13"/>
                <w:szCs w:val="13"/>
                <w:color w:val="auto"/>
                <w:w w:val="89"/>
              </w:rPr>
              <w:t>12/31/2015</w:t>
            </w:r>
          </w:p>
        </w:tc>
        <w:tc>
          <w:tcPr>
            <w:tcW w:w="110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7"/>
              </w:rPr>
              <w:t>Oil and Gas</w:t>
            </w:r>
          </w:p>
        </w:tc>
        <w:tc>
          <w:tcPr>
            <w:tcW w:w="940" w:type="dxa"/>
            <w:vAlign w:val="bottom"/>
            <w:shd w:val="clear" w:color="auto" w:fill="CCEEFF"/>
          </w:tcPr>
          <w:p>
            <w:pPr>
              <w:jc w:val="right"/>
              <w:ind w:right="317"/>
              <w:spacing w:after="0"/>
              <w:rPr>
                <w:sz w:val="20"/>
                <w:szCs w:val="20"/>
                <w:color w:val="auto"/>
              </w:rPr>
            </w:pPr>
            <w:r>
              <w:rPr>
                <w:rFonts w:ascii="Arial" w:cs="Arial" w:eastAsia="Arial" w:hAnsi="Arial"/>
                <w:sz w:val="13"/>
                <w:szCs w:val="13"/>
                <w:color w:val="auto"/>
              </w:rPr>
              <w:t>—</w:t>
            </w:r>
          </w:p>
        </w:tc>
        <w:tc>
          <w:tcPr>
            <w:tcW w:w="880" w:type="dxa"/>
            <w:vAlign w:val="bottom"/>
            <w:shd w:val="clear" w:color="auto" w:fill="CCEEFF"/>
          </w:tcPr>
          <w:p>
            <w:pPr>
              <w:jc w:val="right"/>
              <w:ind w:right="217"/>
              <w:spacing w:after="0"/>
              <w:rPr>
                <w:sz w:val="20"/>
                <w:szCs w:val="20"/>
                <w:color w:val="auto"/>
              </w:rPr>
            </w:pPr>
            <w:r>
              <w:rPr>
                <w:rFonts w:ascii="Arial" w:cs="Arial" w:eastAsia="Arial" w:hAnsi="Arial"/>
                <w:sz w:val="13"/>
                <w:szCs w:val="13"/>
                <w:color w:val="auto"/>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3,500,000</w:t>
            </w: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3,166,724</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3,500,000</w:t>
            </w:r>
          </w:p>
        </w:tc>
        <w:tc>
          <w:tcPr>
            <w:tcW w:w="0" w:type="dxa"/>
            <w:vAlign w:val="bottom"/>
          </w:tcPr>
          <w:p>
            <w:pPr>
              <w:spacing w:after="0"/>
              <w:rPr>
                <w:sz w:val="1"/>
                <w:szCs w:val="1"/>
                <w:color w:val="auto"/>
              </w:rPr>
            </w:pPr>
          </w:p>
        </w:tc>
      </w:tr>
      <w:tr>
        <w:trPr>
          <w:trHeight w:val="162"/>
        </w:trPr>
        <w:tc>
          <w:tcPr>
            <w:tcW w:w="4600" w:type="dxa"/>
            <w:vAlign w:val="bottom"/>
          </w:tcPr>
          <w:p>
            <w:pPr>
              <w:spacing w:after="0"/>
              <w:rPr>
                <w:sz w:val="20"/>
                <w:szCs w:val="20"/>
                <w:color w:val="auto"/>
              </w:rPr>
            </w:pPr>
            <w:r>
              <w:rPr>
                <w:rFonts w:ascii="Arial" w:cs="Arial" w:eastAsia="Arial" w:hAnsi="Arial"/>
                <w:sz w:val="13"/>
                <w:szCs w:val="13"/>
                <w:b w:val="1"/>
                <w:bCs w:val="1"/>
                <w:color w:val="auto"/>
              </w:rPr>
              <w:t>Total First Lien Secured Debt</w:t>
            </w:r>
          </w:p>
        </w:tc>
        <w:tc>
          <w:tcPr>
            <w:tcW w:w="10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Borders>
              <w:top w:val="single" w:sz="8" w:color="auto"/>
              <w:bottom w:val="single" w:sz="8" w:color="auto"/>
            </w:tcBorders>
          </w:tcPr>
          <w:p>
            <w:pPr>
              <w:spacing w:after="0"/>
              <w:rPr>
                <w:sz w:val="14"/>
                <w:szCs w:val="14"/>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42,790,155</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Borders>
              <w:top w:val="single" w:sz="8" w:color="auto"/>
              <w:bottom w:val="single" w:sz="8" w:color="auto"/>
            </w:tcBorders>
          </w:tcPr>
          <w:p>
            <w:pPr>
              <w:spacing w:after="0"/>
              <w:rPr>
                <w:sz w:val="14"/>
                <w:szCs w:val="14"/>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45,053,002</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60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Second Lien Secured Debt—2.4%</w:t>
            </w:r>
          </w:p>
        </w:tc>
        <w:tc>
          <w:tcPr>
            <w:tcW w:w="104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1"/>
        </w:trPr>
        <w:tc>
          <w:tcPr>
            <w:tcW w:w="4600" w:type="dxa"/>
            <w:vAlign w:val="bottom"/>
          </w:tcPr>
          <w:p>
            <w:pPr>
              <w:spacing w:after="0" w:line="121" w:lineRule="exact"/>
              <w:rPr>
                <w:sz w:val="20"/>
                <w:szCs w:val="20"/>
                <w:color w:val="auto"/>
              </w:rPr>
            </w:pPr>
            <w:r>
              <w:rPr>
                <w:rFonts w:ascii="Arial" w:cs="Arial" w:eastAsia="Arial" w:hAnsi="Arial"/>
                <w:sz w:val="13"/>
                <w:szCs w:val="13"/>
                <w:color w:val="auto"/>
              </w:rPr>
              <w:t>Universal Pegasus International, LLC</w:t>
            </w:r>
          </w:p>
        </w:tc>
        <w:tc>
          <w:tcPr>
            <w:tcW w:w="1040" w:type="dxa"/>
            <w:vAlign w:val="bottom"/>
          </w:tcPr>
          <w:p>
            <w:pPr>
              <w:jc w:val="center"/>
              <w:ind w:left="317"/>
              <w:spacing w:after="0" w:line="121" w:lineRule="exact"/>
              <w:rPr>
                <w:sz w:val="20"/>
                <w:szCs w:val="20"/>
                <w:color w:val="auto"/>
              </w:rPr>
            </w:pPr>
            <w:r>
              <w:rPr>
                <w:rFonts w:ascii="Arial" w:cs="Arial" w:eastAsia="Arial" w:hAnsi="Arial"/>
                <w:sz w:val="13"/>
                <w:szCs w:val="13"/>
                <w:color w:val="auto"/>
                <w:w w:val="89"/>
              </w:rPr>
              <w:t>12/31/2015</w:t>
            </w:r>
          </w:p>
        </w:tc>
        <w:tc>
          <w:tcPr>
            <w:tcW w:w="1100" w:type="dxa"/>
            <w:vAlign w:val="bottom"/>
          </w:tcPr>
          <w:p>
            <w:pPr>
              <w:jc w:val="center"/>
              <w:spacing w:after="0" w:line="121" w:lineRule="exact"/>
              <w:rPr>
                <w:sz w:val="20"/>
                <w:szCs w:val="20"/>
                <w:color w:val="auto"/>
              </w:rPr>
            </w:pPr>
            <w:r>
              <w:rPr>
                <w:rFonts w:ascii="Arial" w:cs="Arial" w:eastAsia="Arial" w:hAnsi="Arial"/>
                <w:sz w:val="13"/>
                <w:szCs w:val="13"/>
                <w:color w:val="auto"/>
                <w:w w:val="87"/>
              </w:rPr>
              <w:t>Oil and Gas</w:t>
            </w:r>
          </w:p>
        </w:tc>
        <w:tc>
          <w:tcPr>
            <w:tcW w:w="940" w:type="dxa"/>
            <w:vAlign w:val="bottom"/>
          </w:tcPr>
          <w:p>
            <w:pPr>
              <w:jc w:val="right"/>
              <w:ind w:right="137"/>
              <w:spacing w:after="0" w:line="121" w:lineRule="exact"/>
              <w:rPr>
                <w:sz w:val="20"/>
                <w:szCs w:val="20"/>
                <w:color w:val="auto"/>
              </w:rPr>
            </w:pPr>
            <w:r>
              <w:rPr>
                <w:rFonts w:ascii="Arial" w:cs="Arial" w:eastAsia="Arial" w:hAnsi="Arial"/>
                <w:sz w:val="13"/>
                <w:szCs w:val="13"/>
                <w:color w:val="auto"/>
              </w:rPr>
              <w:t>15.00%</w:t>
            </w:r>
          </w:p>
        </w:tc>
        <w:tc>
          <w:tcPr>
            <w:tcW w:w="880" w:type="dxa"/>
            <w:vAlign w:val="bottom"/>
          </w:tcPr>
          <w:p>
            <w:pPr>
              <w:jc w:val="right"/>
              <w:ind w:right="217"/>
              <w:spacing w:after="0" w:line="121" w:lineRule="exact"/>
              <w:rPr>
                <w:sz w:val="20"/>
                <w:szCs w:val="20"/>
                <w:color w:val="auto"/>
              </w:rPr>
            </w:pPr>
            <w:r>
              <w:rPr>
                <w:rFonts w:ascii="Arial" w:cs="Arial" w:eastAsia="Arial" w:hAnsi="Arial"/>
                <w:sz w:val="13"/>
                <w:szCs w:val="13"/>
                <w:color w:val="auto"/>
              </w:rPr>
              <w:t>—</w:t>
            </w:r>
          </w:p>
        </w:tc>
        <w:tc>
          <w:tcPr>
            <w:tcW w:w="740" w:type="dxa"/>
            <w:vAlign w:val="bottom"/>
            <w:gridSpan w:val="2"/>
          </w:tcPr>
          <w:p>
            <w:pPr>
              <w:jc w:val="right"/>
              <w:ind w:right="100"/>
              <w:spacing w:after="0" w:line="121" w:lineRule="exact"/>
              <w:rPr>
                <w:sz w:val="20"/>
                <w:szCs w:val="20"/>
                <w:color w:val="auto"/>
              </w:rPr>
            </w:pPr>
            <w:r>
              <w:rPr>
                <w:rFonts w:ascii="Arial" w:cs="Arial" w:eastAsia="Arial" w:hAnsi="Arial"/>
                <w:sz w:val="13"/>
                <w:szCs w:val="13"/>
                <w:color w:val="auto"/>
                <w:w w:val="95"/>
              </w:rPr>
              <w:t>17,252,578</w:t>
            </w: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0" w:type="dxa"/>
            <w:vAlign w:val="bottom"/>
            <w:gridSpan w:val="2"/>
          </w:tcPr>
          <w:p>
            <w:pPr>
              <w:jc w:val="right"/>
              <w:ind w:right="60"/>
              <w:spacing w:after="0" w:line="121" w:lineRule="exact"/>
              <w:rPr>
                <w:sz w:val="20"/>
                <w:szCs w:val="20"/>
                <w:color w:val="auto"/>
              </w:rPr>
            </w:pPr>
            <w:r>
              <w:rPr>
                <w:rFonts w:ascii="Arial" w:cs="Arial" w:eastAsia="Arial" w:hAnsi="Arial"/>
                <w:sz w:val="13"/>
                <w:szCs w:val="13"/>
                <w:color w:val="auto"/>
              </w:rPr>
              <w:t>15,522,063</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gridSpan w:val="2"/>
          </w:tcPr>
          <w:p>
            <w:pPr>
              <w:jc w:val="right"/>
              <w:ind w:right="80"/>
              <w:spacing w:after="0" w:line="121" w:lineRule="exact"/>
              <w:rPr>
                <w:sz w:val="20"/>
                <w:szCs w:val="20"/>
                <w:color w:val="auto"/>
              </w:rPr>
            </w:pPr>
            <w:r>
              <w:rPr>
                <w:rFonts w:ascii="Arial" w:cs="Arial" w:eastAsia="Arial" w:hAnsi="Arial"/>
                <w:sz w:val="13"/>
                <w:szCs w:val="13"/>
                <w:color w:val="auto"/>
              </w:rPr>
              <w:t>16,907,526</w:t>
            </w:r>
          </w:p>
        </w:tc>
        <w:tc>
          <w:tcPr>
            <w:tcW w:w="0" w:type="dxa"/>
            <w:vAlign w:val="bottom"/>
          </w:tcPr>
          <w:p>
            <w:pPr>
              <w:spacing w:after="0"/>
              <w:rPr>
                <w:sz w:val="1"/>
                <w:szCs w:val="1"/>
                <w:color w:val="auto"/>
              </w:rPr>
            </w:pPr>
          </w:p>
        </w:tc>
      </w:tr>
      <w:tr>
        <w:trPr>
          <w:trHeight w:val="170"/>
        </w:trPr>
        <w:tc>
          <w:tcPr>
            <w:tcW w:w="46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940" w:type="dxa"/>
            <w:vAlign w:val="bottom"/>
          </w:tcPr>
          <w:p>
            <w:pPr>
              <w:jc w:val="right"/>
              <w:ind w:right="97"/>
              <w:spacing w:after="0"/>
              <w:rPr>
                <w:sz w:val="20"/>
                <w:szCs w:val="20"/>
                <w:color w:val="auto"/>
              </w:rPr>
            </w:pPr>
            <w:r>
              <w:rPr>
                <w:rFonts w:ascii="Arial" w:cs="Arial" w:eastAsia="Arial" w:hAnsi="Arial"/>
                <w:sz w:val="13"/>
                <w:szCs w:val="13"/>
                <w:color w:val="auto"/>
                <w:w w:val="98"/>
              </w:rPr>
              <w:t>(PIK 15.00%)</w:t>
            </w:r>
          </w:p>
        </w:tc>
        <w:tc>
          <w:tcPr>
            <w:tcW w:w="8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460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Subordinated Debt/Corporate Notes—0.2%</w:t>
            </w:r>
          </w:p>
        </w:tc>
        <w:tc>
          <w:tcPr>
            <w:tcW w:w="104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4600" w:type="dxa"/>
            <w:vAlign w:val="bottom"/>
          </w:tcPr>
          <w:p>
            <w:pPr>
              <w:spacing w:after="0"/>
              <w:rPr>
                <w:sz w:val="20"/>
                <w:szCs w:val="20"/>
                <w:color w:val="auto"/>
              </w:rPr>
            </w:pPr>
            <w:r>
              <w:rPr>
                <w:rFonts w:ascii="Arial" w:cs="Arial" w:eastAsia="Arial" w:hAnsi="Arial"/>
                <w:sz w:val="13"/>
                <w:szCs w:val="13"/>
                <w:color w:val="auto"/>
              </w:rPr>
              <w:t>SuttonPark Holdings, Inc.</w:t>
            </w:r>
          </w:p>
        </w:tc>
        <w:tc>
          <w:tcPr>
            <w:tcW w:w="1040" w:type="dxa"/>
            <w:vAlign w:val="bottom"/>
          </w:tcPr>
          <w:p>
            <w:pPr>
              <w:jc w:val="center"/>
              <w:ind w:left="317"/>
              <w:spacing w:after="0"/>
              <w:rPr>
                <w:sz w:val="20"/>
                <w:szCs w:val="20"/>
                <w:color w:val="auto"/>
              </w:rPr>
            </w:pPr>
            <w:r>
              <w:rPr>
                <w:rFonts w:ascii="Arial" w:cs="Arial" w:eastAsia="Arial" w:hAnsi="Arial"/>
                <w:sz w:val="13"/>
                <w:szCs w:val="13"/>
                <w:color w:val="auto"/>
                <w:w w:val="86"/>
              </w:rPr>
              <w:t>6/30/2020</w:t>
            </w:r>
          </w:p>
        </w:tc>
        <w:tc>
          <w:tcPr>
            <w:tcW w:w="1100" w:type="dxa"/>
            <w:vAlign w:val="bottom"/>
          </w:tcPr>
          <w:p>
            <w:pPr>
              <w:jc w:val="center"/>
              <w:spacing w:after="0"/>
              <w:rPr>
                <w:sz w:val="20"/>
                <w:szCs w:val="20"/>
                <w:color w:val="auto"/>
              </w:rPr>
            </w:pPr>
            <w:r>
              <w:rPr>
                <w:rFonts w:ascii="Arial" w:cs="Arial" w:eastAsia="Arial" w:hAnsi="Arial"/>
                <w:sz w:val="13"/>
                <w:szCs w:val="13"/>
                <w:color w:val="auto"/>
                <w:w w:val="86"/>
              </w:rPr>
              <w:t>Business Services</w:t>
            </w:r>
          </w:p>
        </w:tc>
        <w:tc>
          <w:tcPr>
            <w:tcW w:w="940" w:type="dxa"/>
            <w:vAlign w:val="bottom"/>
          </w:tcPr>
          <w:p>
            <w:pPr>
              <w:jc w:val="right"/>
              <w:spacing w:after="0"/>
              <w:rPr>
                <w:sz w:val="20"/>
                <w:szCs w:val="20"/>
                <w:color w:val="auto"/>
              </w:rPr>
            </w:pPr>
            <w:r>
              <w:rPr>
                <w:rFonts w:ascii="Arial" w:cs="Arial" w:eastAsia="Arial" w:hAnsi="Arial"/>
                <w:sz w:val="13"/>
                <w:szCs w:val="13"/>
                <w:color w:val="auto"/>
              </w:rPr>
              <w:t xml:space="preserve">14.00% </w:t>
            </w:r>
            <w:r>
              <w:rPr>
                <w:rFonts w:ascii="Arial" w:cs="Arial" w:eastAsia="Arial" w:hAnsi="Arial"/>
                <w:sz w:val="10"/>
                <w:szCs w:val="10"/>
                <w:color w:val="auto"/>
              </w:rPr>
              <w:t>(7)</w:t>
            </w:r>
          </w:p>
        </w:tc>
        <w:tc>
          <w:tcPr>
            <w:tcW w:w="880" w:type="dxa"/>
            <w:vAlign w:val="bottom"/>
          </w:tcPr>
          <w:p>
            <w:pPr>
              <w:spacing w:after="0"/>
              <w:rPr>
                <w:sz w:val="13"/>
                <w:szCs w:val="13"/>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3"/>
                <w:szCs w:val="13"/>
                <w:color w:val="auto"/>
              </w:rPr>
              <w:t>2,250,000</w:t>
            </w: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3"/>
                <w:szCs w:val="13"/>
                <w:color w:val="auto"/>
              </w:rPr>
              <w:t>2,250,000</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3"/>
                <w:szCs w:val="13"/>
                <w:color w:val="auto"/>
              </w:rPr>
              <w:t>1,967,514</w:t>
            </w:r>
          </w:p>
        </w:tc>
        <w:tc>
          <w:tcPr>
            <w:tcW w:w="0" w:type="dxa"/>
            <w:vAlign w:val="bottom"/>
          </w:tcPr>
          <w:p>
            <w:pPr>
              <w:spacing w:after="0"/>
              <w:rPr>
                <w:sz w:val="1"/>
                <w:szCs w:val="1"/>
                <w:color w:val="auto"/>
              </w:rPr>
            </w:pPr>
          </w:p>
        </w:tc>
      </w:tr>
      <w:tr>
        <w:trPr>
          <w:trHeight w:val="148"/>
        </w:trPr>
        <w:tc>
          <w:tcPr>
            <w:tcW w:w="460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Preferred Equity—0.4%</w:t>
            </w:r>
            <w:r>
              <w:rPr>
                <w:rFonts w:ascii="Arial" w:cs="Arial" w:eastAsia="Arial" w:hAnsi="Arial"/>
                <w:sz w:val="10"/>
                <w:szCs w:val="10"/>
                <w:b w:val="1"/>
                <w:bCs w:val="1"/>
                <w:color w:val="auto"/>
              </w:rPr>
              <w:t>(6)</w:t>
            </w:r>
          </w:p>
        </w:tc>
        <w:tc>
          <w:tcPr>
            <w:tcW w:w="104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spacing w:after="0"/>
              <w:rPr>
                <w:sz w:val="12"/>
                <w:szCs w:val="12"/>
                <w:color w:val="auto"/>
              </w:rPr>
            </w:pPr>
          </w:p>
        </w:tc>
        <w:tc>
          <w:tcPr>
            <w:tcW w:w="740" w:type="dxa"/>
            <w:vAlign w:val="bottom"/>
            <w:tcBorders>
              <w:top w:val="single" w:sz="8" w:color="auto"/>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720" w:type="dxa"/>
            <w:vAlign w:val="bottom"/>
            <w:tcBorders>
              <w:top w:val="single" w:sz="8" w:color="auto"/>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600" w:type="dxa"/>
            <w:vAlign w:val="bottom"/>
          </w:tcPr>
          <w:p>
            <w:pPr>
              <w:spacing w:after="0"/>
              <w:rPr>
                <w:sz w:val="20"/>
                <w:szCs w:val="20"/>
                <w:color w:val="auto"/>
              </w:rPr>
            </w:pPr>
            <w:r>
              <w:rPr>
                <w:rFonts w:ascii="Arial" w:cs="Arial" w:eastAsia="Arial" w:hAnsi="Arial"/>
                <w:sz w:val="13"/>
                <w:szCs w:val="13"/>
                <w:color w:val="auto"/>
              </w:rPr>
              <w:t>SuttonPark Holdings, Inc.</w:t>
            </w:r>
          </w:p>
        </w:tc>
        <w:tc>
          <w:tcPr>
            <w:tcW w:w="1040" w:type="dxa"/>
            <w:vAlign w:val="bottom"/>
          </w:tcPr>
          <w:p>
            <w:pPr>
              <w:ind w:left="620"/>
              <w:spacing w:after="0"/>
              <w:rPr>
                <w:sz w:val="20"/>
                <w:szCs w:val="20"/>
                <w:color w:val="auto"/>
              </w:rPr>
            </w:pPr>
            <w:r>
              <w:rPr>
                <w:rFonts w:ascii="Arial" w:cs="Arial" w:eastAsia="Arial" w:hAnsi="Arial"/>
                <w:sz w:val="13"/>
                <w:szCs w:val="13"/>
                <w:color w:val="auto"/>
              </w:rPr>
              <w:t>—</w:t>
            </w:r>
          </w:p>
        </w:tc>
        <w:tc>
          <w:tcPr>
            <w:tcW w:w="1100" w:type="dxa"/>
            <w:vAlign w:val="bottom"/>
          </w:tcPr>
          <w:p>
            <w:pPr>
              <w:jc w:val="center"/>
              <w:spacing w:after="0"/>
              <w:rPr>
                <w:sz w:val="20"/>
                <w:szCs w:val="20"/>
                <w:color w:val="auto"/>
              </w:rPr>
            </w:pPr>
            <w:r>
              <w:rPr>
                <w:rFonts w:ascii="Arial" w:cs="Arial" w:eastAsia="Arial" w:hAnsi="Arial"/>
                <w:sz w:val="13"/>
                <w:szCs w:val="13"/>
                <w:color w:val="auto"/>
                <w:w w:val="86"/>
              </w:rPr>
              <w:t>Business Services</w:t>
            </w:r>
          </w:p>
        </w:tc>
        <w:tc>
          <w:tcPr>
            <w:tcW w:w="940" w:type="dxa"/>
            <w:vAlign w:val="bottom"/>
          </w:tcPr>
          <w:p>
            <w:pPr>
              <w:jc w:val="right"/>
              <w:ind w:right="137"/>
              <w:spacing w:after="0"/>
              <w:rPr>
                <w:sz w:val="20"/>
                <w:szCs w:val="20"/>
                <w:color w:val="auto"/>
              </w:rPr>
            </w:pPr>
            <w:r>
              <w:rPr>
                <w:rFonts w:ascii="Arial" w:cs="Arial" w:eastAsia="Arial" w:hAnsi="Arial"/>
                <w:sz w:val="13"/>
                <w:szCs w:val="13"/>
                <w:color w:val="auto"/>
              </w:rPr>
              <w:t>14.00%</w:t>
            </w:r>
          </w:p>
        </w:tc>
        <w:tc>
          <w:tcPr>
            <w:tcW w:w="880" w:type="dxa"/>
            <w:vAlign w:val="bottom"/>
          </w:tcPr>
          <w:p>
            <w:pPr>
              <w:jc w:val="right"/>
              <w:ind w:right="217"/>
              <w:spacing w:after="0"/>
              <w:rPr>
                <w:sz w:val="20"/>
                <w:szCs w:val="20"/>
                <w:color w:val="auto"/>
              </w:rPr>
            </w:pPr>
            <w:r>
              <w:rPr>
                <w:rFonts w:ascii="Arial" w:cs="Arial" w:eastAsia="Arial" w:hAnsi="Arial"/>
                <w:sz w:val="13"/>
                <w:szCs w:val="13"/>
                <w:color w:val="auto"/>
              </w:rPr>
              <w:t>—</w:t>
            </w:r>
          </w:p>
        </w:tc>
        <w:tc>
          <w:tcPr>
            <w:tcW w:w="740" w:type="dxa"/>
            <w:vAlign w:val="bottom"/>
            <w:gridSpan w:val="2"/>
          </w:tcPr>
          <w:p>
            <w:pPr>
              <w:jc w:val="right"/>
              <w:ind w:right="100"/>
              <w:spacing w:after="0"/>
              <w:rPr>
                <w:sz w:val="20"/>
                <w:szCs w:val="20"/>
                <w:color w:val="auto"/>
              </w:rPr>
            </w:pPr>
            <w:r>
              <w:rPr>
                <w:rFonts w:ascii="Arial" w:cs="Arial" w:eastAsia="Arial" w:hAnsi="Arial"/>
                <w:sz w:val="13"/>
                <w:szCs w:val="13"/>
                <w:color w:val="auto"/>
              </w:rPr>
              <w:t>2,000</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3"/>
                <w:szCs w:val="13"/>
                <w:color w:val="auto"/>
              </w:rPr>
              <w:t>2,000,000</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3"/>
                <w:szCs w:val="13"/>
                <w:color w:val="auto"/>
              </w:rPr>
              <w:t>1,983,296</w:t>
            </w:r>
          </w:p>
        </w:tc>
        <w:tc>
          <w:tcPr>
            <w:tcW w:w="0" w:type="dxa"/>
            <w:vAlign w:val="bottom"/>
          </w:tcPr>
          <w:p>
            <w:pPr>
              <w:spacing w:after="0"/>
              <w:rPr>
                <w:sz w:val="1"/>
                <w:szCs w:val="1"/>
                <w:color w:val="auto"/>
              </w:rPr>
            </w:pPr>
          </w:p>
        </w:tc>
      </w:tr>
      <w:tr>
        <w:trPr>
          <w:trHeight w:val="121"/>
        </w:trPr>
        <w:tc>
          <w:tcPr>
            <w:tcW w:w="4600" w:type="dxa"/>
            <w:vAlign w:val="bottom"/>
            <w:shd w:val="clear" w:color="auto" w:fill="CCEEFF"/>
          </w:tcPr>
          <w:p>
            <w:pPr>
              <w:spacing w:after="0" w:line="121" w:lineRule="exact"/>
              <w:rPr>
                <w:sz w:val="20"/>
                <w:szCs w:val="20"/>
                <w:color w:val="auto"/>
              </w:rPr>
            </w:pPr>
            <w:r>
              <w:rPr>
                <w:rFonts w:ascii="Arial" w:cs="Arial" w:eastAsia="Arial" w:hAnsi="Arial"/>
                <w:sz w:val="13"/>
                <w:szCs w:val="13"/>
                <w:color w:val="auto"/>
              </w:rPr>
              <w:t>Universal Pegasus International Holdings, Inc.</w:t>
            </w:r>
          </w:p>
        </w:tc>
        <w:tc>
          <w:tcPr>
            <w:tcW w:w="1040" w:type="dxa"/>
            <w:vAlign w:val="bottom"/>
            <w:shd w:val="clear" w:color="auto" w:fill="CCEEFF"/>
          </w:tcPr>
          <w:p>
            <w:pPr>
              <w:ind w:left="620"/>
              <w:spacing w:after="0" w:line="121" w:lineRule="exact"/>
              <w:rPr>
                <w:sz w:val="20"/>
                <w:szCs w:val="20"/>
                <w:color w:val="auto"/>
              </w:rPr>
            </w:pPr>
            <w:r>
              <w:rPr>
                <w:rFonts w:ascii="Arial" w:cs="Arial" w:eastAsia="Arial" w:hAnsi="Arial"/>
                <w:sz w:val="13"/>
                <w:szCs w:val="13"/>
                <w:color w:val="auto"/>
              </w:rPr>
              <w:t>—</w:t>
            </w:r>
          </w:p>
        </w:tc>
        <w:tc>
          <w:tcPr>
            <w:tcW w:w="1100" w:type="dxa"/>
            <w:vAlign w:val="bottom"/>
            <w:shd w:val="clear" w:color="auto" w:fill="CCEEFF"/>
          </w:tcPr>
          <w:p>
            <w:pPr>
              <w:jc w:val="center"/>
              <w:spacing w:after="0" w:line="121" w:lineRule="exact"/>
              <w:rPr>
                <w:sz w:val="20"/>
                <w:szCs w:val="20"/>
                <w:color w:val="auto"/>
              </w:rPr>
            </w:pPr>
            <w:r>
              <w:rPr>
                <w:rFonts w:ascii="Arial" w:cs="Arial" w:eastAsia="Arial" w:hAnsi="Arial"/>
                <w:sz w:val="13"/>
                <w:szCs w:val="13"/>
                <w:color w:val="auto"/>
                <w:w w:val="87"/>
              </w:rPr>
              <w:t>Oil and Gas</w:t>
            </w:r>
          </w:p>
        </w:tc>
        <w:tc>
          <w:tcPr>
            <w:tcW w:w="940" w:type="dxa"/>
            <w:vAlign w:val="bottom"/>
            <w:shd w:val="clear" w:color="auto" w:fill="CCEEFF"/>
          </w:tcPr>
          <w:p>
            <w:pPr>
              <w:jc w:val="right"/>
              <w:ind w:right="137"/>
              <w:spacing w:after="0" w:line="121" w:lineRule="exact"/>
              <w:rPr>
                <w:sz w:val="20"/>
                <w:szCs w:val="20"/>
                <w:color w:val="auto"/>
              </w:rPr>
            </w:pPr>
            <w:r>
              <w:rPr>
                <w:rFonts w:ascii="Arial" w:cs="Arial" w:eastAsia="Arial" w:hAnsi="Arial"/>
                <w:sz w:val="13"/>
                <w:szCs w:val="13"/>
                <w:color w:val="auto"/>
              </w:rPr>
              <w:t>8.00%</w:t>
            </w:r>
          </w:p>
        </w:tc>
        <w:tc>
          <w:tcPr>
            <w:tcW w:w="880" w:type="dxa"/>
            <w:vAlign w:val="bottom"/>
            <w:shd w:val="clear" w:color="auto" w:fill="CCEEFF"/>
          </w:tcPr>
          <w:p>
            <w:pPr>
              <w:jc w:val="right"/>
              <w:ind w:right="217"/>
              <w:spacing w:after="0" w:line="121" w:lineRule="exact"/>
              <w:rPr>
                <w:sz w:val="20"/>
                <w:szCs w:val="20"/>
                <w:color w:val="auto"/>
              </w:rPr>
            </w:pPr>
            <w:r>
              <w:rPr>
                <w:rFonts w:ascii="Arial" w:cs="Arial" w:eastAsia="Arial" w:hAnsi="Arial"/>
                <w:sz w:val="13"/>
                <w:szCs w:val="13"/>
                <w:color w:val="auto"/>
              </w:rPr>
              <w:t>—</w:t>
            </w:r>
          </w:p>
        </w:tc>
        <w:tc>
          <w:tcPr>
            <w:tcW w:w="740" w:type="dxa"/>
            <w:vAlign w:val="bottom"/>
            <w:gridSpan w:val="2"/>
            <w:shd w:val="clear" w:color="auto" w:fill="CCEEFF"/>
          </w:tcPr>
          <w:p>
            <w:pPr>
              <w:jc w:val="right"/>
              <w:ind w:right="100"/>
              <w:spacing w:after="0" w:line="121" w:lineRule="exact"/>
              <w:rPr>
                <w:sz w:val="20"/>
                <w:szCs w:val="20"/>
                <w:color w:val="auto"/>
              </w:rPr>
            </w:pPr>
            <w:r>
              <w:rPr>
                <w:rFonts w:ascii="Arial" w:cs="Arial" w:eastAsia="Arial" w:hAnsi="Arial"/>
                <w:sz w:val="13"/>
                <w:szCs w:val="13"/>
                <w:color w:val="auto"/>
              </w:rPr>
              <w:t>376,988</w:t>
            </w:r>
          </w:p>
        </w:tc>
        <w:tc>
          <w:tcPr>
            <w:tcW w:w="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0" w:type="dxa"/>
            <w:vAlign w:val="bottom"/>
            <w:gridSpan w:val="2"/>
            <w:shd w:val="clear" w:color="auto" w:fill="CCEEFF"/>
          </w:tcPr>
          <w:p>
            <w:pPr>
              <w:jc w:val="right"/>
              <w:ind w:right="60"/>
              <w:spacing w:after="0" w:line="121" w:lineRule="exact"/>
              <w:rPr>
                <w:sz w:val="20"/>
                <w:szCs w:val="20"/>
                <w:color w:val="auto"/>
              </w:rPr>
            </w:pPr>
            <w:r>
              <w:rPr>
                <w:rFonts w:ascii="Arial" w:cs="Arial" w:eastAsia="Arial" w:hAnsi="Arial"/>
                <w:sz w:val="13"/>
                <w:szCs w:val="13"/>
                <w:color w:val="auto"/>
              </w:rPr>
              <w:t>34,420,612</w:t>
            </w: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0" w:type="dxa"/>
            <w:vAlign w:val="bottom"/>
            <w:gridSpan w:val="2"/>
            <w:shd w:val="clear" w:color="auto" w:fill="CCEEFF"/>
          </w:tcPr>
          <w:p>
            <w:pPr>
              <w:jc w:val="right"/>
              <w:ind w:right="80"/>
              <w:spacing w:after="0" w:line="121" w:lineRule="exact"/>
              <w:rPr>
                <w:sz w:val="20"/>
                <w:szCs w:val="20"/>
                <w:color w:val="auto"/>
              </w:rPr>
            </w:pPr>
            <w:r>
              <w:rPr>
                <w:rFonts w:ascii="Arial" w:cs="Arial" w:eastAsia="Arial" w:hAnsi="Arial"/>
                <w:sz w:val="13"/>
                <w:szCs w:val="13"/>
                <w:color w:val="auto"/>
              </w:rPr>
              <w:t>809,543</w:t>
            </w:r>
          </w:p>
        </w:tc>
        <w:tc>
          <w:tcPr>
            <w:tcW w:w="0" w:type="dxa"/>
            <w:vAlign w:val="bottom"/>
          </w:tcPr>
          <w:p>
            <w:pPr>
              <w:spacing w:after="0"/>
              <w:rPr>
                <w:sz w:val="1"/>
                <w:szCs w:val="1"/>
                <w:color w:val="auto"/>
              </w:rPr>
            </w:pPr>
          </w:p>
        </w:tc>
      </w:tr>
      <w:tr>
        <w:trPr>
          <w:trHeight w:val="149"/>
        </w:trPr>
        <w:tc>
          <w:tcPr>
            <w:tcW w:w="46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(Universal Pegasus International, LLC)</w:t>
            </w:r>
          </w:p>
        </w:tc>
        <w:tc>
          <w:tcPr>
            <w:tcW w:w="104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tcBorders>
              <w:bottom w:val="single" w:sz="8" w:color="auto"/>
            </w:tcBorders>
            <w:shd w:val="clear" w:color="auto" w:fill="CCEEFF"/>
          </w:tcPr>
          <w:p>
            <w:pPr>
              <w:spacing w:after="0"/>
              <w:rPr>
                <w:sz w:val="12"/>
                <w:szCs w:val="12"/>
                <w:color w:val="auto"/>
              </w:rPr>
            </w:pPr>
          </w:p>
        </w:tc>
        <w:tc>
          <w:tcPr>
            <w:tcW w:w="740" w:type="dxa"/>
            <w:vAlign w:val="bottom"/>
            <w:tcBorders>
              <w:bottom w:val="single" w:sz="8" w:color="auto"/>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720" w:type="dxa"/>
            <w:vAlign w:val="bottom"/>
            <w:tcBorders>
              <w:bottom w:val="single" w:sz="8" w:color="auto"/>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3"/>
        </w:trPr>
        <w:tc>
          <w:tcPr>
            <w:tcW w:w="4600" w:type="dxa"/>
            <w:vAlign w:val="bottom"/>
          </w:tcPr>
          <w:p>
            <w:pPr>
              <w:spacing w:after="0"/>
              <w:rPr>
                <w:sz w:val="20"/>
                <w:szCs w:val="20"/>
                <w:color w:val="auto"/>
              </w:rPr>
            </w:pPr>
            <w:r>
              <w:rPr>
                <w:rFonts w:ascii="Arial" w:cs="Arial" w:eastAsia="Arial" w:hAnsi="Arial"/>
                <w:sz w:val="13"/>
                <w:szCs w:val="13"/>
                <w:b w:val="1"/>
                <w:bCs w:val="1"/>
                <w:color w:val="auto"/>
              </w:rPr>
              <w:t>Total Preferred Equity</w:t>
            </w:r>
          </w:p>
        </w:tc>
        <w:tc>
          <w:tcPr>
            <w:tcW w:w="10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36,420,612</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2,792,839</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60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 xml:space="preserve">Common Equity—0.3% </w:t>
            </w:r>
            <w:r>
              <w:rPr>
                <w:rFonts w:ascii="Arial" w:cs="Arial" w:eastAsia="Arial" w:hAnsi="Arial"/>
                <w:sz w:val="10"/>
                <w:szCs w:val="10"/>
                <w:b w:val="1"/>
                <w:bCs w:val="1"/>
                <w:color w:val="auto"/>
              </w:rPr>
              <w:t>(6)</w:t>
            </w:r>
          </w:p>
        </w:tc>
        <w:tc>
          <w:tcPr>
            <w:tcW w:w="104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1"/>
        </w:trPr>
        <w:tc>
          <w:tcPr>
            <w:tcW w:w="4600" w:type="dxa"/>
            <w:vAlign w:val="bottom"/>
          </w:tcPr>
          <w:p>
            <w:pPr>
              <w:spacing w:after="0" w:line="121" w:lineRule="exact"/>
              <w:rPr>
                <w:sz w:val="20"/>
                <w:szCs w:val="20"/>
                <w:color w:val="auto"/>
              </w:rPr>
            </w:pPr>
            <w:r>
              <w:rPr>
                <w:rFonts w:ascii="Arial" w:cs="Arial" w:eastAsia="Arial" w:hAnsi="Arial"/>
                <w:sz w:val="13"/>
                <w:szCs w:val="13"/>
                <w:color w:val="auto"/>
              </w:rPr>
              <w:t>Superior Digital Displays Holdings, Inc.</w:t>
            </w:r>
          </w:p>
        </w:tc>
        <w:tc>
          <w:tcPr>
            <w:tcW w:w="1040" w:type="dxa"/>
            <w:vAlign w:val="bottom"/>
          </w:tcPr>
          <w:p>
            <w:pPr>
              <w:ind w:left="620"/>
              <w:spacing w:after="0" w:line="121" w:lineRule="exact"/>
              <w:rPr>
                <w:sz w:val="20"/>
                <w:szCs w:val="20"/>
                <w:color w:val="auto"/>
              </w:rPr>
            </w:pPr>
            <w:r>
              <w:rPr>
                <w:rFonts w:ascii="Arial" w:cs="Arial" w:eastAsia="Arial" w:hAnsi="Arial"/>
                <w:sz w:val="13"/>
                <w:szCs w:val="13"/>
                <w:color w:val="auto"/>
              </w:rPr>
              <w:t>—</w:t>
            </w:r>
          </w:p>
        </w:tc>
        <w:tc>
          <w:tcPr>
            <w:tcW w:w="1100" w:type="dxa"/>
            <w:vAlign w:val="bottom"/>
          </w:tcPr>
          <w:p>
            <w:pPr>
              <w:jc w:val="center"/>
              <w:spacing w:after="0" w:line="121" w:lineRule="exact"/>
              <w:rPr>
                <w:sz w:val="20"/>
                <w:szCs w:val="20"/>
                <w:color w:val="auto"/>
              </w:rPr>
            </w:pPr>
            <w:r>
              <w:rPr>
                <w:rFonts w:ascii="Arial" w:cs="Arial" w:eastAsia="Arial" w:hAnsi="Arial"/>
                <w:sz w:val="13"/>
                <w:szCs w:val="13"/>
                <w:color w:val="auto"/>
                <w:w w:val="90"/>
              </w:rPr>
              <w:t>Media</w:t>
            </w:r>
          </w:p>
        </w:tc>
        <w:tc>
          <w:tcPr>
            <w:tcW w:w="940" w:type="dxa"/>
            <w:vAlign w:val="bottom"/>
          </w:tcPr>
          <w:p>
            <w:pPr>
              <w:jc w:val="right"/>
              <w:ind w:right="317"/>
              <w:spacing w:after="0" w:line="121" w:lineRule="exact"/>
              <w:rPr>
                <w:sz w:val="20"/>
                <w:szCs w:val="20"/>
                <w:color w:val="auto"/>
              </w:rPr>
            </w:pPr>
            <w:r>
              <w:rPr>
                <w:rFonts w:ascii="Arial" w:cs="Arial" w:eastAsia="Arial" w:hAnsi="Arial"/>
                <w:sz w:val="13"/>
                <w:szCs w:val="13"/>
                <w:color w:val="auto"/>
              </w:rPr>
              <w:t>—</w:t>
            </w:r>
          </w:p>
        </w:tc>
        <w:tc>
          <w:tcPr>
            <w:tcW w:w="880" w:type="dxa"/>
            <w:vAlign w:val="bottom"/>
          </w:tcPr>
          <w:p>
            <w:pPr>
              <w:jc w:val="right"/>
              <w:ind w:right="217"/>
              <w:spacing w:after="0" w:line="121" w:lineRule="exact"/>
              <w:rPr>
                <w:sz w:val="20"/>
                <w:szCs w:val="20"/>
                <w:color w:val="auto"/>
              </w:rPr>
            </w:pPr>
            <w:r>
              <w:rPr>
                <w:rFonts w:ascii="Arial" w:cs="Arial" w:eastAsia="Arial" w:hAnsi="Arial"/>
                <w:sz w:val="13"/>
                <w:szCs w:val="13"/>
                <w:color w:val="auto"/>
              </w:rPr>
              <w:t>—</w:t>
            </w:r>
          </w:p>
        </w:tc>
        <w:tc>
          <w:tcPr>
            <w:tcW w:w="740" w:type="dxa"/>
            <w:vAlign w:val="bottom"/>
            <w:gridSpan w:val="2"/>
          </w:tcPr>
          <w:p>
            <w:pPr>
              <w:jc w:val="right"/>
              <w:ind w:right="100"/>
              <w:spacing w:after="0" w:line="121" w:lineRule="exact"/>
              <w:rPr>
                <w:sz w:val="20"/>
                <w:szCs w:val="20"/>
                <w:color w:val="auto"/>
              </w:rPr>
            </w:pPr>
            <w:r>
              <w:rPr>
                <w:rFonts w:ascii="Arial" w:cs="Arial" w:eastAsia="Arial" w:hAnsi="Arial"/>
                <w:sz w:val="13"/>
                <w:szCs w:val="13"/>
                <w:color w:val="auto"/>
              </w:rPr>
              <w:t>4,750</w:t>
            </w: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0" w:type="dxa"/>
            <w:vAlign w:val="bottom"/>
            <w:gridSpan w:val="2"/>
          </w:tcPr>
          <w:p>
            <w:pPr>
              <w:jc w:val="right"/>
              <w:ind w:right="60"/>
              <w:spacing w:after="0" w:line="121" w:lineRule="exact"/>
              <w:rPr>
                <w:sz w:val="20"/>
                <w:szCs w:val="20"/>
                <w:color w:val="auto"/>
              </w:rPr>
            </w:pPr>
            <w:r>
              <w:rPr>
                <w:rFonts w:ascii="Arial" w:cs="Arial" w:eastAsia="Arial" w:hAnsi="Arial"/>
                <w:sz w:val="13"/>
                <w:szCs w:val="13"/>
                <w:color w:val="auto"/>
              </w:rPr>
              <w:t>2,211,000</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gridSpan w:val="2"/>
          </w:tcPr>
          <w:p>
            <w:pPr>
              <w:jc w:val="right"/>
              <w:ind w:right="80"/>
              <w:spacing w:after="0" w:line="121" w:lineRule="exact"/>
              <w:rPr>
                <w:sz w:val="20"/>
                <w:szCs w:val="20"/>
                <w:color w:val="auto"/>
              </w:rPr>
            </w:pPr>
            <w:r>
              <w:rPr>
                <w:rFonts w:ascii="Arial" w:cs="Arial" w:eastAsia="Arial" w:hAnsi="Arial"/>
                <w:sz w:val="13"/>
                <w:szCs w:val="13"/>
                <w:color w:val="auto"/>
              </w:rPr>
              <w:t>2,211,000</w:t>
            </w:r>
          </w:p>
        </w:tc>
        <w:tc>
          <w:tcPr>
            <w:tcW w:w="0" w:type="dxa"/>
            <w:vAlign w:val="bottom"/>
          </w:tcPr>
          <w:p>
            <w:pPr>
              <w:spacing w:after="0"/>
              <w:rPr>
                <w:sz w:val="1"/>
                <w:szCs w:val="1"/>
                <w:color w:val="auto"/>
              </w:rPr>
            </w:pPr>
          </w:p>
        </w:tc>
      </w:tr>
      <w:tr>
        <w:trPr>
          <w:trHeight w:val="149"/>
        </w:trPr>
        <w:tc>
          <w:tcPr>
            <w:tcW w:w="4600" w:type="dxa"/>
            <w:vAlign w:val="bottom"/>
          </w:tcPr>
          <w:p>
            <w:pPr>
              <w:ind w:left="140"/>
              <w:spacing w:after="0"/>
              <w:rPr>
                <w:sz w:val="20"/>
                <w:szCs w:val="20"/>
                <w:color w:val="auto"/>
              </w:rPr>
            </w:pPr>
            <w:r>
              <w:rPr>
                <w:rFonts w:ascii="Arial" w:cs="Arial" w:eastAsia="Arial" w:hAnsi="Arial"/>
                <w:sz w:val="13"/>
                <w:szCs w:val="13"/>
                <w:color w:val="auto"/>
              </w:rPr>
              <w:t>(Superior Digital Displays, LLC)</w:t>
            </w:r>
          </w:p>
        </w:tc>
        <w:tc>
          <w:tcPr>
            <w:tcW w:w="10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600" w:type="dxa"/>
            <w:vAlign w:val="bottom"/>
            <w:shd w:val="clear" w:color="auto" w:fill="CCEEFF"/>
          </w:tcPr>
          <w:p>
            <w:pPr>
              <w:spacing w:after="0"/>
              <w:rPr>
                <w:sz w:val="20"/>
                <w:szCs w:val="20"/>
                <w:color w:val="auto"/>
              </w:rPr>
            </w:pPr>
            <w:r>
              <w:rPr>
                <w:rFonts w:ascii="Arial" w:cs="Arial" w:eastAsia="Arial" w:hAnsi="Arial"/>
                <w:sz w:val="13"/>
                <w:szCs w:val="13"/>
                <w:color w:val="auto"/>
              </w:rPr>
              <w:t>SuttonPark Holdings, Inc.</w:t>
            </w:r>
          </w:p>
        </w:tc>
        <w:tc>
          <w:tcPr>
            <w:tcW w:w="1040" w:type="dxa"/>
            <w:vAlign w:val="bottom"/>
            <w:shd w:val="clear" w:color="auto" w:fill="CCEEFF"/>
          </w:tcPr>
          <w:p>
            <w:pPr>
              <w:ind w:left="620"/>
              <w:spacing w:after="0"/>
              <w:rPr>
                <w:sz w:val="20"/>
                <w:szCs w:val="20"/>
                <w:color w:val="auto"/>
              </w:rPr>
            </w:pPr>
            <w:r>
              <w:rPr>
                <w:rFonts w:ascii="Arial" w:cs="Arial" w:eastAsia="Arial" w:hAnsi="Arial"/>
                <w:sz w:val="13"/>
                <w:szCs w:val="13"/>
                <w:color w:val="auto"/>
              </w:rPr>
              <w:t>—</w:t>
            </w:r>
          </w:p>
        </w:tc>
        <w:tc>
          <w:tcPr>
            <w:tcW w:w="110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6"/>
              </w:rPr>
              <w:t>Business Services</w:t>
            </w:r>
          </w:p>
        </w:tc>
        <w:tc>
          <w:tcPr>
            <w:tcW w:w="940" w:type="dxa"/>
            <w:vAlign w:val="bottom"/>
            <w:shd w:val="clear" w:color="auto" w:fill="CCEEFF"/>
          </w:tcPr>
          <w:p>
            <w:pPr>
              <w:jc w:val="right"/>
              <w:ind w:right="317"/>
              <w:spacing w:after="0"/>
              <w:rPr>
                <w:sz w:val="20"/>
                <w:szCs w:val="20"/>
                <w:color w:val="auto"/>
              </w:rPr>
            </w:pPr>
            <w:r>
              <w:rPr>
                <w:rFonts w:ascii="Arial" w:cs="Arial" w:eastAsia="Arial" w:hAnsi="Arial"/>
                <w:sz w:val="13"/>
                <w:szCs w:val="13"/>
                <w:color w:val="auto"/>
              </w:rPr>
              <w:t>—</w:t>
            </w:r>
          </w:p>
        </w:tc>
        <w:tc>
          <w:tcPr>
            <w:tcW w:w="880" w:type="dxa"/>
            <w:vAlign w:val="bottom"/>
            <w:shd w:val="clear" w:color="auto" w:fill="CCEEFF"/>
          </w:tcPr>
          <w:p>
            <w:pPr>
              <w:jc w:val="right"/>
              <w:ind w:right="217"/>
              <w:spacing w:after="0"/>
              <w:rPr>
                <w:sz w:val="20"/>
                <w:szCs w:val="20"/>
                <w:color w:val="auto"/>
              </w:rPr>
            </w:pPr>
            <w:r>
              <w:rPr>
                <w:rFonts w:ascii="Arial" w:cs="Arial" w:eastAsia="Arial" w:hAnsi="Arial"/>
                <w:sz w:val="13"/>
                <w:szCs w:val="13"/>
                <w:color w:val="auto"/>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100</w:t>
            </w: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100</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ind w:left="54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3"/>
        </w:trPr>
        <w:tc>
          <w:tcPr>
            <w:tcW w:w="4600" w:type="dxa"/>
            <w:vAlign w:val="bottom"/>
          </w:tcPr>
          <w:p>
            <w:pPr>
              <w:spacing w:after="0"/>
              <w:rPr>
                <w:sz w:val="20"/>
                <w:szCs w:val="20"/>
                <w:color w:val="auto"/>
              </w:rPr>
            </w:pPr>
            <w:r>
              <w:rPr>
                <w:rFonts w:ascii="Arial" w:cs="Arial" w:eastAsia="Arial" w:hAnsi="Arial"/>
                <w:sz w:val="13"/>
                <w:szCs w:val="13"/>
                <w:b w:val="1"/>
                <w:bCs w:val="1"/>
                <w:color w:val="auto"/>
              </w:rPr>
              <w:t>Total Common Equity</w:t>
            </w:r>
          </w:p>
        </w:tc>
        <w:tc>
          <w:tcPr>
            <w:tcW w:w="10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Borders>
              <w:top w:val="single" w:sz="8" w:color="auto"/>
              <w:bottom w:val="single" w:sz="8" w:color="auto"/>
            </w:tcBorders>
          </w:tcPr>
          <w:p>
            <w:pPr>
              <w:spacing w:after="0"/>
              <w:rPr>
                <w:sz w:val="14"/>
                <w:szCs w:val="14"/>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2,211,100</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Borders>
              <w:top w:val="single" w:sz="8" w:color="auto"/>
              <w:bottom w:val="single" w:sz="8" w:color="auto"/>
            </w:tcBorders>
          </w:tcPr>
          <w:p>
            <w:pPr>
              <w:spacing w:after="0"/>
              <w:rPr>
                <w:sz w:val="14"/>
                <w:szCs w:val="14"/>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2,211,000</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460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Total Investments in Controlled, Affiliated Portfolio Companies</w:t>
            </w:r>
          </w:p>
        </w:tc>
        <w:tc>
          <w:tcPr>
            <w:tcW w:w="104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99,193,930</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68,931,881</w:t>
            </w:r>
          </w:p>
        </w:tc>
        <w:tc>
          <w:tcPr>
            <w:tcW w:w="0" w:type="dxa"/>
            <w:vAlign w:val="bottom"/>
          </w:tcPr>
          <w:p>
            <w:pPr>
              <w:spacing w:after="0"/>
              <w:rPr>
                <w:sz w:val="1"/>
                <w:szCs w:val="1"/>
                <w:color w:val="auto"/>
              </w:rPr>
            </w:pPr>
          </w:p>
        </w:tc>
      </w:tr>
      <w:tr>
        <w:trPr>
          <w:trHeight w:val="163"/>
        </w:trPr>
        <w:tc>
          <w:tcPr>
            <w:tcW w:w="4600" w:type="dxa"/>
            <w:vAlign w:val="bottom"/>
          </w:tcPr>
          <w:p>
            <w:pPr>
              <w:spacing w:after="0"/>
              <w:rPr>
                <w:sz w:val="20"/>
                <w:szCs w:val="20"/>
                <w:color w:val="auto"/>
              </w:rPr>
            </w:pPr>
            <w:r>
              <w:rPr>
                <w:rFonts w:ascii="Arial" w:cs="Arial" w:eastAsia="Arial" w:hAnsi="Arial"/>
                <w:sz w:val="13"/>
                <w:szCs w:val="13"/>
                <w:b w:val="1"/>
                <w:bCs w:val="1"/>
                <w:color w:val="auto"/>
              </w:rPr>
              <w:t>Total Investments—168.2%</w:t>
            </w:r>
          </w:p>
        </w:tc>
        <w:tc>
          <w:tcPr>
            <w:tcW w:w="10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Borders>
              <w:top w:val="single" w:sz="8" w:color="auto"/>
              <w:bottom w:val="single" w:sz="8" w:color="auto"/>
            </w:tcBorders>
          </w:tcPr>
          <w:p>
            <w:pPr>
              <w:spacing w:after="0"/>
              <w:rPr>
                <w:sz w:val="14"/>
                <w:szCs w:val="14"/>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6"/>
              </w:rPr>
              <w:t>1,207,887,029</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Borders>
              <w:top w:val="single" w:sz="8" w:color="auto"/>
              <w:bottom w:val="single" w:sz="8" w:color="auto"/>
            </w:tcBorders>
          </w:tcPr>
          <w:p>
            <w:pPr>
              <w:spacing w:after="0"/>
              <w:rPr>
                <w:sz w:val="14"/>
                <w:szCs w:val="14"/>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4"/>
              </w:rPr>
              <w:t>1,209,281,422</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60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Cash and Cash Equivalents—4.3%</w:t>
            </w:r>
          </w:p>
        </w:tc>
        <w:tc>
          <w:tcPr>
            <w:tcW w:w="104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600" w:type="dxa"/>
            <w:vAlign w:val="bottom"/>
          </w:tcPr>
          <w:p>
            <w:pPr>
              <w:spacing w:after="0"/>
              <w:rPr>
                <w:sz w:val="20"/>
                <w:szCs w:val="20"/>
                <w:color w:val="auto"/>
              </w:rPr>
            </w:pPr>
            <w:r>
              <w:rPr>
                <w:rFonts w:ascii="Arial" w:cs="Arial" w:eastAsia="Arial" w:hAnsi="Arial"/>
                <w:sz w:val="13"/>
                <w:szCs w:val="13"/>
                <w:color w:val="auto"/>
              </w:rPr>
              <w:t>BlackRock Liquidity Funds, Temp Cash, Institutional Shares</w:t>
            </w:r>
          </w:p>
        </w:tc>
        <w:tc>
          <w:tcPr>
            <w:tcW w:w="10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3"/>
                <w:szCs w:val="13"/>
                <w:color w:val="auto"/>
              </w:rPr>
              <w:t>924,316</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3"/>
                <w:szCs w:val="13"/>
                <w:color w:val="auto"/>
              </w:rPr>
              <w:t>924,316</w:t>
            </w:r>
          </w:p>
        </w:tc>
        <w:tc>
          <w:tcPr>
            <w:tcW w:w="0" w:type="dxa"/>
            <w:vAlign w:val="bottom"/>
          </w:tcPr>
          <w:p>
            <w:pPr>
              <w:spacing w:after="0"/>
              <w:rPr>
                <w:sz w:val="1"/>
                <w:szCs w:val="1"/>
                <w:color w:val="auto"/>
              </w:rPr>
            </w:pPr>
          </w:p>
        </w:tc>
      </w:tr>
      <w:tr>
        <w:trPr>
          <w:trHeight w:val="148"/>
        </w:trPr>
        <w:tc>
          <w:tcPr>
            <w:tcW w:w="4600" w:type="dxa"/>
            <w:vAlign w:val="bottom"/>
            <w:shd w:val="clear" w:color="auto" w:fill="CCEEFF"/>
          </w:tcPr>
          <w:p>
            <w:pPr>
              <w:spacing w:after="0"/>
              <w:rPr>
                <w:sz w:val="20"/>
                <w:szCs w:val="20"/>
                <w:color w:val="auto"/>
              </w:rPr>
            </w:pPr>
            <w:r>
              <w:rPr>
                <w:rFonts w:ascii="Arial" w:cs="Arial" w:eastAsia="Arial" w:hAnsi="Arial"/>
                <w:sz w:val="13"/>
                <w:szCs w:val="13"/>
                <w:color w:val="auto"/>
              </w:rPr>
              <w:t>BNY Mellon Cash Reserve</w:t>
            </w:r>
          </w:p>
        </w:tc>
        <w:tc>
          <w:tcPr>
            <w:tcW w:w="104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29,879,319</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29,879,319</w:t>
            </w:r>
          </w:p>
        </w:tc>
        <w:tc>
          <w:tcPr>
            <w:tcW w:w="0" w:type="dxa"/>
            <w:vAlign w:val="bottom"/>
          </w:tcPr>
          <w:p>
            <w:pPr>
              <w:spacing w:after="0"/>
              <w:rPr>
                <w:sz w:val="1"/>
                <w:szCs w:val="1"/>
                <w:color w:val="auto"/>
              </w:rPr>
            </w:pPr>
          </w:p>
        </w:tc>
      </w:tr>
      <w:tr>
        <w:trPr>
          <w:trHeight w:val="163"/>
        </w:trPr>
        <w:tc>
          <w:tcPr>
            <w:tcW w:w="4600" w:type="dxa"/>
            <w:vAlign w:val="bottom"/>
          </w:tcPr>
          <w:p>
            <w:pPr>
              <w:spacing w:after="0"/>
              <w:rPr>
                <w:sz w:val="20"/>
                <w:szCs w:val="20"/>
                <w:color w:val="auto"/>
              </w:rPr>
            </w:pPr>
            <w:r>
              <w:rPr>
                <w:rFonts w:ascii="Arial" w:cs="Arial" w:eastAsia="Arial" w:hAnsi="Arial"/>
                <w:sz w:val="13"/>
                <w:szCs w:val="13"/>
                <w:b w:val="1"/>
                <w:bCs w:val="1"/>
                <w:color w:val="auto"/>
              </w:rPr>
              <w:t>Total Cash and Cash Equivalents</w:t>
            </w:r>
          </w:p>
        </w:tc>
        <w:tc>
          <w:tcPr>
            <w:tcW w:w="10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Borders>
              <w:top w:val="single" w:sz="8" w:color="auto"/>
              <w:bottom w:val="single" w:sz="8" w:color="auto"/>
            </w:tcBorders>
          </w:tcPr>
          <w:p>
            <w:pPr>
              <w:spacing w:after="0"/>
              <w:rPr>
                <w:sz w:val="14"/>
                <w:szCs w:val="14"/>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30,803,635</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Borders>
              <w:top w:val="single" w:sz="8" w:color="auto"/>
              <w:bottom w:val="single" w:sz="8" w:color="auto"/>
            </w:tcBorders>
          </w:tcPr>
          <w:p>
            <w:pPr>
              <w:spacing w:after="0"/>
              <w:rPr>
                <w:sz w:val="14"/>
                <w:szCs w:val="14"/>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30,803,635</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60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Total Investments and Cash Equivalents—172.5%</w:t>
            </w:r>
          </w:p>
        </w:tc>
        <w:tc>
          <w:tcPr>
            <w:tcW w:w="104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3"/>
                <w:szCs w:val="13"/>
                <w:u w:val="single" w:color="auto"/>
                <w:color w:val="auto"/>
              </w:rPr>
              <w:t>$</w:t>
            </w: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w w:val="86"/>
              </w:rPr>
              <w:t>1,238,690,664</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w w:val="84"/>
              </w:rPr>
              <w:t>1,240,085,057</w:t>
            </w:r>
          </w:p>
        </w:tc>
        <w:tc>
          <w:tcPr>
            <w:tcW w:w="0" w:type="dxa"/>
            <w:vAlign w:val="bottom"/>
          </w:tcPr>
          <w:p>
            <w:pPr>
              <w:spacing w:after="0"/>
              <w:rPr>
                <w:sz w:val="1"/>
                <w:szCs w:val="1"/>
                <w:color w:val="auto"/>
              </w:rPr>
            </w:pPr>
          </w:p>
        </w:tc>
      </w:tr>
      <w:tr>
        <w:trPr>
          <w:trHeight w:val="20"/>
        </w:trPr>
        <w:tc>
          <w:tcPr>
            <w:tcW w:w="4600" w:type="dxa"/>
            <w:vAlign w:val="bottom"/>
            <w:vMerge w:val="restart"/>
          </w:tcPr>
          <w:p>
            <w:pPr>
              <w:spacing w:after="0"/>
              <w:rPr>
                <w:sz w:val="20"/>
                <w:szCs w:val="20"/>
                <w:color w:val="auto"/>
              </w:rPr>
            </w:pPr>
            <w:r>
              <w:rPr>
                <w:rFonts w:ascii="Arial" w:cs="Arial" w:eastAsia="Arial" w:hAnsi="Arial"/>
                <w:sz w:val="13"/>
                <w:szCs w:val="13"/>
                <w:b w:val="1"/>
                <w:bCs w:val="1"/>
                <w:color w:val="auto"/>
              </w:rPr>
              <w:t>Liabilities in Excess of Other Assets—(72.5%)</w:t>
            </w:r>
          </w:p>
        </w:tc>
        <w:tc>
          <w:tcPr>
            <w:tcW w:w="10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740" w:type="dxa"/>
            <w:vAlign w:val="bottom"/>
            <w:tcBorders>
              <w:top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4600" w:type="dxa"/>
            <w:vAlign w:val="bottom"/>
            <w:vMerge w:val="continue"/>
          </w:tcPr>
          <w:p>
            <w:pPr>
              <w:spacing w:after="0"/>
              <w:rPr>
                <w:sz w:val="12"/>
                <w:szCs w:val="12"/>
                <w:color w:val="auto"/>
              </w:rPr>
            </w:pPr>
          </w:p>
        </w:tc>
        <w:tc>
          <w:tcPr>
            <w:tcW w:w="10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3"/>
                <w:szCs w:val="13"/>
                <w:color w:val="auto"/>
                <w:w w:val="86"/>
              </w:rPr>
              <w:t>(521,219,870)</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60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Net Assets—100.0%</w:t>
            </w:r>
          </w:p>
        </w:tc>
        <w:tc>
          <w:tcPr>
            <w:tcW w:w="104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w w:val="96"/>
              </w:rPr>
              <w:t>718,865,187</w:t>
            </w:r>
          </w:p>
        </w:tc>
        <w:tc>
          <w:tcPr>
            <w:tcW w:w="0" w:type="dxa"/>
            <w:vAlign w:val="bottom"/>
          </w:tcPr>
          <w:p>
            <w:pPr>
              <w:spacing w:after="0"/>
              <w:rPr>
                <w:sz w:val="1"/>
                <w:szCs w:val="1"/>
                <w:color w:val="auto"/>
              </w:rPr>
            </w:pPr>
          </w:p>
        </w:tc>
      </w:tr>
      <w:tr>
        <w:trPr>
          <w:trHeight w:val="20"/>
        </w:trPr>
        <w:tc>
          <w:tcPr>
            <w:tcW w:w="46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240"/>
          </w:cols>
          <w:pgMar w:left="320" w:top="459" w:right="3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PENNANTPARK INVESTMENT CORPORATION AND SUBSIDIARIES</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CONSOLIDATED SCHEDULE OF INVESTMENTS—(Continued)</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DECEMBER 31, 2013</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186055</wp:posOffset>
            </wp:positionV>
            <wp:extent cx="71120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1200" cy="8255"/>
                    </a:xfrm>
                    <a:prstGeom prst="rect">
                      <a:avLst/>
                    </a:prstGeom>
                    <a:noFill/>
                  </pic:spPr>
                </pic:pic>
              </a:graphicData>
            </a:graphic>
          </wp:anchor>
        </w:drawing>
      </w:r>
    </w:p>
    <w:p>
      <w:pPr>
        <w:spacing w:after="0" w:line="308" w:lineRule="exact"/>
        <w:rPr>
          <w:sz w:val="20"/>
          <w:szCs w:val="20"/>
          <w:color w:val="auto"/>
        </w:rPr>
      </w:pPr>
    </w:p>
    <w:p>
      <w:pPr>
        <w:ind w:left="340" w:right="140" w:hanging="260"/>
        <w:spacing w:after="0" w:line="248" w:lineRule="auto"/>
        <w:tabs>
          <w:tab w:leader="none" w:pos="340" w:val="left"/>
        </w:tabs>
        <w:numPr>
          <w:ilvl w:val="0"/>
          <w:numId w:val="3"/>
        </w:numPr>
        <w:rPr>
          <w:rFonts w:ascii="Arial" w:cs="Arial" w:eastAsia="Arial" w:hAnsi="Arial"/>
          <w:sz w:val="13"/>
          <w:szCs w:val="13"/>
          <w:color w:val="auto"/>
        </w:rPr>
      </w:pPr>
      <w:r>
        <w:rPr>
          <w:rFonts w:ascii="Arial" w:cs="Arial" w:eastAsia="Arial" w:hAnsi="Arial"/>
          <w:sz w:val="13"/>
          <w:szCs w:val="13"/>
          <w:color w:val="auto"/>
        </w:rPr>
        <w:t>The provisions of the 1940 Act classify investments based on the level of control that we maintain in a particular portfolio company. As defined in the 1940 Act, a company is deemed as “non-controlled” when we own less than 25% of a portfolio company’s voting securities and “controlled” when we own 25% or more of a portfolio company’s voting securities.</w:t>
      </w:r>
    </w:p>
    <w:p>
      <w:pPr>
        <w:ind w:left="340" w:right="60" w:hanging="260"/>
        <w:spacing w:after="0" w:line="221" w:lineRule="auto"/>
        <w:tabs>
          <w:tab w:leader="none" w:pos="340" w:val="left"/>
        </w:tabs>
        <w:numPr>
          <w:ilvl w:val="0"/>
          <w:numId w:val="3"/>
        </w:numPr>
        <w:rPr>
          <w:rFonts w:ascii="Arial" w:cs="Arial" w:eastAsia="Arial" w:hAnsi="Arial"/>
          <w:sz w:val="14"/>
          <w:szCs w:val="14"/>
          <w:color w:val="auto"/>
        </w:rPr>
      </w:pPr>
      <w:r>
        <w:rPr>
          <w:rFonts w:ascii="Arial" w:cs="Arial" w:eastAsia="Arial" w:hAnsi="Arial"/>
          <w:sz w:val="14"/>
          <w:szCs w:val="14"/>
          <w:color w:val="auto"/>
        </w:rPr>
        <w:t>The provisions of the 1940 Act classify investments further based on the level of ownership that we maintain in a particular portfolio company. As defined in the 1940 Act, a company is deemed as “non-affiliated” when we own less than 5% of a portfolio company’s voting securities and “affiliated” when we own 5% or more of a portfolio company’s voting securities (see Note 6).</w:t>
      </w:r>
    </w:p>
    <w:p>
      <w:pPr>
        <w:ind w:left="340" w:hanging="260"/>
        <w:spacing w:after="0" w:line="221" w:lineRule="auto"/>
        <w:tabs>
          <w:tab w:leader="none" w:pos="340" w:val="left"/>
        </w:tabs>
        <w:numPr>
          <w:ilvl w:val="0"/>
          <w:numId w:val="3"/>
        </w:numPr>
        <w:rPr>
          <w:rFonts w:ascii="Arial" w:cs="Arial" w:eastAsia="Arial" w:hAnsi="Arial"/>
          <w:sz w:val="14"/>
          <w:szCs w:val="14"/>
          <w:color w:val="auto"/>
        </w:rPr>
      </w:pPr>
      <w:r>
        <w:rPr>
          <w:rFonts w:ascii="Arial" w:cs="Arial" w:eastAsia="Arial" w:hAnsi="Arial"/>
          <w:sz w:val="14"/>
          <w:szCs w:val="14"/>
          <w:color w:val="auto"/>
        </w:rPr>
        <w:t>Valued based on our accounting policy (see Note 2).</w:t>
      </w:r>
    </w:p>
    <w:p>
      <w:pPr>
        <w:ind w:left="340" w:hanging="260"/>
        <w:spacing w:after="0" w:line="221" w:lineRule="auto"/>
        <w:tabs>
          <w:tab w:leader="none" w:pos="340" w:val="left"/>
        </w:tabs>
        <w:numPr>
          <w:ilvl w:val="0"/>
          <w:numId w:val="3"/>
        </w:numPr>
        <w:rPr>
          <w:rFonts w:ascii="Arial" w:cs="Arial" w:eastAsia="Arial" w:hAnsi="Arial"/>
          <w:sz w:val="14"/>
          <w:szCs w:val="14"/>
          <w:color w:val="auto"/>
        </w:rPr>
      </w:pPr>
      <w:r>
        <w:rPr>
          <w:rFonts w:ascii="Arial" w:cs="Arial" w:eastAsia="Arial" w:hAnsi="Arial"/>
          <w:sz w:val="14"/>
          <w:szCs w:val="14"/>
          <w:color w:val="auto"/>
        </w:rPr>
        <w:t>Represents floating rate instruments that accrue interest at a predetermined spread relative to an index, typically the applicable London InterBank Offered Rate, or LIBOR, or “L” or Prime, or “P” rate.</w:t>
      </w:r>
    </w:p>
    <w:p>
      <w:pPr>
        <w:ind w:left="340" w:right="100" w:hanging="260"/>
        <w:spacing w:after="0" w:line="221" w:lineRule="auto"/>
        <w:tabs>
          <w:tab w:leader="none" w:pos="340" w:val="left"/>
        </w:tabs>
        <w:numPr>
          <w:ilvl w:val="0"/>
          <w:numId w:val="3"/>
        </w:numPr>
        <w:rPr>
          <w:rFonts w:ascii="Arial" w:cs="Arial" w:eastAsia="Arial" w:hAnsi="Arial"/>
          <w:sz w:val="14"/>
          <w:szCs w:val="14"/>
          <w:color w:val="auto"/>
        </w:rPr>
      </w:pPr>
      <w:r>
        <w:rPr>
          <w:rFonts w:ascii="Arial" w:cs="Arial" w:eastAsia="Arial" w:hAnsi="Arial"/>
          <w:sz w:val="14"/>
          <w:szCs w:val="14"/>
          <w:color w:val="auto"/>
        </w:rPr>
        <w:t>Security is exempt from registration under Rule 144A promulgated under the Securities Act of 1933, as amended, or the Securities Act. The security may be resold in transactions that are exempt from registration, normally to qualified institutional buyers.</w:t>
      </w:r>
    </w:p>
    <w:p>
      <w:pPr>
        <w:ind w:left="340" w:hanging="260"/>
        <w:spacing w:after="0" w:line="221" w:lineRule="auto"/>
        <w:tabs>
          <w:tab w:leader="none" w:pos="340" w:val="left"/>
        </w:tabs>
        <w:numPr>
          <w:ilvl w:val="0"/>
          <w:numId w:val="3"/>
        </w:numPr>
        <w:rPr>
          <w:rFonts w:ascii="Arial" w:cs="Arial" w:eastAsia="Arial" w:hAnsi="Arial"/>
          <w:sz w:val="14"/>
          <w:szCs w:val="14"/>
          <w:color w:val="auto"/>
        </w:rPr>
      </w:pPr>
      <w:r>
        <w:rPr>
          <w:rFonts w:ascii="Arial" w:cs="Arial" w:eastAsia="Arial" w:hAnsi="Arial"/>
          <w:sz w:val="14"/>
          <w:szCs w:val="14"/>
          <w:color w:val="auto"/>
        </w:rPr>
        <w:t>Non-income producing securities.</w:t>
      </w:r>
    </w:p>
    <w:p>
      <w:pPr>
        <w:ind w:left="340" w:hanging="260"/>
        <w:spacing w:after="0" w:line="221" w:lineRule="auto"/>
        <w:tabs>
          <w:tab w:leader="none" w:pos="340" w:val="left"/>
        </w:tabs>
        <w:numPr>
          <w:ilvl w:val="0"/>
          <w:numId w:val="3"/>
        </w:numPr>
        <w:rPr>
          <w:rFonts w:ascii="Arial" w:cs="Arial" w:eastAsia="Arial" w:hAnsi="Arial"/>
          <w:sz w:val="14"/>
          <w:szCs w:val="14"/>
          <w:color w:val="auto"/>
        </w:rPr>
      </w:pPr>
      <w:r>
        <w:rPr>
          <w:rFonts w:ascii="Arial" w:cs="Arial" w:eastAsia="Arial" w:hAnsi="Arial"/>
          <w:sz w:val="14"/>
          <w:szCs w:val="14"/>
          <w:color w:val="auto"/>
        </w:rPr>
        <w:t>Coupon is payable in cash and/or payment-in-kind or PIK.</w:t>
      </w:r>
    </w:p>
    <w:p>
      <w:pPr>
        <w:ind w:left="340" w:hanging="260"/>
        <w:spacing w:after="0" w:line="221" w:lineRule="auto"/>
        <w:tabs>
          <w:tab w:leader="none" w:pos="340" w:val="left"/>
        </w:tabs>
        <w:numPr>
          <w:ilvl w:val="0"/>
          <w:numId w:val="3"/>
        </w:numPr>
        <w:rPr>
          <w:rFonts w:ascii="Arial" w:cs="Arial" w:eastAsia="Arial" w:hAnsi="Arial"/>
          <w:sz w:val="14"/>
          <w:szCs w:val="14"/>
          <w:color w:val="auto"/>
        </w:rPr>
      </w:pPr>
      <w:r>
        <w:rPr>
          <w:rFonts w:ascii="Arial" w:cs="Arial" w:eastAsia="Arial" w:hAnsi="Arial"/>
          <w:sz w:val="14"/>
          <w:szCs w:val="14"/>
          <w:color w:val="auto"/>
        </w:rPr>
        <w:t>Coupon is subject to a LIBOR or Prime rate floor.</w:t>
      </w:r>
    </w:p>
    <w:p>
      <w:pPr>
        <w:ind w:left="340" w:hanging="260"/>
        <w:spacing w:after="0" w:line="221" w:lineRule="auto"/>
        <w:tabs>
          <w:tab w:leader="none" w:pos="340" w:val="left"/>
        </w:tabs>
        <w:numPr>
          <w:ilvl w:val="0"/>
          <w:numId w:val="3"/>
        </w:numPr>
        <w:rPr>
          <w:rFonts w:ascii="Arial" w:cs="Arial" w:eastAsia="Arial" w:hAnsi="Arial"/>
          <w:sz w:val="14"/>
          <w:szCs w:val="14"/>
          <w:color w:val="auto"/>
        </w:rPr>
      </w:pPr>
      <w:r>
        <w:rPr>
          <w:rFonts w:ascii="Arial" w:cs="Arial" w:eastAsia="Arial" w:hAnsi="Arial"/>
          <w:sz w:val="14"/>
          <w:szCs w:val="14"/>
          <w:color w:val="auto"/>
        </w:rPr>
        <w:t>Represents the purchase of a security with delayed settlement (unfunded investments). This security does not have a basis point spread above an index.</w:t>
      </w:r>
    </w:p>
    <w:p>
      <w:pPr>
        <w:ind w:left="340" w:hanging="332"/>
        <w:spacing w:after="0" w:line="221" w:lineRule="auto"/>
        <w:tabs>
          <w:tab w:leader="none" w:pos="340" w:val="left"/>
        </w:tabs>
        <w:numPr>
          <w:ilvl w:val="0"/>
          <w:numId w:val="3"/>
        </w:numPr>
        <w:rPr>
          <w:rFonts w:ascii="Arial" w:cs="Arial" w:eastAsia="Arial" w:hAnsi="Arial"/>
          <w:sz w:val="14"/>
          <w:szCs w:val="14"/>
          <w:color w:val="auto"/>
        </w:rPr>
      </w:pPr>
      <w:r>
        <w:rPr>
          <w:rFonts w:ascii="Arial" w:cs="Arial" w:eastAsia="Arial" w:hAnsi="Arial"/>
          <w:sz w:val="14"/>
          <w:szCs w:val="14"/>
          <w:color w:val="auto"/>
        </w:rPr>
        <w:t>Non-U.S. company or principal place of business outside the U.S.</w:t>
      </w:r>
    </w:p>
    <w:p>
      <w:pPr>
        <w:ind w:left="340" w:hanging="332"/>
        <w:spacing w:after="0" w:line="221" w:lineRule="auto"/>
        <w:tabs>
          <w:tab w:leader="none" w:pos="340" w:val="left"/>
        </w:tabs>
        <w:numPr>
          <w:ilvl w:val="0"/>
          <w:numId w:val="3"/>
        </w:numPr>
        <w:rPr>
          <w:rFonts w:ascii="Arial" w:cs="Arial" w:eastAsia="Arial" w:hAnsi="Arial"/>
          <w:sz w:val="14"/>
          <w:szCs w:val="14"/>
          <w:color w:val="auto"/>
        </w:rPr>
      </w:pPr>
      <w:r>
        <w:rPr>
          <w:rFonts w:ascii="Arial" w:cs="Arial" w:eastAsia="Arial" w:hAnsi="Arial"/>
          <w:sz w:val="14"/>
          <w:szCs w:val="14"/>
          <w:color w:val="auto"/>
        </w:rPr>
        <w:t>Investment is held through PNNT CI (Galls) Prime Investment Holdings, LLC, a consolidated subsidiary.</w:t>
      </w:r>
    </w:p>
    <w:p>
      <w:pPr>
        <w:ind w:left="340" w:hanging="332"/>
        <w:spacing w:after="0" w:line="221" w:lineRule="auto"/>
        <w:tabs>
          <w:tab w:leader="none" w:pos="340" w:val="left"/>
        </w:tabs>
        <w:numPr>
          <w:ilvl w:val="0"/>
          <w:numId w:val="3"/>
        </w:numPr>
        <w:rPr>
          <w:rFonts w:ascii="Arial" w:cs="Arial" w:eastAsia="Arial" w:hAnsi="Arial"/>
          <w:sz w:val="14"/>
          <w:szCs w:val="14"/>
          <w:color w:val="auto"/>
        </w:rPr>
      </w:pPr>
      <w:r>
        <w:rPr>
          <w:rFonts w:ascii="Arial" w:cs="Arial" w:eastAsia="Arial" w:hAnsi="Arial"/>
          <w:sz w:val="14"/>
          <w:szCs w:val="14"/>
          <w:color w:val="auto"/>
        </w:rPr>
        <w:t>Investment is held through PNNT Acentia LLC, a consolidated subsidiary.</w:t>
      </w:r>
    </w:p>
    <w:p>
      <w:pPr>
        <w:ind w:left="340" w:hanging="332"/>
        <w:spacing w:after="0" w:line="221" w:lineRule="auto"/>
        <w:tabs>
          <w:tab w:leader="none" w:pos="340" w:val="left"/>
        </w:tabs>
        <w:numPr>
          <w:ilvl w:val="0"/>
          <w:numId w:val="3"/>
        </w:numPr>
        <w:rPr>
          <w:rFonts w:ascii="Arial" w:cs="Arial" w:eastAsia="Arial" w:hAnsi="Arial"/>
          <w:sz w:val="14"/>
          <w:szCs w:val="14"/>
          <w:color w:val="auto"/>
        </w:rPr>
      </w:pPr>
      <w:r>
        <w:rPr>
          <w:rFonts w:ascii="Arial" w:cs="Arial" w:eastAsia="Arial" w:hAnsi="Arial"/>
          <w:sz w:val="14"/>
          <w:szCs w:val="14"/>
          <w:color w:val="auto"/>
        </w:rPr>
        <w:t>Investment is held through PNNT Transportation 100 Holdco, L.L.C., a consolidated subsidiary.</w:t>
      </w:r>
    </w:p>
    <w:p>
      <w:pPr>
        <w:ind w:left="340" w:hanging="332"/>
        <w:spacing w:after="0"/>
        <w:tabs>
          <w:tab w:leader="none" w:pos="340" w:val="left"/>
        </w:tabs>
        <w:numPr>
          <w:ilvl w:val="0"/>
          <w:numId w:val="3"/>
        </w:numPr>
        <w:rPr>
          <w:rFonts w:ascii="Arial" w:cs="Arial" w:eastAsia="Arial" w:hAnsi="Arial"/>
          <w:sz w:val="14"/>
          <w:szCs w:val="14"/>
          <w:color w:val="auto"/>
        </w:rPr>
      </w:pPr>
      <w:r>
        <w:rPr>
          <w:rFonts w:ascii="Arial" w:cs="Arial" w:eastAsia="Arial" w:hAnsi="Arial"/>
          <w:sz w:val="14"/>
          <w:szCs w:val="14"/>
          <w:color w:val="auto"/>
        </w:rPr>
        <w:t>Investment is held through PNNT CI (FBM) Holdings, LLC, a consolidated subsidiary.</w:t>
      </w:r>
    </w:p>
    <w:p>
      <w:pPr>
        <w:spacing w:after="0" w:line="19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SEE NOTES TO CONSOLIDATED FINANCIAL STATEMENTS</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160"/>
          </w:cols>
          <w:pgMar w:left="320" w:top="459" w:right="41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left="340" w:right="2720"/>
        <w:spacing w:after="0" w:line="266" w:lineRule="auto"/>
        <w:rPr>
          <w:sz w:val="20"/>
          <w:szCs w:val="20"/>
          <w:color w:val="auto"/>
        </w:rPr>
      </w:pPr>
      <w:r>
        <w:rPr>
          <w:rFonts w:ascii="Arial" w:cs="Arial" w:eastAsia="Arial" w:hAnsi="Arial"/>
          <w:sz w:val="18"/>
          <w:szCs w:val="18"/>
          <w:b w:val="1"/>
          <w:bCs w:val="1"/>
          <w:color w:val="auto"/>
        </w:rPr>
        <w:t>PENNANTPARK INVESTMENT CORPORATION AND SUBSIDIARIES CONSOLIDATED SCHEDULE OF INVESTMENTS SEPTEMBER 30, 2013</w:t>
      </w:r>
    </w:p>
    <w:p>
      <w:pPr>
        <w:spacing w:after="0" w:line="9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4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80" w:type="dxa"/>
            <w:vAlign w:val="bottom"/>
          </w:tcPr>
          <w:p>
            <w:pPr>
              <w:jc w:val="center"/>
              <w:spacing w:after="0"/>
              <w:rPr>
                <w:sz w:val="20"/>
                <w:szCs w:val="20"/>
                <w:color w:val="auto"/>
              </w:rPr>
            </w:pPr>
            <w:r>
              <w:rPr>
                <w:rFonts w:ascii="Arial" w:cs="Arial" w:eastAsia="Arial" w:hAnsi="Arial"/>
                <w:sz w:val="14"/>
                <w:szCs w:val="14"/>
                <w:b w:val="1"/>
                <w:bCs w:val="1"/>
                <w:color w:val="auto"/>
                <w:w w:val="91"/>
              </w:rPr>
              <w:t>Basis Point</w:t>
            </w:r>
          </w:p>
        </w:tc>
        <w:tc>
          <w:tcPr>
            <w:tcW w:w="2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34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940" w:type="dxa"/>
            <w:vAlign w:val="bottom"/>
            <w:vMerge w:val="restart"/>
          </w:tcPr>
          <w:p>
            <w:pPr>
              <w:jc w:val="right"/>
              <w:ind w:right="268"/>
              <w:spacing w:after="0"/>
              <w:rPr>
                <w:sz w:val="20"/>
                <w:szCs w:val="20"/>
                <w:color w:val="auto"/>
              </w:rPr>
            </w:pPr>
            <w:r>
              <w:rPr>
                <w:rFonts w:ascii="Arial" w:cs="Arial" w:eastAsia="Arial" w:hAnsi="Arial"/>
                <w:sz w:val="14"/>
                <w:szCs w:val="14"/>
                <w:b w:val="1"/>
                <w:bCs w:val="1"/>
                <w:color w:val="auto"/>
              </w:rPr>
              <w:t>Current</w:t>
            </w:r>
          </w:p>
        </w:tc>
        <w:tc>
          <w:tcPr>
            <w:tcW w:w="7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Spread</w:t>
            </w:r>
          </w:p>
        </w:tc>
        <w:tc>
          <w:tcPr>
            <w:tcW w:w="240" w:type="dxa"/>
            <w:vAlign w:val="bottom"/>
          </w:tcPr>
          <w:p>
            <w:pPr>
              <w:spacing w:after="0"/>
              <w:rPr>
                <w:sz w:val="12"/>
                <w:szCs w:val="12"/>
                <w:color w:val="auto"/>
              </w:rPr>
            </w:pPr>
          </w:p>
        </w:tc>
        <w:tc>
          <w:tcPr>
            <w:tcW w:w="90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8"/>
              </w:rPr>
              <w:t>Par /</w:t>
            </w: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420" w:type="dxa"/>
            <w:vAlign w:val="bottom"/>
            <w:vMerge w:val="restart"/>
          </w:tcPr>
          <w:p>
            <w:pPr>
              <w:spacing w:after="0"/>
              <w:rPr>
                <w:sz w:val="20"/>
                <w:szCs w:val="20"/>
                <w:color w:val="auto"/>
              </w:rPr>
            </w:pPr>
            <w:r>
              <w:rPr>
                <w:rFonts w:ascii="Arial" w:cs="Arial" w:eastAsia="Arial" w:hAnsi="Arial"/>
                <w:sz w:val="14"/>
                <w:szCs w:val="14"/>
                <w:b w:val="1"/>
                <w:bCs w:val="1"/>
                <w:color w:val="auto"/>
              </w:rPr>
              <w:t>Issuer Name</w:t>
            </w:r>
          </w:p>
        </w:tc>
        <w:tc>
          <w:tcPr>
            <w:tcW w:w="1000" w:type="dxa"/>
            <w:vAlign w:val="bottom"/>
            <w:vMerge w:val="restart"/>
          </w:tcPr>
          <w:p>
            <w:pPr>
              <w:ind w:left="300"/>
              <w:spacing w:after="0"/>
              <w:rPr>
                <w:sz w:val="20"/>
                <w:szCs w:val="20"/>
                <w:color w:val="auto"/>
              </w:rPr>
            </w:pPr>
            <w:r>
              <w:rPr>
                <w:rFonts w:ascii="Arial" w:cs="Arial" w:eastAsia="Arial" w:hAnsi="Arial"/>
                <w:sz w:val="14"/>
                <w:szCs w:val="14"/>
                <w:b w:val="1"/>
                <w:bCs w:val="1"/>
                <w:color w:val="auto"/>
              </w:rPr>
              <w:t>Maturity</w:t>
            </w:r>
          </w:p>
        </w:tc>
        <w:tc>
          <w:tcPr>
            <w:tcW w:w="2060" w:type="dxa"/>
            <w:vAlign w:val="bottom"/>
            <w:vMerge w:val="restart"/>
          </w:tcPr>
          <w:p>
            <w:pPr>
              <w:jc w:val="center"/>
              <w:ind w:right="8"/>
              <w:spacing w:after="0"/>
              <w:rPr>
                <w:sz w:val="20"/>
                <w:szCs w:val="20"/>
                <w:color w:val="auto"/>
              </w:rPr>
            </w:pPr>
            <w:r>
              <w:rPr>
                <w:rFonts w:ascii="Arial" w:cs="Arial" w:eastAsia="Arial" w:hAnsi="Arial"/>
                <w:sz w:val="14"/>
                <w:szCs w:val="14"/>
                <w:b w:val="1"/>
                <w:bCs w:val="1"/>
                <w:color w:val="auto"/>
                <w:w w:val="97"/>
              </w:rPr>
              <w:t>Industry</w:t>
            </w:r>
          </w:p>
        </w:tc>
        <w:tc>
          <w:tcPr>
            <w:tcW w:w="940" w:type="dxa"/>
            <w:vAlign w:val="bottom"/>
            <w:vMerge w:val="continue"/>
          </w:tcPr>
          <w:p>
            <w:pPr>
              <w:spacing w:after="0"/>
              <w:rPr>
                <w:sz w:val="12"/>
                <w:szCs w:val="12"/>
                <w:color w:val="auto"/>
              </w:rPr>
            </w:pPr>
          </w:p>
        </w:tc>
        <w:tc>
          <w:tcPr>
            <w:tcW w:w="7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Above</w:t>
            </w:r>
          </w:p>
        </w:tc>
        <w:tc>
          <w:tcPr>
            <w:tcW w:w="240" w:type="dxa"/>
            <w:vAlign w:val="bottom"/>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900" w:type="dxa"/>
            <w:vAlign w:val="bottom"/>
            <w:gridSpan w:val="2"/>
            <w:vMerge w:val="restart"/>
          </w:tcPr>
          <w:p>
            <w:pPr>
              <w:jc w:val="right"/>
              <w:ind w:right="340"/>
              <w:spacing w:after="0"/>
              <w:rPr>
                <w:sz w:val="20"/>
                <w:szCs w:val="20"/>
                <w:color w:val="auto"/>
              </w:rPr>
            </w:pPr>
            <w:r>
              <w:rPr>
                <w:rFonts w:ascii="Arial" w:cs="Arial" w:eastAsia="Arial" w:hAnsi="Arial"/>
                <w:sz w:val="14"/>
                <w:szCs w:val="14"/>
                <w:b w:val="1"/>
                <w:bCs w:val="1"/>
                <w:color w:val="auto"/>
              </w:rPr>
              <w:t>Cost</w:t>
            </w:r>
          </w:p>
        </w:tc>
        <w:tc>
          <w:tcPr>
            <w:tcW w:w="100" w:type="dxa"/>
            <w:vAlign w:val="bottom"/>
          </w:tcPr>
          <w:p>
            <w:pPr>
              <w:spacing w:after="0"/>
              <w:rPr>
                <w:sz w:val="12"/>
                <w:szCs w:val="12"/>
                <w:color w:val="auto"/>
              </w:rPr>
            </w:pPr>
          </w:p>
        </w:tc>
        <w:tc>
          <w:tcPr>
            <w:tcW w:w="9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 xml:space="preserve">Fair Value </w:t>
            </w:r>
            <w:r>
              <w:rPr>
                <w:rFonts w:ascii="Arial" w:cs="Arial" w:eastAsia="Arial" w:hAnsi="Arial"/>
                <w:sz w:val="12"/>
                <w:szCs w:val="12"/>
                <w:b w:val="1"/>
                <w:bCs w:val="1"/>
                <w:color w:val="auto"/>
              </w:rPr>
              <w:t>(3)</w:t>
            </w:r>
          </w:p>
        </w:tc>
        <w:tc>
          <w:tcPr>
            <w:tcW w:w="0" w:type="dxa"/>
            <w:vAlign w:val="bottom"/>
          </w:tcPr>
          <w:p>
            <w:pPr>
              <w:spacing w:after="0"/>
              <w:rPr>
                <w:sz w:val="1"/>
                <w:szCs w:val="1"/>
                <w:color w:val="auto"/>
              </w:rPr>
            </w:pPr>
          </w:p>
        </w:tc>
      </w:tr>
      <w:tr>
        <w:trPr>
          <w:trHeight w:val="171"/>
        </w:trPr>
        <w:tc>
          <w:tcPr>
            <w:tcW w:w="3420" w:type="dxa"/>
            <w:vAlign w:val="bottom"/>
            <w:vMerge w:val="continue"/>
          </w:tcPr>
          <w:p>
            <w:pPr>
              <w:spacing w:after="0"/>
              <w:rPr>
                <w:sz w:val="14"/>
                <w:szCs w:val="14"/>
                <w:color w:val="auto"/>
              </w:rPr>
            </w:pPr>
          </w:p>
        </w:tc>
        <w:tc>
          <w:tcPr>
            <w:tcW w:w="1000" w:type="dxa"/>
            <w:vAlign w:val="bottom"/>
            <w:vMerge w:val="continue"/>
          </w:tcPr>
          <w:p>
            <w:pPr>
              <w:spacing w:after="0"/>
              <w:rPr>
                <w:sz w:val="14"/>
                <w:szCs w:val="14"/>
                <w:color w:val="auto"/>
              </w:rPr>
            </w:pPr>
          </w:p>
        </w:tc>
        <w:tc>
          <w:tcPr>
            <w:tcW w:w="2060" w:type="dxa"/>
            <w:vAlign w:val="bottom"/>
            <w:vMerge w:val="continue"/>
          </w:tcPr>
          <w:p>
            <w:pPr>
              <w:spacing w:after="0"/>
              <w:rPr>
                <w:sz w:val="14"/>
                <w:szCs w:val="14"/>
                <w:color w:val="auto"/>
              </w:rPr>
            </w:pPr>
          </w:p>
        </w:tc>
        <w:tc>
          <w:tcPr>
            <w:tcW w:w="940" w:type="dxa"/>
            <w:vAlign w:val="bottom"/>
          </w:tcPr>
          <w:p>
            <w:pPr>
              <w:jc w:val="right"/>
              <w:ind w:right="268"/>
              <w:spacing w:after="0"/>
              <w:rPr>
                <w:sz w:val="20"/>
                <w:szCs w:val="20"/>
                <w:color w:val="auto"/>
              </w:rPr>
            </w:pPr>
            <w:r>
              <w:rPr>
                <w:rFonts w:ascii="Arial" w:cs="Arial" w:eastAsia="Arial" w:hAnsi="Arial"/>
                <w:sz w:val="14"/>
                <w:szCs w:val="14"/>
                <w:b w:val="1"/>
                <w:bCs w:val="1"/>
                <w:color w:val="auto"/>
              </w:rPr>
              <w:t>Coupon</w:t>
            </w:r>
          </w:p>
        </w:tc>
        <w:tc>
          <w:tcPr>
            <w:tcW w:w="780" w:type="dxa"/>
            <w:vAlign w:val="bottom"/>
          </w:tcPr>
          <w:p>
            <w:pPr>
              <w:jc w:val="center"/>
              <w:spacing w:after="0"/>
              <w:rPr>
                <w:sz w:val="20"/>
                <w:szCs w:val="20"/>
                <w:color w:val="auto"/>
              </w:rPr>
            </w:pPr>
            <w:r>
              <w:rPr>
                <w:rFonts w:ascii="Arial" w:cs="Arial" w:eastAsia="Arial" w:hAnsi="Arial"/>
                <w:sz w:val="14"/>
                <w:szCs w:val="14"/>
                <w:b w:val="1"/>
                <w:bCs w:val="1"/>
                <w:color w:val="auto"/>
                <w:w w:val="97"/>
              </w:rPr>
              <w:t xml:space="preserve">Index </w:t>
            </w:r>
            <w:r>
              <w:rPr>
                <w:rFonts w:ascii="Arial" w:cs="Arial" w:eastAsia="Arial" w:hAnsi="Arial"/>
                <w:sz w:val="12"/>
                <w:szCs w:val="12"/>
                <w:b w:val="1"/>
                <w:bCs w:val="1"/>
                <w:color w:val="auto"/>
                <w:w w:val="97"/>
              </w:rPr>
              <w:t>(4)</w:t>
            </w:r>
          </w:p>
        </w:tc>
        <w:tc>
          <w:tcPr>
            <w:tcW w:w="240" w:type="dxa"/>
            <w:vAlign w:val="bottom"/>
          </w:tcPr>
          <w:p>
            <w:pPr>
              <w:spacing w:after="0"/>
              <w:rPr>
                <w:sz w:val="14"/>
                <w:szCs w:val="14"/>
                <w:color w:val="auto"/>
              </w:rPr>
            </w:pPr>
          </w:p>
        </w:tc>
        <w:tc>
          <w:tcPr>
            <w:tcW w:w="9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9"/>
              </w:rPr>
              <w:t>Shares</w:t>
            </w:r>
          </w:p>
        </w:tc>
        <w:tc>
          <w:tcPr>
            <w:tcW w:w="90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6480" w:type="dxa"/>
            <w:vAlign w:val="bottom"/>
            <w:tcBorders>
              <w:top w:val="single" w:sz="8" w:color="auto"/>
            </w:tcBorders>
            <w:gridSpan w:val="3"/>
            <w:shd w:val="clear" w:color="auto" w:fill="CCEEFF"/>
          </w:tcPr>
          <w:p>
            <w:pPr>
              <w:spacing w:after="0"/>
              <w:rPr>
                <w:sz w:val="20"/>
                <w:szCs w:val="20"/>
                <w:color w:val="auto"/>
              </w:rPr>
            </w:pPr>
            <w:r>
              <w:rPr>
                <w:rFonts w:ascii="Arial" w:cs="Arial" w:eastAsia="Arial" w:hAnsi="Arial"/>
                <w:sz w:val="14"/>
                <w:szCs w:val="14"/>
                <w:b w:val="1"/>
                <w:bCs w:val="1"/>
                <w:color w:val="auto"/>
              </w:rPr>
              <w:t>Investments in Non-Controlled, Non-Affiliated Portfolio Companies—138.9%</w:t>
            </w:r>
            <w:r>
              <w:rPr>
                <w:rFonts w:ascii="Arial" w:cs="Arial" w:eastAsia="Arial" w:hAnsi="Arial"/>
                <w:sz w:val="12"/>
                <w:szCs w:val="12"/>
                <w:b w:val="1"/>
                <w:bCs w:val="1"/>
                <w:color w:val="auto"/>
              </w:rPr>
              <w:t>(1),(2)</w:t>
            </w:r>
          </w:p>
        </w:tc>
        <w:tc>
          <w:tcPr>
            <w:tcW w:w="940" w:type="dxa"/>
            <w:vAlign w:val="bottom"/>
            <w:tcBorders>
              <w:top w:val="single" w:sz="8" w:color="auto"/>
            </w:tcBorders>
            <w:shd w:val="clear" w:color="auto" w:fill="CCEEFF"/>
          </w:tcPr>
          <w:p>
            <w:pPr>
              <w:spacing w:after="0"/>
              <w:rPr>
                <w:sz w:val="19"/>
                <w:szCs w:val="19"/>
                <w:color w:val="auto"/>
              </w:rPr>
            </w:pPr>
          </w:p>
        </w:tc>
        <w:tc>
          <w:tcPr>
            <w:tcW w:w="780" w:type="dxa"/>
            <w:vAlign w:val="bottom"/>
            <w:tcBorders>
              <w:top w:val="single" w:sz="8" w:color="auto"/>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740" w:type="dxa"/>
            <w:vAlign w:val="bottom"/>
            <w:tcBorders>
              <w:top w:val="single" w:sz="8" w:color="auto"/>
            </w:tcBorders>
            <w:shd w:val="clear" w:color="auto" w:fill="CCEEFF"/>
          </w:tcPr>
          <w:p>
            <w:pPr>
              <w:spacing w:after="0"/>
              <w:rPr>
                <w:sz w:val="19"/>
                <w:szCs w:val="19"/>
                <w:color w:val="auto"/>
              </w:rPr>
            </w:pPr>
          </w:p>
        </w:tc>
        <w:tc>
          <w:tcPr>
            <w:tcW w:w="160" w:type="dxa"/>
            <w:vAlign w:val="bottom"/>
            <w:tcBorders>
              <w:top w:val="single" w:sz="8" w:color="CCEEFF"/>
            </w:tcBorders>
            <w:shd w:val="clear" w:color="auto" w:fill="CCEEFF"/>
          </w:tcPr>
          <w:p>
            <w:pPr>
              <w:spacing w:after="0"/>
              <w:rPr>
                <w:sz w:val="19"/>
                <w:szCs w:val="19"/>
                <w:color w:val="auto"/>
              </w:rPr>
            </w:pPr>
          </w:p>
        </w:tc>
        <w:tc>
          <w:tcPr>
            <w:tcW w:w="82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82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48"/>
        </w:trPr>
        <w:tc>
          <w:tcPr>
            <w:tcW w:w="3420" w:type="dxa"/>
            <w:vAlign w:val="bottom"/>
          </w:tcPr>
          <w:p>
            <w:pPr>
              <w:spacing w:after="0" w:line="149" w:lineRule="exact"/>
              <w:rPr>
                <w:sz w:val="20"/>
                <w:szCs w:val="20"/>
                <w:color w:val="auto"/>
              </w:rPr>
            </w:pPr>
            <w:r>
              <w:rPr>
                <w:rFonts w:ascii="Arial" w:cs="Arial" w:eastAsia="Arial" w:hAnsi="Arial"/>
                <w:sz w:val="14"/>
                <w:szCs w:val="14"/>
                <w:b w:val="1"/>
                <w:bCs w:val="1"/>
                <w:color w:val="auto"/>
              </w:rPr>
              <w:t>First Lien Secured Debt—41.3%</w:t>
            </w:r>
          </w:p>
        </w:tc>
        <w:tc>
          <w:tcPr>
            <w:tcW w:w="100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4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Aircell Business Aviation Services LLC</w:t>
            </w:r>
          </w:p>
        </w:tc>
        <w:tc>
          <w:tcPr>
            <w:tcW w:w="1000" w:type="dxa"/>
            <w:vAlign w:val="bottom"/>
            <w:shd w:val="clear" w:color="auto" w:fill="CCEEFF"/>
          </w:tcPr>
          <w:p>
            <w:pPr>
              <w:ind w:left="240"/>
              <w:spacing w:after="0" w:line="149" w:lineRule="exact"/>
              <w:rPr>
                <w:sz w:val="20"/>
                <w:szCs w:val="20"/>
                <w:color w:val="auto"/>
              </w:rPr>
            </w:pPr>
            <w:r>
              <w:rPr>
                <w:rFonts w:ascii="Arial" w:cs="Arial" w:eastAsia="Arial" w:hAnsi="Arial"/>
                <w:sz w:val="14"/>
                <w:szCs w:val="14"/>
                <w:color w:val="auto"/>
              </w:rPr>
              <w:t>06/21/2017</w:t>
            </w:r>
          </w:p>
        </w:tc>
        <w:tc>
          <w:tcPr>
            <w:tcW w:w="2060" w:type="dxa"/>
            <w:vAlign w:val="bottom"/>
            <w:shd w:val="clear" w:color="auto" w:fill="CCEEFF"/>
          </w:tcPr>
          <w:p>
            <w:pPr>
              <w:jc w:val="center"/>
              <w:ind w:right="8"/>
              <w:spacing w:after="0" w:line="149" w:lineRule="exact"/>
              <w:rPr>
                <w:sz w:val="20"/>
                <w:szCs w:val="20"/>
                <w:color w:val="auto"/>
              </w:rPr>
            </w:pPr>
            <w:r>
              <w:rPr>
                <w:rFonts w:ascii="Arial" w:cs="Arial" w:eastAsia="Arial" w:hAnsi="Arial"/>
                <w:sz w:val="14"/>
                <w:szCs w:val="14"/>
                <w:color w:val="auto"/>
                <w:w w:val="93"/>
              </w:rPr>
              <w:t>Communications</w:t>
            </w:r>
          </w:p>
        </w:tc>
        <w:tc>
          <w:tcPr>
            <w:tcW w:w="940" w:type="dxa"/>
            <w:vAlign w:val="bottom"/>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rPr>
              <w:t>11.25%</w:t>
            </w: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L+975</w:t>
            </w:r>
          </w:p>
        </w:tc>
        <w:tc>
          <w:tcPr>
            <w:tcW w:w="240" w:type="dxa"/>
            <w:vAlign w:val="bottom"/>
            <w:shd w:val="clear" w:color="auto" w:fill="CCEEFF"/>
          </w:tcPr>
          <w:p>
            <w:pPr>
              <w:jc w:val="right"/>
              <w:ind w:right="19"/>
              <w:spacing w:after="0"/>
              <w:rPr>
                <w:sz w:val="20"/>
                <w:szCs w:val="20"/>
                <w:color w:val="auto"/>
              </w:rPr>
            </w:pPr>
            <w:r>
              <w:rPr>
                <w:rFonts w:ascii="Arial" w:cs="Arial" w:eastAsia="Arial" w:hAnsi="Arial"/>
                <w:sz w:val="12"/>
                <w:szCs w:val="12"/>
                <w:color w:val="auto"/>
                <w:w w:val="95"/>
              </w:rPr>
              <w:t>(8)</w:t>
            </w:r>
          </w:p>
        </w:tc>
        <w:tc>
          <w:tcPr>
            <w:tcW w:w="9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23,912,894</w:t>
            </w:r>
          </w:p>
        </w:tc>
        <w:tc>
          <w:tcPr>
            <w:tcW w:w="9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w w:val="97"/>
              </w:rPr>
              <w:t>$ 23,012,057</w:t>
            </w:r>
          </w:p>
        </w:tc>
        <w:tc>
          <w:tcPr>
            <w:tcW w:w="100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  25,347,668</w:t>
            </w:r>
          </w:p>
        </w:tc>
        <w:tc>
          <w:tcPr>
            <w:tcW w:w="0" w:type="dxa"/>
            <w:vAlign w:val="bottom"/>
          </w:tcPr>
          <w:p>
            <w:pPr>
              <w:spacing w:after="0"/>
              <w:rPr>
                <w:sz w:val="1"/>
                <w:szCs w:val="1"/>
                <w:color w:val="auto"/>
              </w:rPr>
            </w:pPr>
          </w:p>
        </w:tc>
      </w:tr>
      <w:tr>
        <w:trPr>
          <w:trHeight w:val="130"/>
        </w:trPr>
        <w:tc>
          <w:tcPr>
            <w:tcW w:w="3420" w:type="dxa"/>
            <w:vAlign w:val="bottom"/>
          </w:tcPr>
          <w:p>
            <w:pPr>
              <w:spacing w:after="0" w:line="130" w:lineRule="exact"/>
              <w:rPr>
                <w:sz w:val="20"/>
                <w:szCs w:val="20"/>
                <w:color w:val="auto"/>
              </w:rPr>
            </w:pPr>
            <w:r>
              <w:rPr>
                <w:rFonts w:ascii="Arial" w:cs="Arial" w:eastAsia="Arial" w:hAnsi="Arial"/>
                <w:sz w:val="14"/>
                <w:szCs w:val="14"/>
                <w:color w:val="auto"/>
              </w:rPr>
              <w:t>AKA Diversified Holdings, Inc.</w:t>
            </w:r>
          </w:p>
        </w:tc>
        <w:tc>
          <w:tcPr>
            <w:tcW w:w="1000" w:type="dxa"/>
            <w:vAlign w:val="bottom"/>
          </w:tcPr>
          <w:p>
            <w:pPr>
              <w:ind w:left="240"/>
              <w:spacing w:after="0" w:line="130" w:lineRule="exact"/>
              <w:rPr>
                <w:sz w:val="20"/>
                <w:szCs w:val="20"/>
                <w:color w:val="auto"/>
              </w:rPr>
            </w:pPr>
            <w:r>
              <w:rPr>
                <w:rFonts w:ascii="Arial" w:cs="Arial" w:eastAsia="Arial" w:hAnsi="Arial"/>
                <w:sz w:val="14"/>
                <w:szCs w:val="14"/>
                <w:color w:val="auto"/>
              </w:rPr>
              <w:t>12/21/2016</w:t>
            </w:r>
          </w:p>
        </w:tc>
        <w:tc>
          <w:tcPr>
            <w:tcW w:w="2060" w:type="dxa"/>
            <w:vAlign w:val="bottom"/>
          </w:tcPr>
          <w:p>
            <w:pPr>
              <w:jc w:val="center"/>
              <w:ind w:right="8"/>
              <w:spacing w:after="0" w:line="130" w:lineRule="exact"/>
              <w:rPr>
                <w:sz w:val="20"/>
                <w:szCs w:val="20"/>
                <w:color w:val="auto"/>
              </w:rPr>
            </w:pPr>
            <w:r>
              <w:rPr>
                <w:rFonts w:ascii="Arial" w:cs="Arial" w:eastAsia="Arial" w:hAnsi="Arial"/>
                <w:sz w:val="14"/>
                <w:szCs w:val="14"/>
                <w:color w:val="auto"/>
                <w:w w:val="94"/>
              </w:rPr>
              <w:t>Retail</w:t>
            </w:r>
          </w:p>
        </w:tc>
        <w:tc>
          <w:tcPr>
            <w:tcW w:w="940" w:type="dxa"/>
            <w:vAlign w:val="bottom"/>
          </w:tcPr>
          <w:p>
            <w:pPr>
              <w:jc w:val="right"/>
              <w:ind w:right="48"/>
              <w:spacing w:after="0" w:line="130" w:lineRule="exact"/>
              <w:rPr>
                <w:sz w:val="20"/>
                <w:szCs w:val="20"/>
                <w:color w:val="auto"/>
              </w:rPr>
            </w:pPr>
            <w:r>
              <w:rPr>
                <w:rFonts w:ascii="Arial" w:cs="Arial" w:eastAsia="Arial" w:hAnsi="Arial"/>
                <w:sz w:val="14"/>
                <w:szCs w:val="14"/>
                <w:color w:val="auto"/>
              </w:rPr>
              <w:t>12.50%</w:t>
            </w:r>
          </w:p>
        </w:tc>
        <w:tc>
          <w:tcPr>
            <w:tcW w:w="780" w:type="dxa"/>
            <w:vAlign w:val="bottom"/>
          </w:tcPr>
          <w:p>
            <w:pPr>
              <w:jc w:val="right"/>
              <w:spacing w:after="0" w:line="130" w:lineRule="exact"/>
              <w:rPr>
                <w:sz w:val="20"/>
                <w:szCs w:val="20"/>
                <w:color w:val="auto"/>
              </w:rPr>
            </w:pPr>
            <w:r>
              <w:rPr>
                <w:rFonts w:ascii="Arial" w:cs="Arial" w:eastAsia="Arial" w:hAnsi="Arial"/>
                <w:sz w:val="14"/>
                <w:szCs w:val="14"/>
                <w:color w:val="auto"/>
              </w:rPr>
              <w:t>L+1,225</w:t>
            </w:r>
          </w:p>
        </w:tc>
        <w:tc>
          <w:tcPr>
            <w:tcW w:w="240" w:type="dxa"/>
            <w:vAlign w:val="bottom"/>
          </w:tcPr>
          <w:p>
            <w:pPr>
              <w:spacing w:after="0"/>
              <w:rPr>
                <w:sz w:val="11"/>
                <w:szCs w:val="11"/>
                <w:color w:val="auto"/>
              </w:rPr>
            </w:pPr>
          </w:p>
        </w:tc>
        <w:tc>
          <w:tcPr>
            <w:tcW w:w="900" w:type="dxa"/>
            <w:vAlign w:val="bottom"/>
            <w:gridSpan w:val="2"/>
          </w:tcPr>
          <w:p>
            <w:pPr>
              <w:jc w:val="right"/>
              <w:ind w:right="160"/>
              <w:spacing w:after="0" w:line="130" w:lineRule="exact"/>
              <w:rPr>
                <w:sz w:val="20"/>
                <w:szCs w:val="20"/>
                <w:color w:val="auto"/>
              </w:rPr>
            </w:pPr>
            <w:r>
              <w:rPr>
                <w:rFonts w:ascii="Arial" w:cs="Arial" w:eastAsia="Arial" w:hAnsi="Arial"/>
                <w:sz w:val="14"/>
                <w:szCs w:val="14"/>
                <w:color w:val="auto"/>
              </w:rPr>
              <w:t>14,550,084</w:t>
            </w:r>
          </w:p>
        </w:tc>
        <w:tc>
          <w:tcPr>
            <w:tcW w:w="900" w:type="dxa"/>
            <w:vAlign w:val="bottom"/>
            <w:gridSpan w:val="2"/>
          </w:tcPr>
          <w:p>
            <w:pPr>
              <w:jc w:val="right"/>
              <w:ind w:right="80"/>
              <w:spacing w:after="0" w:line="130" w:lineRule="exact"/>
              <w:rPr>
                <w:sz w:val="20"/>
                <w:szCs w:val="20"/>
                <w:color w:val="auto"/>
              </w:rPr>
            </w:pPr>
            <w:r>
              <w:rPr>
                <w:rFonts w:ascii="Arial" w:cs="Arial" w:eastAsia="Arial" w:hAnsi="Arial"/>
                <w:sz w:val="14"/>
                <w:szCs w:val="14"/>
                <w:color w:val="auto"/>
              </w:rPr>
              <w:t>14,310,552</w:t>
            </w:r>
          </w:p>
        </w:tc>
        <w:tc>
          <w:tcPr>
            <w:tcW w:w="1000" w:type="dxa"/>
            <w:vAlign w:val="bottom"/>
            <w:gridSpan w:val="3"/>
          </w:tcPr>
          <w:p>
            <w:pPr>
              <w:jc w:val="right"/>
              <w:ind w:right="80"/>
              <w:spacing w:after="0" w:line="130" w:lineRule="exact"/>
              <w:rPr>
                <w:sz w:val="20"/>
                <w:szCs w:val="20"/>
                <w:color w:val="auto"/>
              </w:rPr>
            </w:pPr>
            <w:r>
              <w:rPr>
                <w:rFonts w:ascii="Arial" w:cs="Arial" w:eastAsia="Arial" w:hAnsi="Arial"/>
                <w:sz w:val="14"/>
                <w:szCs w:val="14"/>
                <w:color w:val="auto"/>
              </w:rPr>
              <w:t>14,694,828</w:t>
            </w:r>
          </w:p>
        </w:tc>
        <w:tc>
          <w:tcPr>
            <w:tcW w:w="0" w:type="dxa"/>
            <w:vAlign w:val="bottom"/>
          </w:tcPr>
          <w:p>
            <w:pPr>
              <w:spacing w:after="0"/>
              <w:rPr>
                <w:sz w:val="1"/>
                <w:szCs w:val="1"/>
                <w:color w:val="auto"/>
              </w:rPr>
            </w:pPr>
          </w:p>
        </w:tc>
      </w:tr>
      <w:tr>
        <w:trPr>
          <w:trHeight w:val="181"/>
        </w:trPr>
        <w:tc>
          <w:tcPr>
            <w:tcW w:w="34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060" w:type="dxa"/>
            <w:vAlign w:val="bottom"/>
          </w:tcPr>
          <w:p>
            <w:pPr>
              <w:spacing w:after="0"/>
              <w:rPr>
                <w:sz w:val="15"/>
                <w:szCs w:val="15"/>
                <w:color w:val="auto"/>
              </w:rPr>
            </w:pPr>
          </w:p>
        </w:tc>
        <w:tc>
          <w:tcPr>
            <w:tcW w:w="940" w:type="dxa"/>
            <w:vAlign w:val="bottom"/>
          </w:tcPr>
          <w:p>
            <w:pPr>
              <w:jc w:val="right"/>
              <w:ind w:right="8"/>
              <w:spacing w:after="0"/>
              <w:rPr>
                <w:sz w:val="20"/>
                <w:szCs w:val="20"/>
                <w:color w:val="auto"/>
              </w:rPr>
            </w:pPr>
            <w:r>
              <w:rPr>
                <w:rFonts w:ascii="Arial" w:cs="Arial" w:eastAsia="Arial" w:hAnsi="Arial"/>
                <w:sz w:val="14"/>
                <w:szCs w:val="14"/>
                <w:color w:val="auto"/>
              </w:rPr>
              <w:t>(PIK 1.50%)</w:t>
            </w:r>
          </w:p>
        </w:tc>
        <w:tc>
          <w:tcPr>
            <w:tcW w:w="7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8"/>
        </w:trPr>
        <w:tc>
          <w:tcPr>
            <w:tcW w:w="34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 xml:space="preserve">CEVA Group PLC </w:t>
            </w:r>
            <w:r>
              <w:rPr>
                <w:rFonts w:ascii="Arial" w:cs="Arial" w:eastAsia="Arial" w:hAnsi="Arial"/>
                <w:sz w:val="12"/>
                <w:szCs w:val="12"/>
                <w:color w:val="auto"/>
              </w:rPr>
              <w:t>(5),(10)</w:t>
            </w:r>
          </w:p>
        </w:tc>
        <w:tc>
          <w:tcPr>
            <w:tcW w:w="1000" w:type="dxa"/>
            <w:vAlign w:val="bottom"/>
            <w:shd w:val="clear" w:color="auto" w:fill="CCEEFF"/>
          </w:tcPr>
          <w:p>
            <w:pPr>
              <w:ind w:left="240"/>
              <w:spacing w:after="0" w:line="149" w:lineRule="exact"/>
              <w:rPr>
                <w:sz w:val="20"/>
                <w:szCs w:val="20"/>
                <w:color w:val="auto"/>
              </w:rPr>
            </w:pPr>
            <w:r>
              <w:rPr>
                <w:rFonts w:ascii="Arial" w:cs="Arial" w:eastAsia="Arial" w:hAnsi="Arial"/>
                <w:sz w:val="14"/>
                <w:szCs w:val="14"/>
                <w:color w:val="auto"/>
              </w:rPr>
              <w:t>10/01/2016</w:t>
            </w:r>
          </w:p>
        </w:tc>
        <w:tc>
          <w:tcPr>
            <w:tcW w:w="2060" w:type="dxa"/>
            <w:vAlign w:val="bottom"/>
            <w:shd w:val="clear" w:color="auto" w:fill="CCEEFF"/>
          </w:tcPr>
          <w:p>
            <w:pPr>
              <w:jc w:val="center"/>
              <w:ind w:right="8"/>
              <w:spacing w:after="0" w:line="149" w:lineRule="exact"/>
              <w:rPr>
                <w:sz w:val="20"/>
                <w:szCs w:val="20"/>
                <w:color w:val="auto"/>
              </w:rPr>
            </w:pPr>
            <w:r>
              <w:rPr>
                <w:rFonts w:ascii="Arial" w:cs="Arial" w:eastAsia="Arial" w:hAnsi="Arial"/>
                <w:sz w:val="14"/>
                <w:szCs w:val="14"/>
                <w:color w:val="auto"/>
                <w:w w:val="92"/>
              </w:rPr>
              <w:t>Cargo Transport</w:t>
            </w:r>
          </w:p>
        </w:tc>
        <w:tc>
          <w:tcPr>
            <w:tcW w:w="940" w:type="dxa"/>
            <w:vAlign w:val="bottom"/>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rPr>
              <w:t>11.63%</w:t>
            </w:r>
          </w:p>
        </w:tc>
        <w:tc>
          <w:tcPr>
            <w:tcW w:w="780" w:type="dxa"/>
            <w:vAlign w:val="bottom"/>
            <w:shd w:val="clear" w:color="auto" w:fill="CCEEFF"/>
          </w:tcPr>
          <w:p>
            <w:pPr>
              <w:jc w:val="right"/>
              <w:ind w:right="28"/>
              <w:spacing w:after="0" w:line="149" w:lineRule="exact"/>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7,500,000</w:t>
            </w:r>
          </w:p>
        </w:tc>
        <w:tc>
          <w:tcPr>
            <w:tcW w:w="9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7,385,251</w:t>
            </w:r>
          </w:p>
        </w:tc>
        <w:tc>
          <w:tcPr>
            <w:tcW w:w="100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7,725,000</w:t>
            </w:r>
          </w:p>
        </w:tc>
        <w:tc>
          <w:tcPr>
            <w:tcW w:w="0" w:type="dxa"/>
            <w:vAlign w:val="bottom"/>
          </w:tcPr>
          <w:p>
            <w:pPr>
              <w:spacing w:after="0"/>
              <w:rPr>
                <w:sz w:val="1"/>
                <w:szCs w:val="1"/>
                <w:color w:val="auto"/>
              </w:rPr>
            </w:pPr>
          </w:p>
        </w:tc>
      </w:tr>
      <w:tr>
        <w:trPr>
          <w:trHeight w:val="148"/>
        </w:trPr>
        <w:tc>
          <w:tcPr>
            <w:tcW w:w="3420" w:type="dxa"/>
            <w:vAlign w:val="bottom"/>
          </w:tcPr>
          <w:p>
            <w:pPr>
              <w:spacing w:after="0" w:line="149" w:lineRule="exact"/>
              <w:rPr>
                <w:sz w:val="20"/>
                <w:szCs w:val="20"/>
                <w:color w:val="auto"/>
              </w:rPr>
            </w:pPr>
            <w:r>
              <w:rPr>
                <w:rFonts w:ascii="Arial" w:cs="Arial" w:eastAsia="Arial" w:hAnsi="Arial"/>
                <w:sz w:val="14"/>
                <w:szCs w:val="14"/>
                <w:color w:val="auto"/>
              </w:rPr>
              <w:t xml:space="preserve">Columbus International, Inc. </w:t>
            </w:r>
            <w:r>
              <w:rPr>
                <w:rFonts w:ascii="Arial" w:cs="Arial" w:eastAsia="Arial" w:hAnsi="Arial"/>
                <w:sz w:val="12"/>
                <w:szCs w:val="12"/>
                <w:color w:val="auto"/>
              </w:rPr>
              <w:t>(5),(10)</w:t>
            </w:r>
          </w:p>
        </w:tc>
        <w:tc>
          <w:tcPr>
            <w:tcW w:w="1000" w:type="dxa"/>
            <w:vAlign w:val="bottom"/>
          </w:tcPr>
          <w:p>
            <w:pPr>
              <w:ind w:left="260"/>
              <w:spacing w:after="0" w:line="149" w:lineRule="exact"/>
              <w:rPr>
                <w:sz w:val="20"/>
                <w:szCs w:val="20"/>
                <w:color w:val="auto"/>
              </w:rPr>
            </w:pPr>
            <w:r>
              <w:rPr>
                <w:rFonts w:ascii="Arial" w:cs="Arial" w:eastAsia="Arial" w:hAnsi="Arial"/>
                <w:sz w:val="14"/>
                <w:szCs w:val="14"/>
                <w:color w:val="auto"/>
              </w:rPr>
              <w:t>11/20/2014</w:t>
            </w:r>
          </w:p>
        </w:tc>
        <w:tc>
          <w:tcPr>
            <w:tcW w:w="2060" w:type="dxa"/>
            <w:vAlign w:val="bottom"/>
          </w:tcPr>
          <w:p>
            <w:pPr>
              <w:jc w:val="center"/>
              <w:ind w:right="8"/>
              <w:spacing w:after="0" w:line="149" w:lineRule="exact"/>
              <w:rPr>
                <w:sz w:val="20"/>
                <w:szCs w:val="20"/>
                <w:color w:val="auto"/>
              </w:rPr>
            </w:pPr>
            <w:r>
              <w:rPr>
                <w:rFonts w:ascii="Arial" w:cs="Arial" w:eastAsia="Arial" w:hAnsi="Arial"/>
                <w:sz w:val="14"/>
                <w:szCs w:val="14"/>
                <w:color w:val="auto"/>
                <w:w w:val="93"/>
              </w:rPr>
              <w:t>Communications</w:t>
            </w:r>
          </w:p>
        </w:tc>
        <w:tc>
          <w:tcPr>
            <w:tcW w:w="940" w:type="dxa"/>
            <w:vAlign w:val="bottom"/>
          </w:tcPr>
          <w:p>
            <w:pPr>
              <w:jc w:val="right"/>
              <w:ind w:right="48"/>
              <w:spacing w:after="0" w:line="149" w:lineRule="exact"/>
              <w:rPr>
                <w:sz w:val="20"/>
                <w:szCs w:val="20"/>
                <w:color w:val="auto"/>
              </w:rPr>
            </w:pPr>
            <w:r>
              <w:rPr>
                <w:rFonts w:ascii="Arial" w:cs="Arial" w:eastAsia="Arial" w:hAnsi="Arial"/>
                <w:sz w:val="14"/>
                <w:szCs w:val="14"/>
                <w:color w:val="auto"/>
              </w:rPr>
              <w:t>11.50%</w:t>
            </w:r>
          </w:p>
        </w:tc>
        <w:tc>
          <w:tcPr>
            <w:tcW w:w="780" w:type="dxa"/>
            <w:vAlign w:val="bottom"/>
          </w:tcPr>
          <w:p>
            <w:pPr>
              <w:jc w:val="right"/>
              <w:ind w:right="28"/>
              <w:spacing w:after="0" w:line="149"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2"/>
                <w:szCs w:val="12"/>
                <w:color w:val="auto"/>
              </w:rPr>
            </w:pPr>
          </w:p>
        </w:tc>
        <w:tc>
          <w:tcPr>
            <w:tcW w:w="9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10,000,000</w:t>
            </w:r>
          </w:p>
        </w:tc>
        <w:tc>
          <w:tcPr>
            <w:tcW w:w="9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10,000,000</w:t>
            </w:r>
          </w:p>
        </w:tc>
        <w:tc>
          <w:tcPr>
            <w:tcW w:w="100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rPr>
              <w:t>10,750,000</w:t>
            </w:r>
          </w:p>
        </w:tc>
        <w:tc>
          <w:tcPr>
            <w:tcW w:w="0" w:type="dxa"/>
            <w:vAlign w:val="bottom"/>
          </w:tcPr>
          <w:p>
            <w:pPr>
              <w:spacing w:after="0"/>
              <w:rPr>
                <w:sz w:val="1"/>
                <w:szCs w:val="1"/>
                <w:color w:val="auto"/>
              </w:rPr>
            </w:pPr>
          </w:p>
        </w:tc>
      </w:tr>
      <w:tr>
        <w:trPr>
          <w:trHeight w:val="148"/>
        </w:trPr>
        <w:tc>
          <w:tcPr>
            <w:tcW w:w="34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Cydcor LLC</w:t>
            </w:r>
          </w:p>
        </w:tc>
        <w:tc>
          <w:tcPr>
            <w:tcW w:w="1000" w:type="dxa"/>
            <w:vAlign w:val="bottom"/>
            <w:shd w:val="clear" w:color="auto" w:fill="CCEEFF"/>
          </w:tcPr>
          <w:p>
            <w:pPr>
              <w:ind w:left="240"/>
              <w:spacing w:after="0" w:line="149" w:lineRule="exact"/>
              <w:rPr>
                <w:sz w:val="20"/>
                <w:szCs w:val="20"/>
                <w:color w:val="auto"/>
              </w:rPr>
            </w:pPr>
            <w:r>
              <w:rPr>
                <w:rFonts w:ascii="Arial" w:cs="Arial" w:eastAsia="Arial" w:hAnsi="Arial"/>
                <w:sz w:val="14"/>
                <w:szCs w:val="14"/>
                <w:color w:val="auto"/>
              </w:rPr>
              <w:t>06/12/2017</w:t>
            </w:r>
          </w:p>
        </w:tc>
        <w:tc>
          <w:tcPr>
            <w:tcW w:w="206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0"/>
              </w:rPr>
              <w:t>Business Services</w:t>
            </w:r>
          </w:p>
        </w:tc>
        <w:tc>
          <w:tcPr>
            <w:tcW w:w="940" w:type="dxa"/>
            <w:vAlign w:val="bottom"/>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rPr>
              <w:t>9.75%</w:t>
            </w: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L+725</w:t>
            </w:r>
          </w:p>
        </w:tc>
        <w:tc>
          <w:tcPr>
            <w:tcW w:w="240" w:type="dxa"/>
            <w:vAlign w:val="bottom"/>
            <w:shd w:val="clear" w:color="auto" w:fill="CCEEFF"/>
          </w:tcPr>
          <w:p>
            <w:pPr>
              <w:jc w:val="right"/>
              <w:ind w:right="19"/>
              <w:spacing w:after="0"/>
              <w:rPr>
                <w:sz w:val="20"/>
                <w:szCs w:val="20"/>
                <w:color w:val="auto"/>
              </w:rPr>
            </w:pPr>
            <w:r>
              <w:rPr>
                <w:rFonts w:ascii="Arial" w:cs="Arial" w:eastAsia="Arial" w:hAnsi="Arial"/>
                <w:sz w:val="12"/>
                <w:szCs w:val="12"/>
                <w:color w:val="auto"/>
                <w:w w:val="95"/>
              </w:rPr>
              <w:t>(8)</w:t>
            </w:r>
          </w:p>
        </w:tc>
        <w:tc>
          <w:tcPr>
            <w:tcW w:w="9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7,342,967</w:t>
            </w:r>
          </w:p>
        </w:tc>
        <w:tc>
          <w:tcPr>
            <w:tcW w:w="9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7,342,967</w:t>
            </w:r>
          </w:p>
        </w:tc>
        <w:tc>
          <w:tcPr>
            <w:tcW w:w="100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7,342,967</w:t>
            </w:r>
          </w:p>
        </w:tc>
        <w:tc>
          <w:tcPr>
            <w:tcW w:w="0" w:type="dxa"/>
            <w:vAlign w:val="bottom"/>
          </w:tcPr>
          <w:p>
            <w:pPr>
              <w:spacing w:after="0"/>
              <w:rPr>
                <w:sz w:val="1"/>
                <w:szCs w:val="1"/>
                <w:color w:val="auto"/>
              </w:rPr>
            </w:pPr>
          </w:p>
        </w:tc>
      </w:tr>
      <w:tr>
        <w:trPr>
          <w:trHeight w:val="149"/>
        </w:trPr>
        <w:tc>
          <w:tcPr>
            <w:tcW w:w="3420" w:type="dxa"/>
            <w:vAlign w:val="bottom"/>
          </w:tcPr>
          <w:p>
            <w:pPr>
              <w:spacing w:after="0" w:line="149" w:lineRule="exact"/>
              <w:rPr>
                <w:sz w:val="20"/>
                <w:szCs w:val="20"/>
                <w:color w:val="auto"/>
              </w:rPr>
            </w:pPr>
            <w:r>
              <w:rPr>
                <w:rFonts w:ascii="Arial" w:cs="Arial" w:eastAsia="Arial" w:hAnsi="Arial"/>
                <w:sz w:val="14"/>
                <w:szCs w:val="14"/>
                <w:color w:val="auto"/>
              </w:rPr>
              <w:t xml:space="preserve">Good Sam Enterprises, LLC </w:t>
            </w:r>
            <w:r>
              <w:rPr>
                <w:rFonts w:ascii="Arial" w:cs="Arial" w:eastAsia="Arial" w:hAnsi="Arial"/>
                <w:sz w:val="12"/>
                <w:szCs w:val="12"/>
                <w:color w:val="auto"/>
              </w:rPr>
              <w:t>(5)</w:t>
            </w:r>
          </w:p>
        </w:tc>
        <w:tc>
          <w:tcPr>
            <w:tcW w:w="1000" w:type="dxa"/>
            <w:vAlign w:val="bottom"/>
          </w:tcPr>
          <w:p>
            <w:pPr>
              <w:ind w:left="240"/>
              <w:spacing w:after="0" w:line="149" w:lineRule="exact"/>
              <w:rPr>
                <w:sz w:val="20"/>
                <w:szCs w:val="20"/>
                <w:color w:val="auto"/>
              </w:rPr>
            </w:pPr>
            <w:r>
              <w:rPr>
                <w:rFonts w:ascii="Arial" w:cs="Arial" w:eastAsia="Arial" w:hAnsi="Arial"/>
                <w:sz w:val="14"/>
                <w:szCs w:val="14"/>
                <w:color w:val="auto"/>
              </w:rPr>
              <w:t>12/01/2016</w:t>
            </w:r>
          </w:p>
        </w:tc>
        <w:tc>
          <w:tcPr>
            <w:tcW w:w="2060" w:type="dxa"/>
            <w:vAlign w:val="bottom"/>
          </w:tcPr>
          <w:p>
            <w:pPr>
              <w:jc w:val="center"/>
              <w:ind w:right="8"/>
              <w:spacing w:after="0" w:line="149" w:lineRule="exact"/>
              <w:rPr>
                <w:sz w:val="20"/>
                <w:szCs w:val="20"/>
                <w:color w:val="auto"/>
              </w:rPr>
            </w:pPr>
            <w:r>
              <w:rPr>
                <w:rFonts w:ascii="Arial" w:cs="Arial" w:eastAsia="Arial" w:hAnsi="Arial"/>
                <w:sz w:val="14"/>
                <w:szCs w:val="14"/>
                <w:color w:val="auto"/>
                <w:w w:val="92"/>
              </w:rPr>
              <w:t>Consumer Products</w:t>
            </w:r>
          </w:p>
        </w:tc>
        <w:tc>
          <w:tcPr>
            <w:tcW w:w="940" w:type="dxa"/>
            <w:vAlign w:val="bottom"/>
          </w:tcPr>
          <w:p>
            <w:pPr>
              <w:jc w:val="right"/>
              <w:ind w:right="48"/>
              <w:spacing w:after="0" w:line="149" w:lineRule="exact"/>
              <w:rPr>
                <w:sz w:val="20"/>
                <w:szCs w:val="20"/>
                <w:color w:val="auto"/>
              </w:rPr>
            </w:pPr>
            <w:r>
              <w:rPr>
                <w:rFonts w:ascii="Arial" w:cs="Arial" w:eastAsia="Arial" w:hAnsi="Arial"/>
                <w:sz w:val="14"/>
                <w:szCs w:val="14"/>
                <w:color w:val="auto"/>
              </w:rPr>
              <w:t>11.50%</w:t>
            </w:r>
          </w:p>
        </w:tc>
        <w:tc>
          <w:tcPr>
            <w:tcW w:w="780" w:type="dxa"/>
            <w:vAlign w:val="bottom"/>
          </w:tcPr>
          <w:p>
            <w:pPr>
              <w:jc w:val="right"/>
              <w:ind w:right="28"/>
              <w:spacing w:after="0" w:line="149"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2"/>
                <w:szCs w:val="12"/>
                <w:color w:val="auto"/>
              </w:rPr>
            </w:pPr>
          </w:p>
        </w:tc>
        <w:tc>
          <w:tcPr>
            <w:tcW w:w="9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12,000,000</w:t>
            </w:r>
          </w:p>
        </w:tc>
        <w:tc>
          <w:tcPr>
            <w:tcW w:w="9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11,835,907</w:t>
            </w:r>
          </w:p>
        </w:tc>
        <w:tc>
          <w:tcPr>
            <w:tcW w:w="100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rPr>
              <w:t>12,900,000</w:t>
            </w:r>
          </w:p>
        </w:tc>
        <w:tc>
          <w:tcPr>
            <w:tcW w:w="0" w:type="dxa"/>
            <w:vAlign w:val="bottom"/>
          </w:tcPr>
          <w:p>
            <w:pPr>
              <w:spacing w:after="0"/>
              <w:rPr>
                <w:sz w:val="1"/>
                <w:szCs w:val="1"/>
                <w:color w:val="auto"/>
              </w:rPr>
            </w:pPr>
          </w:p>
        </w:tc>
      </w:tr>
      <w:tr>
        <w:trPr>
          <w:trHeight w:val="148"/>
        </w:trPr>
        <w:tc>
          <w:tcPr>
            <w:tcW w:w="34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 xml:space="preserve">IDQ Holdings, Inc. </w:t>
            </w:r>
            <w:r>
              <w:rPr>
                <w:rFonts w:ascii="Arial" w:cs="Arial" w:eastAsia="Arial" w:hAnsi="Arial"/>
                <w:sz w:val="12"/>
                <w:szCs w:val="12"/>
                <w:color w:val="auto"/>
              </w:rPr>
              <w:t>(5)</w:t>
            </w:r>
          </w:p>
        </w:tc>
        <w:tc>
          <w:tcPr>
            <w:tcW w:w="1000" w:type="dxa"/>
            <w:vAlign w:val="bottom"/>
            <w:shd w:val="clear" w:color="auto" w:fill="CCEEFF"/>
          </w:tcPr>
          <w:p>
            <w:pPr>
              <w:ind w:left="240"/>
              <w:spacing w:after="0" w:line="149" w:lineRule="exact"/>
              <w:rPr>
                <w:sz w:val="20"/>
                <w:szCs w:val="20"/>
                <w:color w:val="auto"/>
              </w:rPr>
            </w:pPr>
            <w:r>
              <w:rPr>
                <w:rFonts w:ascii="Arial" w:cs="Arial" w:eastAsia="Arial" w:hAnsi="Arial"/>
                <w:sz w:val="14"/>
                <w:szCs w:val="14"/>
                <w:color w:val="auto"/>
              </w:rPr>
              <w:t>03/30/2017</w:t>
            </w:r>
          </w:p>
        </w:tc>
        <w:tc>
          <w:tcPr>
            <w:tcW w:w="2060" w:type="dxa"/>
            <w:vAlign w:val="bottom"/>
            <w:shd w:val="clear" w:color="auto" w:fill="CCEEFF"/>
          </w:tcPr>
          <w:p>
            <w:pPr>
              <w:jc w:val="center"/>
              <w:ind w:right="8"/>
              <w:spacing w:after="0" w:line="149" w:lineRule="exact"/>
              <w:rPr>
                <w:sz w:val="20"/>
                <w:szCs w:val="20"/>
                <w:color w:val="auto"/>
              </w:rPr>
            </w:pPr>
            <w:r>
              <w:rPr>
                <w:rFonts w:ascii="Arial" w:cs="Arial" w:eastAsia="Arial" w:hAnsi="Arial"/>
                <w:sz w:val="14"/>
                <w:szCs w:val="14"/>
                <w:color w:val="auto"/>
                <w:w w:val="95"/>
              </w:rPr>
              <w:t>Auto Sector</w:t>
            </w:r>
          </w:p>
        </w:tc>
        <w:tc>
          <w:tcPr>
            <w:tcW w:w="940" w:type="dxa"/>
            <w:vAlign w:val="bottom"/>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rPr>
              <w:t>11.50%</w:t>
            </w:r>
          </w:p>
        </w:tc>
        <w:tc>
          <w:tcPr>
            <w:tcW w:w="780" w:type="dxa"/>
            <w:vAlign w:val="bottom"/>
            <w:shd w:val="clear" w:color="auto" w:fill="CCEEFF"/>
          </w:tcPr>
          <w:p>
            <w:pPr>
              <w:jc w:val="right"/>
              <w:ind w:right="28"/>
              <w:spacing w:after="0" w:line="149" w:lineRule="exact"/>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11,500,000</w:t>
            </w:r>
          </w:p>
        </w:tc>
        <w:tc>
          <w:tcPr>
            <w:tcW w:w="9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11,326,110</w:t>
            </w:r>
          </w:p>
        </w:tc>
        <w:tc>
          <w:tcPr>
            <w:tcW w:w="100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12,391,250</w:t>
            </w:r>
          </w:p>
        </w:tc>
        <w:tc>
          <w:tcPr>
            <w:tcW w:w="0" w:type="dxa"/>
            <w:vAlign w:val="bottom"/>
          </w:tcPr>
          <w:p>
            <w:pPr>
              <w:spacing w:after="0"/>
              <w:rPr>
                <w:sz w:val="1"/>
                <w:szCs w:val="1"/>
                <w:color w:val="auto"/>
              </w:rPr>
            </w:pPr>
          </w:p>
        </w:tc>
      </w:tr>
      <w:tr>
        <w:trPr>
          <w:trHeight w:val="130"/>
        </w:trPr>
        <w:tc>
          <w:tcPr>
            <w:tcW w:w="3420" w:type="dxa"/>
            <w:vAlign w:val="bottom"/>
          </w:tcPr>
          <w:p>
            <w:pPr>
              <w:spacing w:after="0" w:line="130" w:lineRule="exact"/>
              <w:rPr>
                <w:sz w:val="20"/>
                <w:szCs w:val="20"/>
                <w:color w:val="auto"/>
              </w:rPr>
            </w:pPr>
            <w:r>
              <w:rPr>
                <w:rFonts w:ascii="Arial" w:cs="Arial" w:eastAsia="Arial" w:hAnsi="Arial"/>
                <w:sz w:val="14"/>
                <w:szCs w:val="14"/>
                <w:color w:val="auto"/>
              </w:rPr>
              <w:t>InfuSystem Holdings, Inc.</w:t>
            </w:r>
          </w:p>
        </w:tc>
        <w:tc>
          <w:tcPr>
            <w:tcW w:w="1000" w:type="dxa"/>
            <w:vAlign w:val="bottom"/>
          </w:tcPr>
          <w:p>
            <w:pPr>
              <w:ind w:left="260"/>
              <w:spacing w:after="0" w:line="130" w:lineRule="exact"/>
              <w:rPr>
                <w:sz w:val="20"/>
                <w:szCs w:val="20"/>
                <w:color w:val="auto"/>
              </w:rPr>
            </w:pPr>
            <w:r>
              <w:rPr>
                <w:rFonts w:ascii="Arial" w:cs="Arial" w:eastAsia="Arial" w:hAnsi="Arial"/>
                <w:sz w:val="14"/>
                <w:szCs w:val="14"/>
                <w:color w:val="auto"/>
              </w:rPr>
              <w:t>11/30/2016</w:t>
            </w:r>
          </w:p>
        </w:tc>
        <w:tc>
          <w:tcPr>
            <w:tcW w:w="2060" w:type="dxa"/>
            <w:vAlign w:val="bottom"/>
          </w:tcPr>
          <w:p>
            <w:pPr>
              <w:jc w:val="center"/>
              <w:spacing w:after="0" w:line="130" w:lineRule="exact"/>
              <w:rPr>
                <w:sz w:val="20"/>
                <w:szCs w:val="20"/>
                <w:color w:val="auto"/>
              </w:rPr>
            </w:pPr>
            <w:r>
              <w:rPr>
                <w:rFonts w:ascii="Arial" w:cs="Arial" w:eastAsia="Arial" w:hAnsi="Arial"/>
                <w:sz w:val="14"/>
                <w:szCs w:val="14"/>
                <w:color w:val="auto"/>
                <w:w w:val="92"/>
              </w:rPr>
              <w:t>Healthcare, Education and</w:t>
            </w:r>
          </w:p>
        </w:tc>
        <w:tc>
          <w:tcPr>
            <w:tcW w:w="940" w:type="dxa"/>
            <w:vAlign w:val="bottom"/>
          </w:tcPr>
          <w:p>
            <w:pPr>
              <w:jc w:val="right"/>
              <w:ind w:right="48"/>
              <w:spacing w:after="0" w:line="130" w:lineRule="exact"/>
              <w:rPr>
                <w:sz w:val="20"/>
                <w:szCs w:val="20"/>
                <w:color w:val="auto"/>
              </w:rPr>
            </w:pPr>
            <w:r>
              <w:rPr>
                <w:rFonts w:ascii="Arial" w:cs="Arial" w:eastAsia="Arial" w:hAnsi="Arial"/>
                <w:sz w:val="14"/>
                <w:szCs w:val="14"/>
                <w:color w:val="auto"/>
              </w:rPr>
              <w:t>11.95%</w:t>
            </w:r>
          </w:p>
        </w:tc>
        <w:tc>
          <w:tcPr>
            <w:tcW w:w="780" w:type="dxa"/>
            <w:vAlign w:val="bottom"/>
          </w:tcPr>
          <w:p>
            <w:pPr>
              <w:jc w:val="right"/>
              <w:spacing w:after="0" w:line="130" w:lineRule="exact"/>
              <w:rPr>
                <w:sz w:val="20"/>
                <w:szCs w:val="20"/>
                <w:color w:val="auto"/>
              </w:rPr>
            </w:pPr>
            <w:r>
              <w:rPr>
                <w:rFonts w:ascii="Arial" w:cs="Arial" w:eastAsia="Arial" w:hAnsi="Arial"/>
                <w:sz w:val="14"/>
                <w:szCs w:val="14"/>
                <w:color w:val="auto"/>
              </w:rPr>
              <w:t>P+625</w:t>
            </w:r>
          </w:p>
        </w:tc>
        <w:tc>
          <w:tcPr>
            <w:tcW w:w="240" w:type="dxa"/>
            <w:vAlign w:val="bottom"/>
          </w:tcPr>
          <w:p>
            <w:pPr>
              <w:jc w:val="right"/>
              <w:ind w:right="19"/>
              <w:spacing w:after="0" w:line="130" w:lineRule="exact"/>
              <w:rPr>
                <w:sz w:val="20"/>
                <w:szCs w:val="20"/>
                <w:color w:val="auto"/>
              </w:rPr>
            </w:pPr>
            <w:r>
              <w:rPr>
                <w:rFonts w:ascii="Arial" w:cs="Arial" w:eastAsia="Arial" w:hAnsi="Arial"/>
                <w:sz w:val="12"/>
                <w:szCs w:val="12"/>
                <w:color w:val="auto"/>
                <w:w w:val="95"/>
              </w:rPr>
              <w:t>(8)</w:t>
            </w:r>
          </w:p>
        </w:tc>
        <w:tc>
          <w:tcPr>
            <w:tcW w:w="900" w:type="dxa"/>
            <w:vAlign w:val="bottom"/>
            <w:gridSpan w:val="2"/>
          </w:tcPr>
          <w:p>
            <w:pPr>
              <w:jc w:val="right"/>
              <w:ind w:right="160"/>
              <w:spacing w:after="0" w:line="130" w:lineRule="exact"/>
              <w:rPr>
                <w:sz w:val="20"/>
                <w:szCs w:val="20"/>
                <w:color w:val="auto"/>
              </w:rPr>
            </w:pPr>
            <w:r>
              <w:rPr>
                <w:rFonts w:ascii="Arial" w:cs="Arial" w:eastAsia="Arial" w:hAnsi="Arial"/>
                <w:sz w:val="14"/>
                <w:szCs w:val="14"/>
                <w:color w:val="auto"/>
              </w:rPr>
              <w:t>11,600,000</w:t>
            </w:r>
          </w:p>
        </w:tc>
        <w:tc>
          <w:tcPr>
            <w:tcW w:w="900" w:type="dxa"/>
            <w:vAlign w:val="bottom"/>
            <w:gridSpan w:val="2"/>
          </w:tcPr>
          <w:p>
            <w:pPr>
              <w:jc w:val="right"/>
              <w:ind w:right="80"/>
              <w:spacing w:after="0" w:line="130" w:lineRule="exact"/>
              <w:rPr>
                <w:sz w:val="20"/>
                <w:szCs w:val="20"/>
                <w:color w:val="auto"/>
              </w:rPr>
            </w:pPr>
            <w:r>
              <w:rPr>
                <w:rFonts w:ascii="Arial" w:cs="Arial" w:eastAsia="Arial" w:hAnsi="Arial"/>
                <w:sz w:val="14"/>
                <w:szCs w:val="14"/>
                <w:color w:val="auto"/>
              </w:rPr>
              <w:t>11,600,000</w:t>
            </w:r>
          </w:p>
        </w:tc>
        <w:tc>
          <w:tcPr>
            <w:tcW w:w="1000" w:type="dxa"/>
            <w:vAlign w:val="bottom"/>
            <w:gridSpan w:val="3"/>
          </w:tcPr>
          <w:p>
            <w:pPr>
              <w:jc w:val="right"/>
              <w:ind w:right="80"/>
              <w:spacing w:after="0" w:line="130" w:lineRule="exact"/>
              <w:rPr>
                <w:sz w:val="20"/>
                <w:szCs w:val="20"/>
                <w:color w:val="auto"/>
              </w:rPr>
            </w:pPr>
            <w:r>
              <w:rPr>
                <w:rFonts w:ascii="Arial" w:cs="Arial" w:eastAsia="Arial" w:hAnsi="Arial"/>
                <w:sz w:val="14"/>
                <w:szCs w:val="14"/>
                <w:color w:val="auto"/>
              </w:rPr>
              <w:t>11,708,430</w:t>
            </w:r>
          </w:p>
        </w:tc>
        <w:tc>
          <w:tcPr>
            <w:tcW w:w="0" w:type="dxa"/>
            <w:vAlign w:val="bottom"/>
          </w:tcPr>
          <w:p>
            <w:pPr>
              <w:spacing w:after="0"/>
              <w:rPr>
                <w:sz w:val="1"/>
                <w:szCs w:val="1"/>
                <w:color w:val="auto"/>
              </w:rPr>
            </w:pPr>
          </w:p>
        </w:tc>
      </w:tr>
      <w:tr>
        <w:trPr>
          <w:trHeight w:val="181"/>
        </w:trPr>
        <w:tc>
          <w:tcPr>
            <w:tcW w:w="34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060" w:type="dxa"/>
            <w:vAlign w:val="bottom"/>
          </w:tcPr>
          <w:p>
            <w:pPr>
              <w:jc w:val="center"/>
              <w:spacing w:after="0"/>
              <w:rPr>
                <w:sz w:val="20"/>
                <w:szCs w:val="20"/>
                <w:color w:val="auto"/>
              </w:rPr>
            </w:pPr>
            <w:r>
              <w:rPr>
                <w:rFonts w:ascii="Arial" w:cs="Arial" w:eastAsia="Arial" w:hAnsi="Arial"/>
                <w:sz w:val="14"/>
                <w:szCs w:val="14"/>
                <w:color w:val="auto"/>
                <w:w w:val="94"/>
              </w:rPr>
              <w:t>Childcare</w:t>
            </w:r>
          </w:p>
        </w:tc>
        <w:tc>
          <w:tcPr>
            <w:tcW w:w="9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34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Instant Web, Inc.</w:t>
            </w:r>
          </w:p>
        </w:tc>
        <w:tc>
          <w:tcPr>
            <w:tcW w:w="1000" w:type="dxa"/>
            <w:vAlign w:val="bottom"/>
            <w:shd w:val="clear" w:color="auto" w:fill="CCEEFF"/>
          </w:tcPr>
          <w:p>
            <w:pPr>
              <w:ind w:left="240"/>
              <w:spacing w:after="0" w:line="149" w:lineRule="exact"/>
              <w:rPr>
                <w:sz w:val="20"/>
                <w:szCs w:val="20"/>
                <w:color w:val="auto"/>
              </w:rPr>
            </w:pPr>
            <w:r>
              <w:rPr>
                <w:rFonts w:ascii="Arial" w:cs="Arial" w:eastAsia="Arial" w:hAnsi="Arial"/>
                <w:sz w:val="14"/>
                <w:szCs w:val="14"/>
                <w:color w:val="auto"/>
              </w:rPr>
              <w:t>08/07/2014</w:t>
            </w:r>
          </w:p>
        </w:tc>
        <w:tc>
          <w:tcPr>
            <w:tcW w:w="206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4"/>
              </w:rPr>
              <w:t>Printing and Publishing</w:t>
            </w:r>
          </w:p>
        </w:tc>
        <w:tc>
          <w:tcPr>
            <w:tcW w:w="940" w:type="dxa"/>
            <w:vAlign w:val="bottom"/>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rPr>
              <w:t>14.50%</w:t>
            </w: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L+950</w:t>
            </w:r>
          </w:p>
        </w:tc>
        <w:tc>
          <w:tcPr>
            <w:tcW w:w="240" w:type="dxa"/>
            <w:vAlign w:val="bottom"/>
            <w:shd w:val="clear" w:color="auto" w:fill="CCEEFF"/>
          </w:tcPr>
          <w:p>
            <w:pPr>
              <w:jc w:val="right"/>
              <w:ind w:right="19"/>
              <w:spacing w:after="0"/>
              <w:rPr>
                <w:sz w:val="20"/>
                <w:szCs w:val="20"/>
                <w:color w:val="auto"/>
              </w:rPr>
            </w:pPr>
            <w:r>
              <w:rPr>
                <w:rFonts w:ascii="Arial" w:cs="Arial" w:eastAsia="Arial" w:hAnsi="Arial"/>
                <w:sz w:val="12"/>
                <w:szCs w:val="12"/>
                <w:color w:val="auto"/>
                <w:w w:val="95"/>
              </w:rPr>
              <w:t>(8)</w:t>
            </w:r>
          </w:p>
        </w:tc>
        <w:tc>
          <w:tcPr>
            <w:tcW w:w="9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23,934,268</w:t>
            </w:r>
          </w:p>
        </w:tc>
        <w:tc>
          <w:tcPr>
            <w:tcW w:w="9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23,788,980</w:t>
            </w:r>
          </w:p>
        </w:tc>
        <w:tc>
          <w:tcPr>
            <w:tcW w:w="100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22,976,897</w:t>
            </w:r>
          </w:p>
        </w:tc>
        <w:tc>
          <w:tcPr>
            <w:tcW w:w="0" w:type="dxa"/>
            <w:vAlign w:val="bottom"/>
          </w:tcPr>
          <w:p>
            <w:pPr>
              <w:spacing w:after="0"/>
              <w:rPr>
                <w:sz w:val="1"/>
                <w:szCs w:val="1"/>
                <w:color w:val="auto"/>
              </w:rPr>
            </w:pPr>
          </w:p>
        </w:tc>
      </w:tr>
      <w:tr>
        <w:trPr>
          <w:trHeight w:val="148"/>
        </w:trPr>
        <w:tc>
          <w:tcPr>
            <w:tcW w:w="3420" w:type="dxa"/>
            <w:vAlign w:val="bottom"/>
          </w:tcPr>
          <w:p>
            <w:pPr>
              <w:spacing w:after="0" w:line="149" w:lineRule="exact"/>
              <w:rPr>
                <w:sz w:val="20"/>
                <w:szCs w:val="20"/>
                <w:color w:val="auto"/>
              </w:rPr>
            </w:pPr>
            <w:r>
              <w:rPr>
                <w:rFonts w:ascii="Arial" w:cs="Arial" w:eastAsia="Arial" w:hAnsi="Arial"/>
                <w:sz w:val="14"/>
                <w:szCs w:val="14"/>
                <w:color w:val="auto"/>
              </w:rPr>
              <w:t>Instant Web, Inc.</w:t>
            </w:r>
          </w:p>
        </w:tc>
        <w:tc>
          <w:tcPr>
            <w:tcW w:w="1000" w:type="dxa"/>
            <w:vAlign w:val="bottom"/>
          </w:tcPr>
          <w:p>
            <w:pPr>
              <w:ind w:left="240"/>
              <w:spacing w:after="0" w:line="149" w:lineRule="exact"/>
              <w:rPr>
                <w:sz w:val="20"/>
                <w:szCs w:val="20"/>
                <w:color w:val="auto"/>
              </w:rPr>
            </w:pPr>
            <w:r>
              <w:rPr>
                <w:rFonts w:ascii="Arial" w:cs="Arial" w:eastAsia="Arial" w:hAnsi="Arial"/>
                <w:sz w:val="14"/>
                <w:szCs w:val="14"/>
                <w:color w:val="auto"/>
              </w:rPr>
              <w:t>08/07/2014</w:t>
            </w:r>
          </w:p>
        </w:tc>
        <w:tc>
          <w:tcPr>
            <w:tcW w:w="2060" w:type="dxa"/>
            <w:vAlign w:val="bottom"/>
          </w:tcPr>
          <w:p>
            <w:pPr>
              <w:jc w:val="center"/>
              <w:spacing w:after="0" w:line="149" w:lineRule="exact"/>
              <w:rPr>
                <w:sz w:val="20"/>
                <w:szCs w:val="20"/>
                <w:color w:val="auto"/>
              </w:rPr>
            </w:pPr>
            <w:r>
              <w:rPr>
                <w:rFonts w:ascii="Arial" w:cs="Arial" w:eastAsia="Arial" w:hAnsi="Arial"/>
                <w:sz w:val="14"/>
                <w:szCs w:val="14"/>
                <w:color w:val="auto"/>
                <w:w w:val="94"/>
              </w:rPr>
              <w:t>Printing and Publishing</w:t>
            </w:r>
          </w:p>
        </w:tc>
        <w:tc>
          <w:tcPr>
            <w:tcW w:w="940" w:type="dxa"/>
            <w:vAlign w:val="bottom"/>
          </w:tcPr>
          <w:p>
            <w:pPr>
              <w:jc w:val="right"/>
              <w:ind w:right="48"/>
              <w:spacing w:after="0" w:line="149" w:lineRule="exact"/>
              <w:rPr>
                <w:sz w:val="20"/>
                <w:szCs w:val="20"/>
                <w:color w:val="auto"/>
              </w:rPr>
            </w:pPr>
            <w:r>
              <w:rPr>
                <w:rFonts w:ascii="Arial" w:cs="Arial" w:eastAsia="Arial" w:hAnsi="Arial"/>
                <w:sz w:val="14"/>
                <w:szCs w:val="14"/>
                <w:color w:val="auto"/>
              </w:rPr>
              <w:t>3.55%</w:t>
            </w: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L+338</w:t>
            </w:r>
          </w:p>
        </w:tc>
        <w:tc>
          <w:tcPr>
            <w:tcW w:w="240" w:type="dxa"/>
            <w:vAlign w:val="bottom"/>
          </w:tcPr>
          <w:p>
            <w:pPr>
              <w:spacing w:after="0"/>
              <w:rPr>
                <w:sz w:val="12"/>
                <w:szCs w:val="12"/>
                <w:color w:val="auto"/>
              </w:rPr>
            </w:pPr>
          </w:p>
        </w:tc>
        <w:tc>
          <w:tcPr>
            <w:tcW w:w="9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18,199,679</w:t>
            </w:r>
          </w:p>
        </w:tc>
        <w:tc>
          <w:tcPr>
            <w:tcW w:w="9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13,917,288</w:t>
            </w:r>
          </w:p>
        </w:tc>
        <w:tc>
          <w:tcPr>
            <w:tcW w:w="100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rPr>
              <w:t>14,559,743</w:t>
            </w:r>
          </w:p>
        </w:tc>
        <w:tc>
          <w:tcPr>
            <w:tcW w:w="0" w:type="dxa"/>
            <w:vAlign w:val="bottom"/>
          </w:tcPr>
          <w:p>
            <w:pPr>
              <w:spacing w:after="0"/>
              <w:rPr>
                <w:sz w:val="1"/>
                <w:szCs w:val="1"/>
                <w:color w:val="auto"/>
              </w:rPr>
            </w:pPr>
          </w:p>
        </w:tc>
      </w:tr>
      <w:tr>
        <w:trPr>
          <w:trHeight w:val="130"/>
        </w:trPr>
        <w:tc>
          <w:tcPr>
            <w:tcW w:w="342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Interactive Health Solutions, Inc.</w:t>
            </w:r>
          </w:p>
        </w:tc>
        <w:tc>
          <w:tcPr>
            <w:tcW w:w="1000" w:type="dxa"/>
            <w:vAlign w:val="bottom"/>
            <w:shd w:val="clear" w:color="auto" w:fill="CCEEFF"/>
          </w:tcPr>
          <w:p>
            <w:pPr>
              <w:ind w:left="240"/>
              <w:spacing w:after="0" w:line="130" w:lineRule="exact"/>
              <w:rPr>
                <w:sz w:val="20"/>
                <w:szCs w:val="20"/>
                <w:color w:val="auto"/>
              </w:rPr>
            </w:pPr>
            <w:r>
              <w:rPr>
                <w:rFonts w:ascii="Arial" w:cs="Arial" w:eastAsia="Arial" w:hAnsi="Arial"/>
                <w:sz w:val="14"/>
                <w:szCs w:val="14"/>
                <w:color w:val="auto"/>
              </w:rPr>
              <w:t>10/04/2016</w:t>
            </w:r>
          </w:p>
        </w:tc>
        <w:tc>
          <w:tcPr>
            <w:tcW w:w="2060" w:type="dxa"/>
            <w:vAlign w:val="bottom"/>
            <w:shd w:val="clear" w:color="auto" w:fill="CCEEFF"/>
          </w:tcPr>
          <w:p>
            <w:pPr>
              <w:jc w:val="center"/>
              <w:spacing w:after="0" w:line="130" w:lineRule="exact"/>
              <w:rPr>
                <w:sz w:val="20"/>
                <w:szCs w:val="20"/>
                <w:color w:val="auto"/>
              </w:rPr>
            </w:pPr>
            <w:r>
              <w:rPr>
                <w:rFonts w:ascii="Arial" w:cs="Arial" w:eastAsia="Arial" w:hAnsi="Arial"/>
                <w:sz w:val="14"/>
                <w:szCs w:val="14"/>
                <w:color w:val="auto"/>
                <w:w w:val="92"/>
              </w:rPr>
              <w:t>Healthcare, Education and</w:t>
            </w:r>
          </w:p>
        </w:tc>
        <w:tc>
          <w:tcPr>
            <w:tcW w:w="940" w:type="dxa"/>
            <w:vAlign w:val="bottom"/>
            <w:shd w:val="clear" w:color="auto" w:fill="CCEEFF"/>
          </w:tcPr>
          <w:p>
            <w:pPr>
              <w:jc w:val="right"/>
              <w:ind w:right="48"/>
              <w:spacing w:after="0" w:line="130" w:lineRule="exact"/>
              <w:rPr>
                <w:sz w:val="20"/>
                <w:szCs w:val="20"/>
                <w:color w:val="auto"/>
              </w:rPr>
            </w:pPr>
            <w:r>
              <w:rPr>
                <w:rFonts w:ascii="Arial" w:cs="Arial" w:eastAsia="Arial" w:hAnsi="Arial"/>
                <w:sz w:val="14"/>
                <w:szCs w:val="14"/>
                <w:color w:val="auto"/>
              </w:rPr>
              <w:t>11.50%</w:t>
            </w:r>
          </w:p>
        </w:tc>
        <w:tc>
          <w:tcPr>
            <w:tcW w:w="780" w:type="dxa"/>
            <w:vAlign w:val="bottom"/>
            <w:shd w:val="clear" w:color="auto" w:fill="CCEEFF"/>
          </w:tcPr>
          <w:p>
            <w:pPr>
              <w:jc w:val="right"/>
              <w:spacing w:after="0" w:line="130" w:lineRule="exact"/>
              <w:rPr>
                <w:sz w:val="20"/>
                <w:szCs w:val="20"/>
                <w:color w:val="auto"/>
              </w:rPr>
            </w:pPr>
            <w:r>
              <w:rPr>
                <w:rFonts w:ascii="Arial" w:cs="Arial" w:eastAsia="Arial" w:hAnsi="Arial"/>
                <w:sz w:val="14"/>
                <w:szCs w:val="14"/>
                <w:color w:val="auto"/>
              </w:rPr>
              <w:t>L+950</w:t>
            </w:r>
          </w:p>
        </w:tc>
        <w:tc>
          <w:tcPr>
            <w:tcW w:w="240" w:type="dxa"/>
            <w:vAlign w:val="bottom"/>
            <w:shd w:val="clear" w:color="auto" w:fill="CCEEFF"/>
          </w:tcPr>
          <w:p>
            <w:pPr>
              <w:jc w:val="right"/>
              <w:ind w:right="19"/>
              <w:spacing w:after="0" w:line="130" w:lineRule="exact"/>
              <w:rPr>
                <w:sz w:val="20"/>
                <w:szCs w:val="20"/>
                <w:color w:val="auto"/>
              </w:rPr>
            </w:pPr>
            <w:r>
              <w:rPr>
                <w:rFonts w:ascii="Arial" w:cs="Arial" w:eastAsia="Arial" w:hAnsi="Arial"/>
                <w:sz w:val="12"/>
                <w:szCs w:val="12"/>
                <w:color w:val="auto"/>
                <w:w w:val="95"/>
              </w:rPr>
              <w:t>(8)</w:t>
            </w:r>
          </w:p>
        </w:tc>
        <w:tc>
          <w:tcPr>
            <w:tcW w:w="900" w:type="dxa"/>
            <w:vAlign w:val="bottom"/>
            <w:gridSpan w:val="2"/>
            <w:shd w:val="clear" w:color="auto" w:fill="CCEEFF"/>
          </w:tcPr>
          <w:p>
            <w:pPr>
              <w:jc w:val="right"/>
              <w:ind w:right="160"/>
              <w:spacing w:after="0" w:line="130" w:lineRule="exact"/>
              <w:rPr>
                <w:sz w:val="20"/>
                <w:szCs w:val="20"/>
                <w:color w:val="auto"/>
              </w:rPr>
            </w:pPr>
            <w:r>
              <w:rPr>
                <w:rFonts w:ascii="Arial" w:cs="Arial" w:eastAsia="Arial" w:hAnsi="Arial"/>
                <w:sz w:val="14"/>
                <w:szCs w:val="14"/>
                <w:color w:val="auto"/>
              </w:rPr>
              <w:t>18,050,000</w:t>
            </w:r>
          </w:p>
        </w:tc>
        <w:tc>
          <w:tcPr>
            <w:tcW w:w="900" w:type="dxa"/>
            <w:vAlign w:val="bottom"/>
            <w:gridSpan w:val="2"/>
            <w:shd w:val="clear" w:color="auto" w:fill="CCEEFF"/>
          </w:tcPr>
          <w:p>
            <w:pPr>
              <w:jc w:val="right"/>
              <w:ind w:right="80"/>
              <w:spacing w:after="0" w:line="130" w:lineRule="exact"/>
              <w:rPr>
                <w:sz w:val="20"/>
                <w:szCs w:val="20"/>
                <w:color w:val="auto"/>
              </w:rPr>
            </w:pPr>
            <w:r>
              <w:rPr>
                <w:rFonts w:ascii="Arial" w:cs="Arial" w:eastAsia="Arial" w:hAnsi="Arial"/>
                <w:sz w:val="14"/>
                <w:szCs w:val="14"/>
                <w:color w:val="auto"/>
              </w:rPr>
              <w:t>17,770,705</w:t>
            </w:r>
          </w:p>
        </w:tc>
        <w:tc>
          <w:tcPr>
            <w:tcW w:w="1000" w:type="dxa"/>
            <w:vAlign w:val="bottom"/>
            <w:gridSpan w:val="3"/>
            <w:shd w:val="clear" w:color="auto" w:fill="CCEEFF"/>
          </w:tcPr>
          <w:p>
            <w:pPr>
              <w:jc w:val="right"/>
              <w:ind w:right="80"/>
              <w:spacing w:after="0" w:line="130" w:lineRule="exact"/>
              <w:rPr>
                <w:sz w:val="20"/>
                <w:szCs w:val="20"/>
                <w:color w:val="auto"/>
              </w:rPr>
            </w:pPr>
            <w:r>
              <w:rPr>
                <w:rFonts w:ascii="Arial" w:cs="Arial" w:eastAsia="Arial" w:hAnsi="Arial"/>
                <w:sz w:val="14"/>
                <w:szCs w:val="14"/>
                <w:color w:val="auto"/>
              </w:rPr>
              <w:t>18,050,000</w:t>
            </w:r>
          </w:p>
        </w:tc>
        <w:tc>
          <w:tcPr>
            <w:tcW w:w="0" w:type="dxa"/>
            <w:vAlign w:val="bottom"/>
          </w:tcPr>
          <w:p>
            <w:pPr>
              <w:spacing w:after="0"/>
              <w:rPr>
                <w:sz w:val="1"/>
                <w:szCs w:val="1"/>
                <w:color w:val="auto"/>
              </w:rPr>
            </w:pPr>
          </w:p>
        </w:tc>
      </w:tr>
      <w:tr>
        <w:trPr>
          <w:trHeight w:val="167"/>
        </w:trPr>
        <w:tc>
          <w:tcPr>
            <w:tcW w:w="342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20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4"/>
              </w:rPr>
              <w:t>Childcare</w:t>
            </w:r>
          </w:p>
        </w:tc>
        <w:tc>
          <w:tcPr>
            <w:tcW w:w="94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3420" w:type="dxa"/>
            <w:vAlign w:val="bottom"/>
          </w:tcPr>
          <w:p>
            <w:pPr>
              <w:spacing w:after="0" w:line="130" w:lineRule="exact"/>
              <w:rPr>
                <w:sz w:val="20"/>
                <w:szCs w:val="20"/>
                <w:color w:val="auto"/>
              </w:rPr>
            </w:pPr>
            <w:r>
              <w:rPr>
                <w:rFonts w:ascii="Arial" w:cs="Arial" w:eastAsia="Arial" w:hAnsi="Arial"/>
                <w:sz w:val="14"/>
                <w:szCs w:val="14"/>
                <w:color w:val="auto"/>
              </w:rPr>
              <w:t>Jackson Hewitt Tax Service Inc.</w:t>
            </w:r>
          </w:p>
        </w:tc>
        <w:tc>
          <w:tcPr>
            <w:tcW w:w="3060" w:type="dxa"/>
            <w:vAlign w:val="bottom"/>
            <w:gridSpan w:val="2"/>
          </w:tcPr>
          <w:p>
            <w:pPr>
              <w:ind w:left="240"/>
              <w:spacing w:after="0" w:line="130" w:lineRule="exact"/>
              <w:rPr>
                <w:sz w:val="20"/>
                <w:szCs w:val="20"/>
                <w:color w:val="auto"/>
              </w:rPr>
            </w:pPr>
            <w:r>
              <w:rPr>
                <w:rFonts w:ascii="Arial" w:cs="Arial" w:eastAsia="Arial" w:hAnsi="Arial"/>
                <w:sz w:val="14"/>
                <w:szCs w:val="14"/>
                <w:color w:val="auto"/>
                <w:w w:val="95"/>
              </w:rPr>
              <w:t>10/16/2017  Personal, Food and Miscellaneous</w:t>
            </w:r>
          </w:p>
        </w:tc>
        <w:tc>
          <w:tcPr>
            <w:tcW w:w="940" w:type="dxa"/>
            <w:vAlign w:val="bottom"/>
          </w:tcPr>
          <w:p>
            <w:pPr>
              <w:jc w:val="right"/>
              <w:ind w:right="48"/>
              <w:spacing w:after="0" w:line="130" w:lineRule="exact"/>
              <w:rPr>
                <w:sz w:val="20"/>
                <w:szCs w:val="20"/>
                <w:color w:val="auto"/>
              </w:rPr>
            </w:pPr>
            <w:r>
              <w:rPr>
                <w:rFonts w:ascii="Arial" w:cs="Arial" w:eastAsia="Arial" w:hAnsi="Arial"/>
                <w:sz w:val="14"/>
                <w:szCs w:val="14"/>
                <w:color w:val="auto"/>
              </w:rPr>
              <w:t>10.00%</w:t>
            </w:r>
          </w:p>
        </w:tc>
        <w:tc>
          <w:tcPr>
            <w:tcW w:w="780" w:type="dxa"/>
            <w:vAlign w:val="bottom"/>
          </w:tcPr>
          <w:p>
            <w:pPr>
              <w:jc w:val="right"/>
              <w:spacing w:after="0" w:line="130" w:lineRule="exact"/>
              <w:rPr>
                <w:sz w:val="20"/>
                <w:szCs w:val="20"/>
                <w:color w:val="auto"/>
              </w:rPr>
            </w:pPr>
            <w:r>
              <w:rPr>
                <w:rFonts w:ascii="Arial" w:cs="Arial" w:eastAsia="Arial" w:hAnsi="Arial"/>
                <w:sz w:val="14"/>
                <w:szCs w:val="14"/>
                <w:color w:val="auto"/>
              </w:rPr>
              <w:t>L+850</w:t>
            </w:r>
          </w:p>
        </w:tc>
        <w:tc>
          <w:tcPr>
            <w:tcW w:w="240" w:type="dxa"/>
            <w:vAlign w:val="bottom"/>
          </w:tcPr>
          <w:p>
            <w:pPr>
              <w:jc w:val="right"/>
              <w:ind w:right="19"/>
              <w:spacing w:after="0" w:line="130" w:lineRule="exact"/>
              <w:rPr>
                <w:sz w:val="20"/>
                <w:szCs w:val="20"/>
                <w:color w:val="auto"/>
              </w:rPr>
            </w:pPr>
            <w:r>
              <w:rPr>
                <w:rFonts w:ascii="Arial" w:cs="Arial" w:eastAsia="Arial" w:hAnsi="Arial"/>
                <w:sz w:val="12"/>
                <w:szCs w:val="12"/>
                <w:color w:val="auto"/>
                <w:w w:val="95"/>
              </w:rPr>
              <w:t>(8)</w:t>
            </w:r>
          </w:p>
        </w:tc>
        <w:tc>
          <w:tcPr>
            <w:tcW w:w="900" w:type="dxa"/>
            <w:vAlign w:val="bottom"/>
            <w:gridSpan w:val="2"/>
          </w:tcPr>
          <w:p>
            <w:pPr>
              <w:jc w:val="right"/>
              <w:ind w:right="160"/>
              <w:spacing w:after="0" w:line="130" w:lineRule="exact"/>
              <w:rPr>
                <w:sz w:val="20"/>
                <w:szCs w:val="20"/>
                <w:color w:val="auto"/>
              </w:rPr>
            </w:pPr>
            <w:r>
              <w:rPr>
                <w:rFonts w:ascii="Arial" w:cs="Arial" w:eastAsia="Arial" w:hAnsi="Arial"/>
                <w:sz w:val="14"/>
                <w:szCs w:val="14"/>
                <w:color w:val="auto"/>
              </w:rPr>
              <w:t>8,355,469</w:t>
            </w:r>
          </w:p>
        </w:tc>
        <w:tc>
          <w:tcPr>
            <w:tcW w:w="900" w:type="dxa"/>
            <w:vAlign w:val="bottom"/>
            <w:gridSpan w:val="2"/>
          </w:tcPr>
          <w:p>
            <w:pPr>
              <w:jc w:val="right"/>
              <w:ind w:right="80"/>
              <w:spacing w:after="0" w:line="130" w:lineRule="exact"/>
              <w:rPr>
                <w:sz w:val="20"/>
                <w:szCs w:val="20"/>
                <w:color w:val="auto"/>
              </w:rPr>
            </w:pPr>
            <w:r>
              <w:rPr>
                <w:rFonts w:ascii="Arial" w:cs="Arial" w:eastAsia="Arial" w:hAnsi="Arial"/>
                <w:sz w:val="14"/>
                <w:szCs w:val="14"/>
                <w:color w:val="auto"/>
              </w:rPr>
              <w:t>8,349,704</w:t>
            </w:r>
          </w:p>
        </w:tc>
        <w:tc>
          <w:tcPr>
            <w:tcW w:w="1000" w:type="dxa"/>
            <w:vAlign w:val="bottom"/>
            <w:gridSpan w:val="3"/>
          </w:tcPr>
          <w:p>
            <w:pPr>
              <w:jc w:val="right"/>
              <w:ind w:right="80"/>
              <w:spacing w:after="0" w:line="130" w:lineRule="exact"/>
              <w:rPr>
                <w:sz w:val="20"/>
                <w:szCs w:val="20"/>
                <w:color w:val="auto"/>
              </w:rPr>
            </w:pPr>
            <w:r>
              <w:rPr>
                <w:rFonts w:ascii="Arial" w:cs="Arial" w:eastAsia="Arial" w:hAnsi="Arial"/>
                <w:sz w:val="14"/>
                <w:szCs w:val="14"/>
                <w:color w:val="auto"/>
              </w:rPr>
              <w:t>8,230,137</w:t>
            </w:r>
          </w:p>
        </w:tc>
        <w:tc>
          <w:tcPr>
            <w:tcW w:w="0" w:type="dxa"/>
            <w:vAlign w:val="bottom"/>
          </w:tcPr>
          <w:p>
            <w:pPr>
              <w:spacing w:after="0"/>
              <w:rPr>
                <w:sz w:val="1"/>
                <w:szCs w:val="1"/>
                <w:color w:val="auto"/>
              </w:rPr>
            </w:pPr>
          </w:p>
        </w:tc>
      </w:tr>
      <w:tr>
        <w:trPr>
          <w:trHeight w:val="181"/>
        </w:trPr>
        <w:tc>
          <w:tcPr>
            <w:tcW w:w="34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060" w:type="dxa"/>
            <w:vAlign w:val="bottom"/>
          </w:tcPr>
          <w:p>
            <w:pPr>
              <w:jc w:val="center"/>
              <w:spacing w:after="0"/>
              <w:rPr>
                <w:sz w:val="20"/>
                <w:szCs w:val="20"/>
                <w:color w:val="auto"/>
              </w:rPr>
            </w:pPr>
            <w:r>
              <w:rPr>
                <w:rFonts w:ascii="Arial" w:cs="Arial" w:eastAsia="Arial" w:hAnsi="Arial"/>
                <w:sz w:val="14"/>
                <w:szCs w:val="14"/>
                <w:color w:val="auto"/>
                <w:w w:val="89"/>
              </w:rPr>
              <w:t>Services</w:t>
            </w:r>
          </w:p>
        </w:tc>
        <w:tc>
          <w:tcPr>
            <w:tcW w:w="9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8"/>
        </w:trPr>
        <w:tc>
          <w:tcPr>
            <w:tcW w:w="34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K2 Pure Solutions NoCal, L.P.</w:t>
            </w:r>
          </w:p>
        </w:tc>
        <w:tc>
          <w:tcPr>
            <w:tcW w:w="3060" w:type="dxa"/>
            <w:vAlign w:val="bottom"/>
            <w:gridSpan w:val="2"/>
            <w:shd w:val="clear" w:color="auto" w:fill="CCEEFF"/>
          </w:tcPr>
          <w:p>
            <w:pPr>
              <w:ind w:left="240"/>
              <w:spacing w:after="0" w:line="149" w:lineRule="exact"/>
              <w:rPr>
                <w:sz w:val="20"/>
                <w:szCs w:val="20"/>
                <w:color w:val="auto"/>
              </w:rPr>
            </w:pPr>
            <w:r>
              <w:rPr>
                <w:rFonts w:ascii="Arial" w:cs="Arial" w:eastAsia="Arial" w:hAnsi="Arial"/>
                <w:sz w:val="14"/>
                <w:szCs w:val="14"/>
                <w:color w:val="auto"/>
                <w:w w:val="99"/>
              </w:rPr>
              <w:t>08/19/2019   Chemicals, Plastics and Rubber</w:t>
            </w:r>
          </w:p>
        </w:tc>
        <w:tc>
          <w:tcPr>
            <w:tcW w:w="940" w:type="dxa"/>
            <w:vAlign w:val="bottom"/>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rPr>
              <w:t>10.00%</w:t>
            </w: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L+900</w:t>
            </w:r>
          </w:p>
        </w:tc>
        <w:tc>
          <w:tcPr>
            <w:tcW w:w="240" w:type="dxa"/>
            <w:vAlign w:val="bottom"/>
            <w:shd w:val="clear" w:color="auto" w:fill="CCEEFF"/>
          </w:tcPr>
          <w:p>
            <w:pPr>
              <w:jc w:val="right"/>
              <w:ind w:right="19"/>
              <w:spacing w:after="0"/>
              <w:rPr>
                <w:sz w:val="20"/>
                <w:szCs w:val="20"/>
                <w:color w:val="auto"/>
              </w:rPr>
            </w:pPr>
            <w:r>
              <w:rPr>
                <w:rFonts w:ascii="Arial" w:cs="Arial" w:eastAsia="Arial" w:hAnsi="Arial"/>
                <w:sz w:val="12"/>
                <w:szCs w:val="12"/>
                <w:color w:val="auto"/>
                <w:w w:val="95"/>
              </w:rPr>
              <w:t>(8)</w:t>
            </w:r>
          </w:p>
        </w:tc>
        <w:tc>
          <w:tcPr>
            <w:tcW w:w="9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22,342,352</w:t>
            </w:r>
          </w:p>
        </w:tc>
        <w:tc>
          <w:tcPr>
            <w:tcW w:w="9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21,899,258</w:t>
            </w:r>
          </w:p>
        </w:tc>
        <w:tc>
          <w:tcPr>
            <w:tcW w:w="100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22,007,217</w:t>
            </w:r>
          </w:p>
        </w:tc>
        <w:tc>
          <w:tcPr>
            <w:tcW w:w="0" w:type="dxa"/>
            <w:vAlign w:val="bottom"/>
          </w:tcPr>
          <w:p>
            <w:pPr>
              <w:spacing w:after="0"/>
              <w:rPr>
                <w:sz w:val="1"/>
                <w:szCs w:val="1"/>
                <w:color w:val="auto"/>
              </w:rPr>
            </w:pPr>
          </w:p>
        </w:tc>
      </w:tr>
      <w:tr>
        <w:trPr>
          <w:trHeight w:val="130"/>
        </w:trPr>
        <w:tc>
          <w:tcPr>
            <w:tcW w:w="3420" w:type="dxa"/>
            <w:vAlign w:val="bottom"/>
          </w:tcPr>
          <w:p>
            <w:pPr>
              <w:spacing w:after="0" w:line="130" w:lineRule="exact"/>
              <w:rPr>
                <w:sz w:val="20"/>
                <w:szCs w:val="20"/>
                <w:color w:val="auto"/>
              </w:rPr>
            </w:pPr>
            <w:r>
              <w:rPr>
                <w:rFonts w:ascii="Arial" w:cs="Arial" w:eastAsia="Arial" w:hAnsi="Arial"/>
                <w:sz w:val="14"/>
                <w:szCs w:val="14"/>
                <w:color w:val="auto"/>
              </w:rPr>
              <w:t>Penton Media, Inc.</w:t>
            </w:r>
          </w:p>
        </w:tc>
        <w:tc>
          <w:tcPr>
            <w:tcW w:w="1000" w:type="dxa"/>
            <w:vAlign w:val="bottom"/>
          </w:tcPr>
          <w:p>
            <w:pPr>
              <w:ind w:left="240"/>
              <w:spacing w:after="0" w:line="130" w:lineRule="exact"/>
              <w:rPr>
                <w:sz w:val="20"/>
                <w:szCs w:val="20"/>
                <w:color w:val="auto"/>
              </w:rPr>
            </w:pPr>
            <w:r>
              <w:rPr>
                <w:rFonts w:ascii="Arial" w:cs="Arial" w:eastAsia="Arial" w:hAnsi="Arial"/>
                <w:sz w:val="14"/>
                <w:szCs w:val="14"/>
                <w:color w:val="auto"/>
              </w:rPr>
              <w:t>08/01/2014</w:t>
            </w:r>
          </w:p>
        </w:tc>
        <w:tc>
          <w:tcPr>
            <w:tcW w:w="2060" w:type="dxa"/>
            <w:vAlign w:val="bottom"/>
          </w:tcPr>
          <w:p>
            <w:pPr>
              <w:jc w:val="center"/>
              <w:ind w:right="8"/>
              <w:spacing w:after="0" w:line="130" w:lineRule="exact"/>
              <w:rPr>
                <w:sz w:val="20"/>
                <w:szCs w:val="20"/>
                <w:color w:val="auto"/>
              </w:rPr>
            </w:pPr>
            <w:r>
              <w:rPr>
                <w:rFonts w:ascii="Arial" w:cs="Arial" w:eastAsia="Arial" w:hAnsi="Arial"/>
                <w:sz w:val="14"/>
                <w:szCs w:val="14"/>
                <w:color w:val="auto"/>
                <w:w w:val="96"/>
              </w:rPr>
              <w:t>Other Media</w:t>
            </w:r>
          </w:p>
        </w:tc>
        <w:tc>
          <w:tcPr>
            <w:tcW w:w="940" w:type="dxa"/>
            <w:vAlign w:val="bottom"/>
          </w:tcPr>
          <w:p>
            <w:pPr>
              <w:jc w:val="right"/>
              <w:ind w:right="48"/>
              <w:spacing w:after="0" w:line="130" w:lineRule="exact"/>
              <w:rPr>
                <w:sz w:val="20"/>
                <w:szCs w:val="20"/>
                <w:color w:val="auto"/>
              </w:rPr>
            </w:pPr>
            <w:r>
              <w:rPr>
                <w:rFonts w:ascii="Arial" w:cs="Arial" w:eastAsia="Arial" w:hAnsi="Arial"/>
                <w:sz w:val="14"/>
                <w:szCs w:val="14"/>
                <w:color w:val="auto"/>
              </w:rPr>
              <w:t>6.00%</w:t>
            </w:r>
          </w:p>
        </w:tc>
        <w:tc>
          <w:tcPr>
            <w:tcW w:w="780" w:type="dxa"/>
            <w:vAlign w:val="bottom"/>
          </w:tcPr>
          <w:p>
            <w:pPr>
              <w:jc w:val="right"/>
              <w:spacing w:after="0" w:line="130" w:lineRule="exact"/>
              <w:rPr>
                <w:sz w:val="20"/>
                <w:szCs w:val="20"/>
                <w:color w:val="auto"/>
              </w:rPr>
            </w:pPr>
            <w:r>
              <w:rPr>
                <w:rFonts w:ascii="Arial" w:cs="Arial" w:eastAsia="Arial" w:hAnsi="Arial"/>
                <w:sz w:val="14"/>
                <w:szCs w:val="14"/>
                <w:color w:val="auto"/>
              </w:rPr>
              <w:t>L+500</w:t>
            </w:r>
          </w:p>
        </w:tc>
        <w:tc>
          <w:tcPr>
            <w:tcW w:w="240" w:type="dxa"/>
            <w:vAlign w:val="bottom"/>
          </w:tcPr>
          <w:p>
            <w:pPr>
              <w:jc w:val="right"/>
              <w:ind w:right="19"/>
              <w:spacing w:after="0" w:line="130" w:lineRule="exact"/>
              <w:rPr>
                <w:sz w:val="20"/>
                <w:szCs w:val="20"/>
                <w:color w:val="auto"/>
              </w:rPr>
            </w:pPr>
            <w:r>
              <w:rPr>
                <w:rFonts w:ascii="Arial" w:cs="Arial" w:eastAsia="Arial" w:hAnsi="Arial"/>
                <w:sz w:val="12"/>
                <w:szCs w:val="12"/>
                <w:color w:val="auto"/>
                <w:w w:val="95"/>
              </w:rPr>
              <w:t>(8)</w:t>
            </w:r>
          </w:p>
        </w:tc>
        <w:tc>
          <w:tcPr>
            <w:tcW w:w="900" w:type="dxa"/>
            <w:vAlign w:val="bottom"/>
            <w:gridSpan w:val="2"/>
          </w:tcPr>
          <w:p>
            <w:pPr>
              <w:jc w:val="right"/>
              <w:ind w:right="160"/>
              <w:spacing w:after="0" w:line="130" w:lineRule="exact"/>
              <w:rPr>
                <w:sz w:val="20"/>
                <w:szCs w:val="20"/>
                <w:color w:val="auto"/>
              </w:rPr>
            </w:pPr>
            <w:r>
              <w:rPr>
                <w:rFonts w:ascii="Arial" w:cs="Arial" w:eastAsia="Arial" w:hAnsi="Arial"/>
                <w:sz w:val="14"/>
                <w:szCs w:val="14"/>
                <w:color w:val="auto"/>
              </w:rPr>
              <w:t>37,950,152</w:t>
            </w:r>
          </w:p>
        </w:tc>
        <w:tc>
          <w:tcPr>
            <w:tcW w:w="900" w:type="dxa"/>
            <w:vAlign w:val="bottom"/>
            <w:gridSpan w:val="2"/>
          </w:tcPr>
          <w:p>
            <w:pPr>
              <w:jc w:val="right"/>
              <w:ind w:right="80"/>
              <w:spacing w:after="0" w:line="130" w:lineRule="exact"/>
              <w:rPr>
                <w:sz w:val="20"/>
                <w:szCs w:val="20"/>
                <w:color w:val="auto"/>
              </w:rPr>
            </w:pPr>
            <w:r>
              <w:rPr>
                <w:rFonts w:ascii="Arial" w:cs="Arial" w:eastAsia="Arial" w:hAnsi="Arial"/>
                <w:sz w:val="14"/>
                <w:szCs w:val="14"/>
                <w:color w:val="auto"/>
              </w:rPr>
              <w:t>36,110,124</w:t>
            </w:r>
          </w:p>
        </w:tc>
        <w:tc>
          <w:tcPr>
            <w:tcW w:w="1000" w:type="dxa"/>
            <w:vAlign w:val="bottom"/>
            <w:gridSpan w:val="3"/>
          </w:tcPr>
          <w:p>
            <w:pPr>
              <w:jc w:val="right"/>
              <w:ind w:right="80"/>
              <w:spacing w:after="0" w:line="130" w:lineRule="exact"/>
              <w:rPr>
                <w:sz w:val="20"/>
                <w:szCs w:val="20"/>
                <w:color w:val="auto"/>
              </w:rPr>
            </w:pPr>
            <w:r>
              <w:rPr>
                <w:rFonts w:ascii="Arial" w:cs="Arial" w:eastAsia="Arial" w:hAnsi="Arial"/>
                <w:sz w:val="14"/>
                <w:szCs w:val="14"/>
                <w:color w:val="auto"/>
              </w:rPr>
              <w:t>37,523,212</w:t>
            </w:r>
          </w:p>
        </w:tc>
        <w:tc>
          <w:tcPr>
            <w:tcW w:w="0" w:type="dxa"/>
            <w:vAlign w:val="bottom"/>
          </w:tcPr>
          <w:p>
            <w:pPr>
              <w:spacing w:after="0"/>
              <w:rPr>
                <w:sz w:val="1"/>
                <w:szCs w:val="1"/>
                <w:color w:val="auto"/>
              </w:rPr>
            </w:pPr>
          </w:p>
        </w:tc>
      </w:tr>
      <w:tr>
        <w:trPr>
          <w:trHeight w:val="181"/>
        </w:trPr>
        <w:tc>
          <w:tcPr>
            <w:tcW w:w="34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060" w:type="dxa"/>
            <w:vAlign w:val="bottom"/>
          </w:tcPr>
          <w:p>
            <w:pPr>
              <w:spacing w:after="0"/>
              <w:rPr>
                <w:sz w:val="15"/>
                <w:szCs w:val="15"/>
                <w:color w:val="auto"/>
              </w:rPr>
            </w:pPr>
          </w:p>
        </w:tc>
        <w:tc>
          <w:tcPr>
            <w:tcW w:w="940" w:type="dxa"/>
            <w:vAlign w:val="bottom"/>
          </w:tcPr>
          <w:p>
            <w:pPr>
              <w:jc w:val="right"/>
              <w:ind w:right="8"/>
              <w:spacing w:after="0"/>
              <w:rPr>
                <w:sz w:val="20"/>
                <w:szCs w:val="20"/>
                <w:color w:val="auto"/>
              </w:rPr>
            </w:pPr>
            <w:r>
              <w:rPr>
                <w:rFonts w:ascii="Arial" w:cs="Arial" w:eastAsia="Arial" w:hAnsi="Arial"/>
                <w:sz w:val="14"/>
                <w:szCs w:val="14"/>
                <w:color w:val="auto"/>
              </w:rPr>
              <w:t>(PIK 2.00%)</w:t>
            </w:r>
          </w:p>
        </w:tc>
        <w:tc>
          <w:tcPr>
            <w:tcW w:w="7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0"/>
        </w:trPr>
        <w:tc>
          <w:tcPr>
            <w:tcW w:w="342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 xml:space="preserve">Prince Mineral Holding Corp. </w:t>
            </w:r>
            <w:r>
              <w:rPr>
                <w:rFonts w:ascii="Arial" w:cs="Arial" w:eastAsia="Arial" w:hAnsi="Arial"/>
                <w:sz w:val="12"/>
                <w:szCs w:val="12"/>
                <w:color w:val="auto"/>
              </w:rPr>
              <w:t>(5)</w:t>
            </w:r>
          </w:p>
        </w:tc>
        <w:tc>
          <w:tcPr>
            <w:tcW w:w="1000" w:type="dxa"/>
            <w:vAlign w:val="bottom"/>
            <w:shd w:val="clear" w:color="auto" w:fill="CCEEFF"/>
          </w:tcPr>
          <w:p>
            <w:pPr>
              <w:ind w:left="240"/>
              <w:spacing w:after="0" w:line="130" w:lineRule="exact"/>
              <w:rPr>
                <w:sz w:val="20"/>
                <w:szCs w:val="20"/>
                <w:color w:val="auto"/>
              </w:rPr>
            </w:pPr>
            <w:r>
              <w:rPr>
                <w:rFonts w:ascii="Arial" w:cs="Arial" w:eastAsia="Arial" w:hAnsi="Arial"/>
                <w:sz w:val="14"/>
                <w:szCs w:val="14"/>
                <w:color w:val="auto"/>
              </w:rPr>
              <w:t>12/16/2019</w:t>
            </w:r>
          </w:p>
        </w:tc>
        <w:tc>
          <w:tcPr>
            <w:tcW w:w="2060" w:type="dxa"/>
            <w:vAlign w:val="bottom"/>
            <w:shd w:val="clear" w:color="auto" w:fill="CCEEFF"/>
          </w:tcPr>
          <w:p>
            <w:pPr>
              <w:jc w:val="center"/>
              <w:ind w:right="8"/>
              <w:spacing w:after="0" w:line="130" w:lineRule="exact"/>
              <w:rPr>
                <w:sz w:val="20"/>
                <w:szCs w:val="20"/>
                <w:color w:val="auto"/>
              </w:rPr>
            </w:pPr>
            <w:r>
              <w:rPr>
                <w:rFonts w:ascii="Arial" w:cs="Arial" w:eastAsia="Arial" w:hAnsi="Arial"/>
                <w:sz w:val="14"/>
                <w:szCs w:val="14"/>
                <w:color w:val="auto"/>
                <w:w w:val="95"/>
              </w:rPr>
              <w:t>Mining, Steel, Iron and Non-</w:t>
            </w:r>
          </w:p>
        </w:tc>
        <w:tc>
          <w:tcPr>
            <w:tcW w:w="940" w:type="dxa"/>
            <w:vAlign w:val="bottom"/>
            <w:shd w:val="clear" w:color="auto" w:fill="CCEEFF"/>
          </w:tcPr>
          <w:p>
            <w:pPr>
              <w:jc w:val="right"/>
              <w:ind w:right="48"/>
              <w:spacing w:after="0" w:line="130" w:lineRule="exact"/>
              <w:rPr>
                <w:sz w:val="20"/>
                <w:szCs w:val="20"/>
                <w:color w:val="auto"/>
              </w:rPr>
            </w:pPr>
            <w:r>
              <w:rPr>
                <w:rFonts w:ascii="Arial" w:cs="Arial" w:eastAsia="Arial" w:hAnsi="Arial"/>
                <w:sz w:val="14"/>
                <w:szCs w:val="14"/>
                <w:color w:val="auto"/>
              </w:rPr>
              <w:t>11.50%</w:t>
            </w:r>
          </w:p>
        </w:tc>
        <w:tc>
          <w:tcPr>
            <w:tcW w:w="780" w:type="dxa"/>
            <w:vAlign w:val="bottom"/>
            <w:shd w:val="clear" w:color="auto" w:fill="CCEEFF"/>
          </w:tcPr>
          <w:p>
            <w:pPr>
              <w:jc w:val="right"/>
              <w:ind w:right="28"/>
              <w:spacing w:after="0" w:line="130" w:lineRule="exact"/>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1"/>
                <w:szCs w:val="11"/>
                <w:color w:val="auto"/>
              </w:rPr>
            </w:pPr>
          </w:p>
        </w:tc>
        <w:tc>
          <w:tcPr>
            <w:tcW w:w="900" w:type="dxa"/>
            <w:vAlign w:val="bottom"/>
            <w:gridSpan w:val="2"/>
            <w:shd w:val="clear" w:color="auto" w:fill="CCEEFF"/>
          </w:tcPr>
          <w:p>
            <w:pPr>
              <w:jc w:val="right"/>
              <w:ind w:right="160"/>
              <w:spacing w:after="0" w:line="130" w:lineRule="exact"/>
              <w:rPr>
                <w:sz w:val="20"/>
                <w:szCs w:val="20"/>
                <w:color w:val="auto"/>
              </w:rPr>
            </w:pPr>
            <w:r>
              <w:rPr>
                <w:rFonts w:ascii="Arial" w:cs="Arial" w:eastAsia="Arial" w:hAnsi="Arial"/>
                <w:sz w:val="14"/>
                <w:szCs w:val="14"/>
                <w:color w:val="auto"/>
              </w:rPr>
              <w:t>14,250,000</w:t>
            </w:r>
          </w:p>
        </w:tc>
        <w:tc>
          <w:tcPr>
            <w:tcW w:w="900" w:type="dxa"/>
            <w:vAlign w:val="bottom"/>
            <w:gridSpan w:val="2"/>
            <w:shd w:val="clear" w:color="auto" w:fill="CCEEFF"/>
          </w:tcPr>
          <w:p>
            <w:pPr>
              <w:jc w:val="right"/>
              <w:ind w:right="80"/>
              <w:spacing w:after="0" w:line="130" w:lineRule="exact"/>
              <w:rPr>
                <w:sz w:val="20"/>
                <w:szCs w:val="20"/>
                <w:color w:val="auto"/>
              </w:rPr>
            </w:pPr>
            <w:r>
              <w:rPr>
                <w:rFonts w:ascii="Arial" w:cs="Arial" w:eastAsia="Arial" w:hAnsi="Arial"/>
                <w:sz w:val="14"/>
                <w:szCs w:val="14"/>
                <w:color w:val="auto"/>
              </w:rPr>
              <w:t>14,096,169</w:t>
            </w:r>
          </w:p>
        </w:tc>
        <w:tc>
          <w:tcPr>
            <w:tcW w:w="1000" w:type="dxa"/>
            <w:vAlign w:val="bottom"/>
            <w:gridSpan w:val="3"/>
            <w:shd w:val="clear" w:color="auto" w:fill="CCEEFF"/>
          </w:tcPr>
          <w:p>
            <w:pPr>
              <w:jc w:val="right"/>
              <w:ind w:right="80"/>
              <w:spacing w:after="0" w:line="130" w:lineRule="exact"/>
              <w:rPr>
                <w:sz w:val="20"/>
                <w:szCs w:val="20"/>
                <w:color w:val="auto"/>
              </w:rPr>
            </w:pPr>
            <w:r>
              <w:rPr>
                <w:rFonts w:ascii="Arial" w:cs="Arial" w:eastAsia="Arial" w:hAnsi="Arial"/>
                <w:sz w:val="14"/>
                <w:szCs w:val="14"/>
                <w:color w:val="auto"/>
              </w:rPr>
              <w:t>15,176,250</w:t>
            </w:r>
          </w:p>
        </w:tc>
        <w:tc>
          <w:tcPr>
            <w:tcW w:w="0" w:type="dxa"/>
            <w:vAlign w:val="bottom"/>
          </w:tcPr>
          <w:p>
            <w:pPr>
              <w:spacing w:after="0"/>
              <w:rPr>
                <w:sz w:val="1"/>
                <w:szCs w:val="1"/>
                <w:color w:val="auto"/>
              </w:rPr>
            </w:pPr>
          </w:p>
        </w:tc>
      </w:tr>
      <w:tr>
        <w:trPr>
          <w:trHeight w:val="167"/>
        </w:trPr>
        <w:tc>
          <w:tcPr>
            <w:tcW w:w="342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20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2"/>
              </w:rPr>
              <w:t>Precious Metals</w:t>
            </w:r>
          </w:p>
        </w:tc>
        <w:tc>
          <w:tcPr>
            <w:tcW w:w="94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3420" w:type="dxa"/>
            <w:vAlign w:val="bottom"/>
          </w:tcPr>
          <w:p>
            <w:pPr>
              <w:spacing w:after="0" w:line="149" w:lineRule="exact"/>
              <w:rPr>
                <w:sz w:val="20"/>
                <w:szCs w:val="20"/>
                <w:color w:val="auto"/>
              </w:rPr>
            </w:pPr>
            <w:r>
              <w:rPr>
                <w:rFonts w:ascii="Arial" w:cs="Arial" w:eastAsia="Arial" w:hAnsi="Arial"/>
                <w:sz w:val="14"/>
                <w:szCs w:val="14"/>
                <w:color w:val="auto"/>
              </w:rPr>
              <w:t>TRAK Acquisition Corp.</w:t>
            </w:r>
          </w:p>
        </w:tc>
        <w:tc>
          <w:tcPr>
            <w:tcW w:w="1000" w:type="dxa"/>
            <w:vAlign w:val="bottom"/>
          </w:tcPr>
          <w:p>
            <w:pPr>
              <w:ind w:left="240"/>
              <w:spacing w:after="0" w:line="149" w:lineRule="exact"/>
              <w:rPr>
                <w:sz w:val="20"/>
                <w:szCs w:val="20"/>
                <w:color w:val="auto"/>
              </w:rPr>
            </w:pPr>
            <w:r>
              <w:rPr>
                <w:rFonts w:ascii="Arial" w:cs="Arial" w:eastAsia="Arial" w:hAnsi="Arial"/>
                <w:sz w:val="14"/>
                <w:szCs w:val="14"/>
                <w:color w:val="auto"/>
              </w:rPr>
              <w:t>04/30/2018</w:t>
            </w:r>
          </w:p>
        </w:tc>
        <w:tc>
          <w:tcPr>
            <w:tcW w:w="2060" w:type="dxa"/>
            <w:vAlign w:val="bottom"/>
          </w:tcPr>
          <w:p>
            <w:pPr>
              <w:jc w:val="center"/>
              <w:spacing w:after="0" w:line="149" w:lineRule="exact"/>
              <w:rPr>
                <w:sz w:val="20"/>
                <w:szCs w:val="20"/>
                <w:color w:val="auto"/>
              </w:rPr>
            </w:pPr>
            <w:r>
              <w:rPr>
                <w:rFonts w:ascii="Arial" w:cs="Arial" w:eastAsia="Arial" w:hAnsi="Arial"/>
                <w:sz w:val="14"/>
                <w:szCs w:val="14"/>
                <w:color w:val="auto"/>
                <w:w w:val="90"/>
              </w:rPr>
              <w:t>Business Services</w:t>
            </w:r>
          </w:p>
        </w:tc>
        <w:tc>
          <w:tcPr>
            <w:tcW w:w="940" w:type="dxa"/>
            <w:vAlign w:val="bottom"/>
          </w:tcPr>
          <w:p>
            <w:pPr>
              <w:jc w:val="right"/>
              <w:ind w:right="48"/>
              <w:spacing w:after="0" w:line="149" w:lineRule="exact"/>
              <w:rPr>
                <w:sz w:val="20"/>
                <w:szCs w:val="20"/>
                <w:color w:val="auto"/>
              </w:rPr>
            </w:pPr>
            <w:r>
              <w:rPr>
                <w:rFonts w:ascii="Arial" w:cs="Arial" w:eastAsia="Arial" w:hAnsi="Arial"/>
                <w:sz w:val="14"/>
                <w:szCs w:val="14"/>
                <w:color w:val="auto"/>
              </w:rPr>
              <w:t>12.00%</w:t>
            </w: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L+1,050</w:t>
            </w:r>
          </w:p>
        </w:tc>
        <w:tc>
          <w:tcPr>
            <w:tcW w:w="240" w:type="dxa"/>
            <w:vAlign w:val="bottom"/>
          </w:tcPr>
          <w:p>
            <w:pPr>
              <w:jc w:val="right"/>
              <w:ind w:right="19"/>
              <w:spacing w:after="0"/>
              <w:rPr>
                <w:sz w:val="20"/>
                <w:szCs w:val="20"/>
                <w:color w:val="auto"/>
              </w:rPr>
            </w:pPr>
            <w:r>
              <w:rPr>
                <w:rFonts w:ascii="Arial" w:cs="Arial" w:eastAsia="Arial" w:hAnsi="Arial"/>
                <w:sz w:val="12"/>
                <w:szCs w:val="12"/>
                <w:color w:val="auto"/>
                <w:w w:val="95"/>
              </w:rPr>
              <w:t>(8)</w:t>
            </w:r>
          </w:p>
        </w:tc>
        <w:tc>
          <w:tcPr>
            <w:tcW w:w="9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34,270,800</w:t>
            </w:r>
          </w:p>
        </w:tc>
        <w:tc>
          <w:tcPr>
            <w:tcW w:w="9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33,766,321</w:t>
            </w:r>
          </w:p>
        </w:tc>
        <w:tc>
          <w:tcPr>
            <w:tcW w:w="100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rPr>
              <w:t>34,270,800</w:t>
            </w:r>
          </w:p>
        </w:tc>
        <w:tc>
          <w:tcPr>
            <w:tcW w:w="0" w:type="dxa"/>
            <w:vAlign w:val="bottom"/>
          </w:tcPr>
          <w:p>
            <w:pPr>
              <w:spacing w:after="0"/>
              <w:rPr>
                <w:sz w:val="1"/>
                <w:szCs w:val="1"/>
                <w:color w:val="auto"/>
              </w:rPr>
            </w:pPr>
          </w:p>
        </w:tc>
      </w:tr>
      <w:tr>
        <w:trPr>
          <w:trHeight w:val="148"/>
        </w:trPr>
        <w:tc>
          <w:tcPr>
            <w:tcW w:w="34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Worley Claims Services LLC</w:t>
            </w:r>
          </w:p>
        </w:tc>
        <w:tc>
          <w:tcPr>
            <w:tcW w:w="1000" w:type="dxa"/>
            <w:vAlign w:val="bottom"/>
            <w:shd w:val="clear" w:color="auto" w:fill="CCEEFF"/>
          </w:tcPr>
          <w:p>
            <w:pPr>
              <w:ind w:left="240"/>
              <w:spacing w:after="0" w:line="149" w:lineRule="exact"/>
              <w:rPr>
                <w:sz w:val="20"/>
                <w:szCs w:val="20"/>
                <w:color w:val="auto"/>
              </w:rPr>
            </w:pPr>
            <w:r>
              <w:rPr>
                <w:rFonts w:ascii="Arial" w:cs="Arial" w:eastAsia="Arial" w:hAnsi="Arial"/>
                <w:sz w:val="14"/>
                <w:szCs w:val="14"/>
                <w:color w:val="auto"/>
              </w:rPr>
              <w:t>07/06/2017</w:t>
            </w:r>
          </w:p>
        </w:tc>
        <w:tc>
          <w:tcPr>
            <w:tcW w:w="206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1"/>
              </w:rPr>
              <w:t>Insurance</w:t>
            </w:r>
          </w:p>
        </w:tc>
        <w:tc>
          <w:tcPr>
            <w:tcW w:w="940" w:type="dxa"/>
            <w:vAlign w:val="bottom"/>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rPr>
              <w:t>12.50%</w:t>
            </w: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L+1,100</w:t>
            </w:r>
          </w:p>
        </w:tc>
        <w:tc>
          <w:tcPr>
            <w:tcW w:w="240" w:type="dxa"/>
            <w:vAlign w:val="bottom"/>
            <w:shd w:val="clear" w:color="auto" w:fill="CCEEFF"/>
          </w:tcPr>
          <w:p>
            <w:pPr>
              <w:jc w:val="right"/>
              <w:ind w:right="19"/>
              <w:spacing w:after="0"/>
              <w:rPr>
                <w:sz w:val="20"/>
                <w:szCs w:val="20"/>
                <w:color w:val="auto"/>
              </w:rPr>
            </w:pPr>
            <w:r>
              <w:rPr>
                <w:rFonts w:ascii="Arial" w:cs="Arial" w:eastAsia="Arial" w:hAnsi="Arial"/>
                <w:sz w:val="12"/>
                <w:szCs w:val="12"/>
                <w:color w:val="auto"/>
                <w:w w:val="95"/>
              </w:rPr>
              <w:t>(8)</w:t>
            </w:r>
          </w:p>
        </w:tc>
        <w:tc>
          <w:tcPr>
            <w:tcW w:w="9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12,451,096</w:t>
            </w:r>
          </w:p>
        </w:tc>
        <w:tc>
          <w:tcPr>
            <w:tcW w:w="9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12,451,096</w:t>
            </w:r>
          </w:p>
        </w:tc>
        <w:tc>
          <w:tcPr>
            <w:tcW w:w="100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12,388,840</w:t>
            </w:r>
          </w:p>
        </w:tc>
        <w:tc>
          <w:tcPr>
            <w:tcW w:w="0" w:type="dxa"/>
            <w:vAlign w:val="bottom"/>
          </w:tcPr>
          <w:p>
            <w:pPr>
              <w:spacing w:after="0"/>
              <w:rPr>
                <w:sz w:val="1"/>
                <w:szCs w:val="1"/>
                <w:color w:val="auto"/>
              </w:rPr>
            </w:pPr>
          </w:p>
        </w:tc>
      </w:tr>
      <w:tr>
        <w:trPr>
          <w:trHeight w:val="163"/>
        </w:trPr>
        <w:tc>
          <w:tcPr>
            <w:tcW w:w="3420" w:type="dxa"/>
            <w:vAlign w:val="bottom"/>
          </w:tcPr>
          <w:p>
            <w:pPr>
              <w:spacing w:after="0" w:line="155" w:lineRule="exact"/>
              <w:rPr>
                <w:sz w:val="20"/>
                <w:szCs w:val="20"/>
                <w:color w:val="auto"/>
              </w:rPr>
            </w:pPr>
            <w:r>
              <w:rPr>
                <w:rFonts w:ascii="Arial" w:cs="Arial" w:eastAsia="Arial" w:hAnsi="Arial"/>
                <w:sz w:val="14"/>
                <w:szCs w:val="14"/>
                <w:b w:val="1"/>
                <w:bCs w:val="1"/>
                <w:color w:val="auto"/>
              </w:rPr>
              <w:t>Total First Lien Secured Debt</w:t>
            </w:r>
          </w:p>
        </w:tc>
        <w:tc>
          <w:tcPr>
            <w:tcW w:w="100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278,962,489</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288,043,239</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342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Second Lien Secured Debt—48.9%</w:t>
            </w:r>
          </w:p>
        </w:tc>
        <w:tc>
          <w:tcPr>
            <w:tcW w:w="1000" w:type="dxa"/>
            <w:vAlign w:val="bottom"/>
            <w:shd w:val="clear" w:color="auto" w:fill="CCEEFF"/>
          </w:tcPr>
          <w:p>
            <w:pPr>
              <w:spacing w:after="0"/>
              <w:rPr>
                <w:sz w:val="12"/>
                <w:szCs w:val="12"/>
                <w:color w:val="auto"/>
              </w:rPr>
            </w:pPr>
          </w:p>
        </w:tc>
        <w:tc>
          <w:tcPr>
            <w:tcW w:w="206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3420" w:type="dxa"/>
            <w:vAlign w:val="bottom"/>
          </w:tcPr>
          <w:p>
            <w:pPr>
              <w:spacing w:after="0" w:line="130" w:lineRule="exact"/>
              <w:rPr>
                <w:sz w:val="20"/>
                <w:szCs w:val="20"/>
                <w:color w:val="auto"/>
              </w:rPr>
            </w:pPr>
            <w:r>
              <w:rPr>
                <w:rFonts w:ascii="Arial" w:cs="Arial" w:eastAsia="Arial" w:hAnsi="Arial"/>
                <w:sz w:val="14"/>
                <w:szCs w:val="14"/>
                <w:color w:val="auto"/>
              </w:rPr>
              <w:t xml:space="preserve">American Gilsonite Company </w:t>
            </w:r>
            <w:r>
              <w:rPr>
                <w:rFonts w:ascii="Arial" w:cs="Arial" w:eastAsia="Arial" w:hAnsi="Arial"/>
                <w:sz w:val="12"/>
                <w:szCs w:val="12"/>
                <w:color w:val="auto"/>
              </w:rPr>
              <w:t>(5)</w:t>
            </w:r>
          </w:p>
        </w:tc>
        <w:tc>
          <w:tcPr>
            <w:tcW w:w="1000" w:type="dxa"/>
            <w:vAlign w:val="bottom"/>
          </w:tcPr>
          <w:p>
            <w:pPr>
              <w:ind w:left="240"/>
              <w:spacing w:after="0" w:line="130" w:lineRule="exact"/>
              <w:rPr>
                <w:sz w:val="20"/>
                <w:szCs w:val="20"/>
                <w:color w:val="auto"/>
              </w:rPr>
            </w:pPr>
            <w:r>
              <w:rPr>
                <w:rFonts w:ascii="Arial" w:cs="Arial" w:eastAsia="Arial" w:hAnsi="Arial"/>
                <w:sz w:val="14"/>
                <w:szCs w:val="14"/>
                <w:color w:val="auto"/>
              </w:rPr>
              <w:t>09/01/2017</w:t>
            </w:r>
          </w:p>
        </w:tc>
        <w:tc>
          <w:tcPr>
            <w:tcW w:w="2060" w:type="dxa"/>
            <w:vAlign w:val="bottom"/>
          </w:tcPr>
          <w:p>
            <w:pPr>
              <w:jc w:val="center"/>
              <w:ind w:right="8"/>
              <w:spacing w:after="0" w:line="130" w:lineRule="exact"/>
              <w:rPr>
                <w:sz w:val="20"/>
                <w:szCs w:val="20"/>
                <w:color w:val="auto"/>
              </w:rPr>
            </w:pPr>
            <w:r>
              <w:rPr>
                <w:rFonts w:ascii="Arial" w:cs="Arial" w:eastAsia="Arial" w:hAnsi="Arial"/>
                <w:sz w:val="14"/>
                <w:szCs w:val="14"/>
                <w:color w:val="auto"/>
                <w:w w:val="94"/>
              </w:rPr>
              <w:t>Diversified Natural Resources,</w:t>
            </w:r>
          </w:p>
        </w:tc>
        <w:tc>
          <w:tcPr>
            <w:tcW w:w="940" w:type="dxa"/>
            <w:vAlign w:val="bottom"/>
          </w:tcPr>
          <w:p>
            <w:pPr>
              <w:jc w:val="right"/>
              <w:ind w:right="48"/>
              <w:spacing w:after="0" w:line="130" w:lineRule="exact"/>
              <w:rPr>
                <w:sz w:val="20"/>
                <w:szCs w:val="20"/>
                <w:color w:val="auto"/>
              </w:rPr>
            </w:pPr>
            <w:r>
              <w:rPr>
                <w:rFonts w:ascii="Arial" w:cs="Arial" w:eastAsia="Arial" w:hAnsi="Arial"/>
                <w:sz w:val="14"/>
                <w:szCs w:val="14"/>
                <w:color w:val="auto"/>
              </w:rPr>
              <w:t>11.50%</w:t>
            </w:r>
          </w:p>
        </w:tc>
        <w:tc>
          <w:tcPr>
            <w:tcW w:w="780" w:type="dxa"/>
            <w:vAlign w:val="bottom"/>
          </w:tcPr>
          <w:p>
            <w:pPr>
              <w:jc w:val="right"/>
              <w:ind w:right="28"/>
              <w:spacing w:after="0" w:line="130"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1"/>
                <w:szCs w:val="11"/>
                <w:color w:val="auto"/>
              </w:rPr>
            </w:pPr>
          </w:p>
        </w:tc>
        <w:tc>
          <w:tcPr>
            <w:tcW w:w="900" w:type="dxa"/>
            <w:vAlign w:val="bottom"/>
            <w:gridSpan w:val="2"/>
          </w:tcPr>
          <w:p>
            <w:pPr>
              <w:jc w:val="right"/>
              <w:ind w:right="160"/>
              <w:spacing w:after="0" w:line="130" w:lineRule="exact"/>
              <w:rPr>
                <w:sz w:val="20"/>
                <w:szCs w:val="20"/>
                <w:color w:val="auto"/>
              </w:rPr>
            </w:pPr>
            <w:r>
              <w:rPr>
                <w:rFonts w:ascii="Arial" w:cs="Arial" w:eastAsia="Arial" w:hAnsi="Arial"/>
                <w:sz w:val="14"/>
                <w:szCs w:val="14"/>
                <w:color w:val="auto"/>
              </w:rPr>
              <w:t>25,400,000</w:t>
            </w:r>
          </w:p>
        </w:tc>
        <w:tc>
          <w:tcPr>
            <w:tcW w:w="900" w:type="dxa"/>
            <w:vAlign w:val="bottom"/>
            <w:gridSpan w:val="2"/>
          </w:tcPr>
          <w:p>
            <w:pPr>
              <w:jc w:val="right"/>
              <w:ind w:right="80"/>
              <w:spacing w:after="0" w:line="130" w:lineRule="exact"/>
              <w:rPr>
                <w:sz w:val="20"/>
                <w:szCs w:val="20"/>
                <w:color w:val="auto"/>
              </w:rPr>
            </w:pPr>
            <w:r>
              <w:rPr>
                <w:rFonts w:ascii="Arial" w:cs="Arial" w:eastAsia="Arial" w:hAnsi="Arial"/>
                <w:sz w:val="14"/>
                <w:szCs w:val="14"/>
                <w:color w:val="auto"/>
              </w:rPr>
              <w:t>25,400,000</w:t>
            </w:r>
          </w:p>
        </w:tc>
        <w:tc>
          <w:tcPr>
            <w:tcW w:w="1000" w:type="dxa"/>
            <w:vAlign w:val="bottom"/>
            <w:gridSpan w:val="3"/>
          </w:tcPr>
          <w:p>
            <w:pPr>
              <w:jc w:val="right"/>
              <w:ind w:right="80"/>
              <w:spacing w:after="0" w:line="130" w:lineRule="exact"/>
              <w:rPr>
                <w:sz w:val="20"/>
                <w:szCs w:val="20"/>
                <w:color w:val="auto"/>
              </w:rPr>
            </w:pPr>
            <w:r>
              <w:rPr>
                <w:rFonts w:ascii="Arial" w:cs="Arial" w:eastAsia="Arial" w:hAnsi="Arial"/>
                <w:sz w:val="14"/>
                <w:szCs w:val="14"/>
                <w:color w:val="auto"/>
              </w:rPr>
              <w:t>25,971,500</w:t>
            </w:r>
          </w:p>
        </w:tc>
        <w:tc>
          <w:tcPr>
            <w:tcW w:w="0" w:type="dxa"/>
            <w:vAlign w:val="bottom"/>
          </w:tcPr>
          <w:p>
            <w:pPr>
              <w:spacing w:after="0"/>
              <w:rPr>
                <w:sz w:val="1"/>
                <w:szCs w:val="1"/>
                <w:color w:val="auto"/>
              </w:rPr>
            </w:pPr>
          </w:p>
        </w:tc>
      </w:tr>
      <w:tr>
        <w:trPr>
          <w:trHeight w:val="181"/>
        </w:trPr>
        <w:tc>
          <w:tcPr>
            <w:tcW w:w="34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060" w:type="dxa"/>
            <w:vAlign w:val="bottom"/>
          </w:tcPr>
          <w:p>
            <w:pPr>
              <w:jc w:val="center"/>
              <w:spacing w:after="0"/>
              <w:rPr>
                <w:sz w:val="20"/>
                <w:szCs w:val="20"/>
                <w:color w:val="auto"/>
              </w:rPr>
            </w:pPr>
            <w:r>
              <w:rPr>
                <w:rFonts w:ascii="Arial" w:cs="Arial" w:eastAsia="Arial" w:hAnsi="Arial"/>
                <w:sz w:val="14"/>
                <w:szCs w:val="14"/>
                <w:color w:val="auto"/>
                <w:w w:val="93"/>
              </w:rPr>
              <w:t>Precious Metals and Minerals</w:t>
            </w:r>
          </w:p>
        </w:tc>
        <w:tc>
          <w:tcPr>
            <w:tcW w:w="9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8"/>
        </w:trPr>
        <w:tc>
          <w:tcPr>
            <w:tcW w:w="34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Arsloane Acquisition, LLC</w:t>
            </w:r>
          </w:p>
        </w:tc>
        <w:tc>
          <w:tcPr>
            <w:tcW w:w="1000" w:type="dxa"/>
            <w:vAlign w:val="bottom"/>
            <w:shd w:val="clear" w:color="auto" w:fill="CCEEFF"/>
          </w:tcPr>
          <w:p>
            <w:pPr>
              <w:ind w:left="240"/>
              <w:spacing w:after="0" w:line="149" w:lineRule="exact"/>
              <w:rPr>
                <w:sz w:val="20"/>
                <w:szCs w:val="20"/>
                <w:color w:val="auto"/>
              </w:rPr>
            </w:pPr>
            <w:r>
              <w:rPr>
                <w:rFonts w:ascii="Arial" w:cs="Arial" w:eastAsia="Arial" w:hAnsi="Arial"/>
                <w:sz w:val="14"/>
                <w:szCs w:val="14"/>
                <w:color w:val="auto"/>
              </w:rPr>
              <w:t>10/01/2020</w:t>
            </w:r>
          </w:p>
        </w:tc>
        <w:tc>
          <w:tcPr>
            <w:tcW w:w="206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0"/>
              </w:rPr>
              <w:t>Business Services</w:t>
            </w:r>
          </w:p>
        </w:tc>
        <w:tc>
          <w:tcPr>
            <w:tcW w:w="940" w:type="dxa"/>
            <w:vAlign w:val="bottom"/>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rPr>
              <w:t>11.75%</w:t>
            </w: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L+1,050</w:t>
            </w:r>
          </w:p>
        </w:tc>
        <w:tc>
          <w:tcPr>
            <w:tcW w:w="240" w:type="dxa"/>
            <w:vAlign w:val="bottom"/>
            <w:shd w:val="clear" w:color="auto" w:fill="CCEEFF"/>
          </w:tcPr>
          <w:p>
            <w:pPr>
              <w:jc w:val="right"/>
              <w:ind w:right="19"/>
              <w:spacing w:after="0"/>
              <w:rPr>
                <w:sz w:val="20"/>
                <w:szCs w:val="20"/>
                <w:color w:val="auto"/>
              </w:rPr>
            </w:pPr>
            <w:r>
              <w:rPr>
                <w:rFonts w:ascii="Arial" w:cs="Arial" w:eastAsia="Arial" w:hAnsi="Arial"/>
                <w:sz w:val="12"/>
                <w:szCs w:val="12"/>
                <w:color w:val="auto"/>
                <w:w w:val="95"/>
              </w:rPr>
              <w:t>(8)</w:t>
            </w:r>
          </w:p>
        </w:tc>
        <w:tc>
          <w:tcPr>
            <w:tcW w:w="9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18,750,000</w:t>
            </w:r>
          </w:p>
        </w:tc>
        <w:tc>
          <w:tcPr>
            <w:tcW w:w="9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18,375,000</w:t>
            </w:r>
          </w:p>
        </w:tc>
        <w:tc>
          <w:tcPr>
            <w:tcW w:w="100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18,687,563</w:t>
            </w:r>
          </w:p>
        </w:tc>
        <w:tc>
          <w:tcPr>
            <w:tcW w:w="0" w:type="dxa"/>
            <w:vAlign w:val="bottom"/>
          </w:tcPr>
          <w:p>
            <w:pPr>
              <w:spacing w:after="0"/>
              <w:rPr>
                <w:sz w:val="1"/>
                <w:szCs w:val="1"/>
                <w:color w:val="auto"/>
              </w:rPr>
            </w:pPr>
          </w:p>
        </w:tc>
      </w:tr>
      <w:tr>
        <w:trPr>
          <w:trHeight w:val="149"/>
        </w:trPr>
        <w:tc>
          <w:tcPr>
            <w:tcW w:w="3420" w:type="dxa"/>
            <w:vAlign w:val="bottom"/>
          </w:tcPr>
          <w:p>
            <w:pPr>
              <w:spacing w:after="0" w:line="149" w:lineRule="exact"/>
              <w:rPr>
                <w:sz w:val="20"/>
                <w:szCs w:val="20"/>
                <w:color w:val="auto"/>
              </w:rPr>
            </w:pPr>
            <w:r>
              <w:rPr>
                <w:rFonts w:ascii="Arial" w:cs="Arial" w:eastAsia="Arial" w:hAnsi="Arial"/>
                <w:sz w:val="14"/>
                <w:szCs w:val="14"/>
                <w:color w:val="auto"/>
              </w:rPr>
              <w:t>Brand Energy and Infrastructure Services, Inc.</w:t>
            </w:r>
          </w:p>
        </w:tc>
        <w:tc>
          <w:tcPr>
            <w:tcW w:w="1000" w:type="dxa"/>
            <w:vAlign w:val="bottom"/>
          </w:tcPr>
          <w:p>
            <w:pPr>
              <w:ind w:left="240"/>
              <w:spacing w:after="0" w:line="149" w:lineRule="exact"/>
              <w:rPr>
                <w:sz w:val="20"/>
                <w:szCs w:val="20"/>
                <w:color w:val="auto"/>
              </w:rPr>
            </w:pPr>
            <w:r>
              <w:rPr>
                <w:rFonts w:ascii="Arial" w:cs="Arial" w:eastAsia="Arial" w:hAnsi="Arial"/>
                <w:sz w:val="14"/>
                <w:szCs w:val="14"/>
                <w:color w:val="auto"/>
              </w:rPr>
              <w:t>10/23/2019</w:t>
            </w:r>
          </w:p>
        </w:tc>
        <w:tc>
          <w:tcPr>
            <w:tcW w:w="2060" w:type="dxa"/>
            <w:vAlign w:val="bottom"/>
          </w:tcPr>
          <w:p>
            <w:pPr>
              <w:jc w:val="center"/>
              <w:ind w:right="8"/>
              <w:spacing w:after="0" w:line="149" w:lineRule="exact"/>
              <w:rPr>
                <w:sz w:val="20"/>
                <w:szCs w:val="20"/>
                <w:color w:val="auto"/>
              </w:rPr>
            </w:pPr>
            <w:r>
              <w:rPr>
                <w:rFonts w:ascii="Arial" w:cs="Arial" w:eastAsia="Arial" w:hAnsi="Arial"/>
                <w:sz w:val="14"/>
                <w:szCs w:val="14"/>
                <w:color w:val="auto"/>
                <w:w w:val="96"/>
              </w:rPr>
              <w:t>Energy / Utilities</w:t>
            </w:r>
          </w:p>
        </w:tc>
        <w:tc>
          <w:tcPr>
            <w:tcW w:w="940" w:type="dxa"/>
            <w:vAlign w:val="bottom"/>
          </w:tcPr>
          <w:p>
            <w:pPr>
              <w:jc w:val="right"/>
              <w:ind w:right="48"/>
              <w:spacing w:after="0" w:line="149" w:lineRule="exact"/>
              <w:rPr>
                <w:sz w:val="20"/>
                <w:szCs w:val="20"/>
                <w:color w:val="auto"/>
              </w:rPr>
            </w:pPr>
            <w:r>
              <w:rPr>
                <w:rFonts w:ascii="Arial" w:cs="Arial" w:eastAsia="Arial" w:hAnsi="Arial"/>
                <w:sz w:val="14"/>
                <w:szCs w:val="14"/>
                <w:color w:val="auto"/>
              </w:rPr>
              <w:t>11.00%</w:t>
            </w: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L+975</w:t>
            </w:r>
          </w:p>
        </w:tc>
        <w:tc>
          <w:tcPr>
            <w:tcW w:w="240" w:type="dxa"/>
            <w:vAlign w:val="bottom"/>
          </w:tcPr>
          <w:p>
            <w:pPr>
              <w:jc w:val="right"/>
              <w:ind w:right="19"/>
              <w:spacing w:after="0"/>
              <w:rPr>
                <w:sz w:val="20"/>
                <w:szCs w:val="20"/>
                <w:color w:val="auto"/>
              </w:rPr>
            </w:pPr>
            <w:r>
              <w:rPr>
                <w:rFonts w:ascii="Arial" w:cs="Arial" w:eastAsia="Arial" w:hAnsi="Arial"/>
                <w:sz w:val="12"/>
                <w:szCs w:val="12"/>
                <w:color w:val="auto"/>
                <w:w w:val="95"/>
              </w:rPr>
              <w:t>(8)</w:t>
            </w:r>
          </w:p>
        </w:tc>
        <w:tc>
          <w:tcPr>
            <w:tcW w:w="9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42,278,570</w:t>
            </w:r>
          </w:p>
        </w:tc>
        <w:tc>
          <w:tcPr>
            <w:tcW w:w="9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41,471,524</w:t>
            </w:r>
          </w:p>
        </w:tc>
        <w:tc>
          <w:tcPr>
            <w:tcW w:w="100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rPr>
              <w:t>43,159,233</w:t>
            </w:r>
          </w:p>
        </w:tc>
        <w:tc>
          <w:tcPr>
            <w:tcW w:w="0" w:type="dxa"/>
            <w:vAlign w:val="bottom"/>
          </w:tcPr>
          <w:p>
            <w:pPr>
              <w:spacing w:after="0"/>
              <w:rPr>
                <w:sz w:val="1"/>
                <w:szCs w:val="1"/>
                <w:color w:val="auto"/>
              </w:rPr>
            </w:pPr>
          </w:p>
        </w:tc>
      </w:tr>
      <w:tr>
        <w:trPr>
          <w:trHeight w:val="148"/>
        </w:trPr>
        <w:tc>
          <w:tcPr>
            <w:tcW w:w="34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Carolina Beverage Group, LLC</w:t>
            </w:r>
          </w:p>
        </w:tc>
        <w:tc>
          <w:tcPr>
            <w:tcW w:w="1000" w:type="dxa"/>
            <w:vAlign w:val="bottom"/>
            <w:shd w:val="clear" w:color="auto" w:fill="CCEEFF"/>
          </w:tcPr>
          <w:p>
            <w:pPr>
              <w:ind w:left="240"/>
              <w:spacing w:after="0" w:line="149" w:lineRule="exact"/>
              <w:rPr>
                <w:sz w:val="20"/>
                <w:szCs w:val="20"/>
                <w:color w:val="auto"/>
              </w:rPr>
            </w:pPr>
            <w:r>
              <w:rPr>
                <w:rFonts w:ascii="Arial" w:cs="Arial" w:eastAsia="Arial" w:hAnsi="Arial"/>
                <w:sz w:val="14"/>
                <w:szCs w:val="14"/>
                <w:color w:val="auto"/>
              </w:rPr>
              <w:t>08/01/2018</w:t>
            </w:r>
          </w:p>
        </w:tc>
        <w:tc>
          <w:tcPr>
            <w:tcW w:w="206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1"/>
              </w:rPr>
              <w:t>Beverage, Food and Tobacco</w:t>
            </w:r>
          </w:p>
        </w:tc>
        <w:tc>
          <w:tcPr>
            <w:tcW w:w="940" w:type="dxa"/>
            <w:vAlign w:val="bottom"/>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rPr>
              <w:t>10.63%</w:t>
            </w:r>
          </w:p>
        </w:tc>
        <w:tc>
          <w:tcPr>
            <w:tcW w:w="780" w:type="dxa"/>
            <w:vAlign w:val="bottom"/>
            <w:shd w:val="clear" w:color="auto" w:fill="CCEEFF"/>
          </w:tcPr>
          <w:p>
            <w:pPr>
              <w:jc w:val="right"/>
              <w:ind w:right="28"/>
              <w:spacing w:after="0" w:line="149" w:lineRule="exact"/>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13,125,000</w:t>
            </w:r>
          </w:p>
        </w:tc>
        <w:tc>
          <w:tcPr>
            <w:tcW w:w="9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13,125,000</w:t>
            </w:r>
          </w:p>
        </w:tc>
        <w:tc>
          <w:tcPr>
            <w:tcW w:w="100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13,420,313</w:t>
            </w:r>
          </w:p>
        </w:tc>
        <w:tc>
          <w:tcPr>
            <w:tcW w:w="0" w:type="dxa"/>
            <w:vAlign w:val="bottom"/>
          </w:tcPr>
          <w:p>
            <w:pPr>
              <w:spacing w:after="0"/>
              <w:rPr>
                <w:sz w:val="1"/>
                <w:szCs w:val="1"/>
                <w:color w:val="auto"/>
              </w:rPr>
            </w:pPr>
          </w:p>
        </w:tc>
      </w:tr>
      <w:tr>
        <w:trPr>
          <w:trHeight w:val="130"/>
        </w:trPr>
        <w:tc>
          <w:tcPr>
            <w:tcW w:w="3420" w:type="dxa"/>
            <w:vAlign w:val="bottom"/>
          </w:tcPr>
          <w:p>
            <w:pPr>
              <w:spacing w:after="0" w:line="130" w:lineRule="exact"/>
              <w:rPr>
                <w:sz w:val="20"/>
                <w:szCs w:val="20"/>
                <w:color w:val="auto"/>
              </w:rPr>
            </w:pPr>
            <w:r>
              <w:rPr>
                <w:rFonts w:ascii="Arial" w:cs="Arial" w:eastAsia="Arial" w:hAnsi="Arial"/>
                <w:sz w:val="14"/>
                <w:szCs w:val="14"/>
                <w:color w:val="auto"/>
              </w:rPr>
              <w:t>Envision Acquisition Company, LLC</w:t>
            </w:r>
          </w:p>
        </w:tc>
        <w:tc>
          <w:tcPr>
            <w:tcW w:w="1000" w:type="dxa"/>
            <w:vAlign w:val="bottom"/>
          </w:tcPr>
          <w:p>
            <w:pPr>
              <w:ind w:left="240"/>
              <w:spacing w:after="0" w:line="130" w:lineRule="exact"/>
              <w:rPr>
                <w:sz w:val="20"/>
                <w:szCs w:val="20"/>
                <w:color w:val="auto"/>
              </w:rPr>
            </w:pPr>
            <w:r>
              <w:rPr>
                <w:rFonts w:ascii="Arial" w:cs="Arial" w:eastAsia="Arial" w:hAnsi="Arial"/>
                <w:sz w:val="14"/>
                <w:szCs w:val="14"/>
                <w:color w:val="auto"/>
              </w:rPr>
              <w:t>09/23/2021</w:t>
            </w:r>
          </w:p>
        </w:tc>
        <w:tc>
          <w:tcPr>
            <w:tcW w:w="2060" w:type="dxa"/>
            <w:vAlign w:val="bottom"/>
          </w:tcPr>
          <w:p>
            <w:pPr>
              <w:jc w:val="center"/>
              <w:spacing w:after="0" w:line="130" w:lineRule="exact"/>
              <w:rPr>
                <w:sz w:val="20"/>
                <w:szCs w:val="20"/>
                <w:color w:val="auto"/>
              </w:rPr>
            </w:pPr>
            <w:r>
              <w:rPr>
                <w:rFonts w:ascii="Arial" w:cs="Arial" w:eastAsia="Arial" w:hAnsi="Arial"/>
                <w:sz w:val="14"/>
                <w:szCs w:val="14"/>
                <w:color w:val="auto"/>
                <w:w w:val="92"/>
              </w:rPr>
              <w:t>Healthcare, Education and</w:t>
            </w:r>
          </w:p>
        </w:tc>
        <w:tc>
          <w:tcPr>
            <w:tcW w:w="940" w:type="dxa"/>
            <w:vAlign w:val="bottom"/>
          </w:tcPr>
          <w:p>
            <w:pPr>
              <w:jc w:val="right"/>
              <w:ind w:right="48"/>
              <w:spacing w:after="0" w:line="130" w:lineRule="exact"/>
              <w:rPr>
                <w:sz w:val="20"/>
                <w:szCs w:val="20"/>
                <w:color w:val="auto"/>
              </w:rPr>
            </w:pPr>
            <w:r>
              <w:rPr>
                <w:rFonts w:ascii="Arial" w:cs="Arial" w:eastAsia="Arial" w:hAnsi="Arial"/>
                <w:sz w:val="14"/>
                <w:szCs w:val="14"/>
                <w:color w:val="auto"/>
              </w:rPr>
              <w:t>9.75%</w:t>
            </w:r>
          </w:p>
        </w:tc>
        <w:tc>
          <w:tcPr>
            <w:tcW w:w="780" w:type="dxa"/>
            <w:vAlign w:val="bottom"/>
          </w:tcPr>
          <w:p>
            <w:pPr>
              <w:jc w:val="right"/>
              <w:spacing w:after="0" w:line="130" w:lineRule="exact"/>
              <w:rPr>
                <w:sz w:val="20"/>
                <w:szCs w:val="20"/>
                <w:color w:val="auto"/>
              </w:rPr>
            </w:pPr>
            <w:r>
              <w:rPr>
                <w:rFonts w:ascii="Arial" w:cs="Arial" w:eastAsia="Arial" w:hAnsi="Arial"/>
                <w:sz w:val="14"/>
                <w:szCs w:val="14"/>
                <w:color w:val="auto"/>
              </w:rPr>
              <w:t>L+875</w:t>
            </w:r>
          </w:p>
        </w:tc>
        <w:tc>
          <w:tcPr>
            <w:tcW w:w="240" w:type="dxa"/>
            <w:vAlign w:val="bottom"/>
          </w:tcPr>
          <w:p>
            <w:pPr>
              <w:jc w:val="right"/>
              <w:ind w:right="19"/>
              <w:spacing w:after="0" w:line="130" w:lineRule="exact"/>
              <w:rPr>
                <w:sz w:val="20"/>
                <w:szCs w:val="20"/>
                <w:color w:val="auto"/>
              </w:rPr>
            </w:pPr>
            <w:r>
              <w:rPr>
                <w:rFonts w:ascii="Arial" w:cs="Arial" w:eastAsia="Arial" w:hAnsi="Arial"/>
                <w:sz w:val="12"/>
                <w:szCs w:val="12"/>
                <w:color w:val="auto"/>
                <w:w w:val="95"/>
              </w:rPr>
              <w:t>(8)</w:t>
            </w:r>
          </w:p>
        </w:tc>
        <w:tc>
          <w:tcPr>
            <w:tcW w:w="900" w:type="dxa"/>
            <w:vAlign w:val="bottom"/>
            <w:gridSpan w:val="2"/>
          </w:tcPr>
          <w:p>
            <w:pPr>
              <w:jc w:val="right"/>
              <w:ind w:right="160"/>
              <w:spacing w:after="0" w:line="130" w:lineRule="exact"/>
              <w:rPr>
                <w:sz w:val="20"/>
                <w:szCs w:val="20"/>
                <w:color w:val="auto"/>
              </w:rPr>
            </w:pPr>
            <w:r>
              <w:rPr>
                <w:rFonts w:ascii="Arial" w:cs="Arial" w:eastAsia="Arial" w:hAnsi="Arial"/>
                <w:sz w:val="14"/>
                <w:szCs w:val="14"/>
                <w:color w:val="auto"/>
              </w:rPr>
              <w:t>19,000,000</w:t>
            </w:r>
          </w:p>
        </w:tc>
        <w:tc>
          <w:tcPr>
            <w:tcW w:w="900" w:type="dxa"/>
            <w:vAlign w:val="bottom"/>
            <w:gridSpan w:val="2"/>
          </w:tcPr>
          <w:p>
            <w:pPr>
              <w:jc w:val="right"/>
              <w:ind w:right="80"/>
              <w:spacing w:after="0" w:line="130" w:lineRule="exact"/>
              <w:rPr>
                <w:sz w:val="20"/>
                <w:szCs w:val="20"/>
                <w:color w:val="auto"/>
              </w:rPr>
            </w:pPr>
            <w:r>
              <w:rPr>
                <w:rFonts w:ascii="Arial" w:cs="Arial" w:eastAsia="Arial" w:hAnsi="Arial"/>
                <w:sz w:val="14"/>
                <w:szCs w:val="14"/>
                <w:color w:val="auto"/>
              </w:rPr>
              <w:t>18,620,000</w:t>
            </w:r>
          </w:p>
        </w:tc>
        <w:tc>
          <w:tcPr>
            <w:tcW w:w="1000" w:type="dxa"/>
            <w:vAlign w:val="bottom"/>
            <w:gridSpan w:val="3"/>
          </w:tcPr>
          <w:p>
            <w:pPr>
              <w:jc w:val="right"/>
              <w:ind w:right="80"/>
              <w:spacing w:after="0" w:line="130" w:lineRule="exact"/>
              <w:rPr>
                <w:sz w:val="20"/>
                <w:szCs w:val="20"/>
                <w:color w:val="auto"/>
              </w:rPr>
            </w:pPr>
            <w:r>
              <w:rPr>
                <w:rFonts w:ascii="Arial" w:cs="Arial" w:eastAsia="Arial" w:hAnsi="Arial"/>
                <w:sz w:val="14"/>
                <w:szCs w:val="14"/>
                <w:color w:val="auto"/>
              </w:rPr>
              <w:t>18,905,000</w:t>
            </w:r>
          </w:p>
        </w:tc>
        <w:tc>
          <w:tcPr>
            <w:tcW w:w="0" w:type="dxa"/>
            <w:vAlign w:val="bottom"/>
          </w:tcPr>
          <w:p>
            <w:pPr>
              <w:spacing w:after="0"/>
              <w:rPr>
                <w:sz w:val="1"/>
                <w:szCs w:val="1"/>
                <w:color w:val="auto"/>
              </w:rPr>
            </w:pPr>
          </w:p>
        </w:tc>
      </w:tr>
      <w:tr>
        <w:trPr>
          <w:trHeight w:val="167"/>
        </w:trPr>
        <w:tc>
          <w:tcPr>
            <w:tcW w:w="34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060" w:type="dxa"/>
            <w:vAlign w:val="bottom"/>
          </w:tcPr>
          <w:p>
            <w:pPr>
              <w:jc w:val="center"/>
              <w:spacing w:after="0"/>
              <w:rPr>
                <w:sz w:val="20"/>
                <w:szCs w:val="20"/>
                <w:color w:val="auto"/>
              </w:rPr>
            </w:pPr>
            <w:r>
              <w:rPr>
                <w:rFonts w:ascii="Arial" w:cs="Arial" w:eastAsia="Arial" w:hAnsi="Arial"/>
                <w:sz w:val="14"/>
                <w:szCs w:val="14"/>
                <w:color w:val="auto"/>
                <w:w w:val="94"/>
              </w:rPr>
              <w:t>Childcare</w:t>
            </w:r>
          </w:p>
        </w:tc>
        <w:tc>
          <w:tcPr>
            <w:tcW w:w="9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34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Eureka Hunter Pipeline, LLC</w:t>
            </w:r>
          </w:p>
        </w:tc>
        <w:tc>
          <w:tcPr>
            <w:tcW w:w="1000" w:type="dxa"/>
            <w:vAlign w:val="bottom"/>
            <w:shd w:val="clear" w:color="auto" w:fill="CCEEFF"/>
          </w:tcPr>
          <w:p>
            <w:pPr>
              <w:ind w:left="240"/>
              <w:spacing w:after="0" w:line="149" w:lineRule="exact"/>
              <w:rPr>
                <w:sz w:val="20"/>
                <w:szCs w:val="20"/>
                <w:color w:val="auto"/>
              </w:rPr>
            </w:pPr>
            <w:r>
              <w:rPr>
                <w:rFonts w:ascii="Arial" w:cs="Arial" w:eastAsia="Arial" w:hAnsi="Arial"/>
                <w:sz w:val="14"/>
                <w:szCs w:val="14"/>
                <w:color w:val="auto"/>
              </w:rPr>
              <w:t>08/16/2018</w:t>
            </w:r>
          </w:p>
        </w:tc>
        <w:tc>
          <w:tcPr>
            <w:tcW w:w="2060" w:type="dxa"/>
            <w:vAlign w:val="bottom"/>
            <w:shd w:val="clear" w:color="auto" w:fill="CCEEFF"/>
          </w:tcPr>
          <w:p>
            <w:pPr>
              <w:jc w:val="center"/>
              <w:ind w:right="8"/>
              <w:spacing w:after="0" w:line="149" w:lineRule="exact"/>
              <w:rPr>
                <w:sz w:val="20"/>
                <w:szCs w:val="20"/>
                <w:color w:val="auto"/>
              </w:rPr>
            </w:pPr>
            <w:r>
              <w:rPr>
                <w:rFonts w:ascii="Arial" w:cs="Arial" w:eastAsia="Arial" w:hAnsi="Arial"/>
                <w:sz w:val="14"/>
                <w:szCs w:val="14"/>
                <w:color w:val="auto"/>
                <w:w w:val="96"/>
              </w:rPr>
              <w:t>Energy / Utilities</w:t>
            </w:r>
          </w:p>
        </w:tc>
        <w:tc>
          <w:tcPr>
            <w:tcW w:w="940" w:type="dxa"/>
            <w:vAlign w:val="bottom"/>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rPr>
              <w:t>12.50%</w:t>
            </w:r>
          </w:p>
        </w:tc>
        <w:tc>
          <w:tcPr>
            <w:tcW w:w="780" w:type="dxa"/>
            <w:vAlign w:val="bottom"/>
            <w:shd w:val="clear" w:color="auto" w:fill="CCEEFF"/>
          </w:tcPr>
          <w:p>
            <w:pPr>
              <w:jc w:val="right"/>
              <w:ind w:right="28"/>
              <w:spacing w:after="0" w:line="149" w:lineRule="exact"/>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45,000,000</w:t>
            </w:r>
          </w:p>
        </w:tc>
        <w:tc>
          <w:tcPr>
            <w:tcW w:w="9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44,599,796</w:t>
            </w:r>
          </w:p>
        </w:tc>
        <w:tc>
          <w:tcPr>
            <w:tcW w:w="100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46,575,000</w:t>
            </w:r>
          </w:p>
        </w:tc>
        <w:tc>
          <w:tcPr>
            <w:tcW w:w="0" w:type="dxa"/>
            <w:vAlign w:val="bottom"/>
          </w:tcPr>
          <w:p>
            <w:pPr>
              <w:spacing w:after="0"/>
              <w:rPr>
                <w:sz w:val="1"/>
                <w:szCs w:val="1"/>
                <w:color w:val="auto"/>
              </w:rPr>
            </w:pPr>
          </w:p>
        </w:tc>
      </w:tr>
      <w:tr>
        <w:trPr>
          <w:trHeight w:val="149"/>
        </w:trPr>
        <w:tc>
          <w:tcPr>
            <w:tcW w:w="3420" w:type="dxa"/>
            <w:vAlign w:val="bottom"/>
          </w:tcPr>
          <w:p>
            <w:pPr>
              <w:spacing w:after="0" w:line="149" w:lineRule="exact"/>
              <w:rPr>
                <w:sz w:val="20"/>
                <w:szCs w:val="20"/>
                <w:color w:val="auto"/>
              </w:rPr>
            </w:pPr>
            <w:r>
              <w:rPr>
                <w:rFonts w:ascii="Arial" w:cs="Arial" w:eastAsia="Arial" w:hAnsi="Arial"/>
                <w:sz w:val="14"/>
                <w:szCs w:val="14"/>
                <w:color w:val="auto"/>
              </w:rPr>
              <w:t>ILC Industries, LLC</w:t>
            </w:r>
          </w:p>
        </w:tc>
        <w:tc>
          <w:tcPr>
            <w:tcW w:w="1000" w:type="dxa"/>
            <w:vAlign w:val="bottom"/>
          </w:tcPr>
          <w:p>
            <w:pPr>
              <w:ind w:left="240"/>
              <w:spacing w:after="0" w:line="149" w:lineRule="exact"/>
              <w:rPr>
                <w:sz w:val="20"/>
                <w:szCs w:val="20"/>
                <w:color w:val="auto"/>
              </w:rPr>
            </w:pPr>
            <w:r>
              <w:rPr>
                <w:rFonts w:ascii="Arial" w:cs="Arial" w:eastAsia="Arial" w:hAnsi="Arial"/>
                <w:sz w:val="14"/>
                <w:szCs w:val="14"/>
                <w:color w:val="auto"/>
              </w:rPr>
              <w:t>06/14/2019</w:t>
            </w:r>
          </w:p>
        </w:tc>
        <w:tc>
          <w:tcPr>
            <w:tcW w:w="2060" w:type="dxa"/>
            <w:vAlign w:val="bottom"/>
          </w:tcPr>
          <w:p>
            <w:pPr>
              <w:jc w:val="center"/>
              <w:spacing w:after="0" w:line="149" w:lineRule="exact"/>
              <w:rPr>
                <w:sz w:val="20"/>
                <w:szCs w:val="20"/>
                <w:color w:val="auto"/>
              </w:rPr>
            </w:pPr>
            <w:r>
              <w:rPr>
                <w:rFonts w:ascii="Arial" w:cs="Arial" w:eastAsia="Arial" w:hAnsi="Arial"/>
                <w:sz w:val="14"/>
                <w:szCs w:val="14"/>
                <w:color w:val="auto"/>
                <w:w w:val="93"/>
              </w:rPr>
              <w:t>Electronics</w:t>
            </w:r>
          </w:p>
        </w:tc>
        <w:tc>
          <w:tcPr>
            <w:tcW w:w="940" w:type="dxa"/>
            <w:vAlign w:val="bottom"/>
          </w:tcPr>
          <w:p>
            <w:pPr>
              <w:jc w:val="right"/>
              <w:ind w:right="48"/>
              <w:spacing w:after="0" w:line="149" w:lineRule="exact"/>
              <w:rPr>
                <w:sz w:val="20"/>
                <w:szCs w:val="20"/>
                <w:color w:val="auto"/>
              </w:rPr>
            </w:pPr>
            <w:r>
              <w:rPr>
                <w:rFonts w:ascii="Arial" w:cs="Arial" w:eastAsia="Arial" w:hAnsi="Arial"/>
                <w:sz w:val="14"/>
                <w:szCs w:val="14"/>
                <w:color w:val="auto"/>
              </w:rPr>
              <w:t>11.50%</w:t>
            </w: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L+1,000</w:t>
            </w:r>
          </w:p>
        </w:tc>
        <w:tc>
          <w:tcPr>
            <w:tcW w:w="240" w:type="dxa"/>
            <w:vAlign w:val="bottom"/>
          </w:tcPr>
          <w:p>
            <w:pPr>
              <w:jc w:val="right"/>
              <w:ind w:right="19"/>
              <w:spacing w:after="0"/>
              <w:rPr>
                <w:sz w:val="20"/>
                <w:szCs w:val="20"/>
                <w:color w:val="auto"/>
              </w:rPr>
            </w:pPr>
            <w:r>
              <w:rPr>
                <w:rFonts w:ascii="Arial" w:cs="Arial" w:eastAsia="Arial" w:hAnsi="Arial"/>
                <w:sz w:val="12"/>
                <w:szCs w:val="12"/>
                <w:color w:val="auto"/>
                <w:w w:val="95"/>
              </w:rPr>
              <w:t>(8)</w:t>
            </w:r>
          </w:p>
        </w:tc>
        <w:tc>
          <w:tcPr>
            <w:tcW w:w="9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7,500,000</w:t>
            </w:r>
          </w:p>
        </w:tc>
        <w:tc>
          <w:tcPr>
            <w:tcW w:w="9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7,200,000</w:t>
            </w:r>
          </w:p>
        </w:tc>
        <w:tc>
          <w:tcPr>
            <w:tcW w:w="100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rPr>
              <w:t>6,900,000</w:t>
            </w:r>
          </w:p>
        </w:tc>
        <w:tc>
          <w:tcPr>
            <w:tcW w:w="0" w:type="dxa"/>
            <w:vAlign w:val="bottom"/>
          </w:tcPr>
          <w:p>
            <w:pPr>
              <w:spacing w:after="0"/>
              <w:rPr>
                <w:sz w:val="1"/>
                <w:szCs w:val="1"/>
                <w:color w:val="auto"/>
              </w:rPr>
            </w:pPr>
          </w:p>
        </w:tc>
      </w:tr>
      <w:tr>
        <w:trPr>
          <w:trHeight w:val="130"/>
        </w:trPr>
        <w:tc>
          <w:tcPr>
            <w:tcW w:w="342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Intermediate Transportation 100, L.L.C.</w:t>
            </w:r>
          </w:p>
        </w:tc>
        <w:tc>
          <w:tcPr>
            <w:tcW w:w="1000" w:type="dxa"/>
            <w:vAlign w:val="bottom"/>
            <w:shd w:val="clear" w:color="auto" w:fill="CCEEFF"/>
          </w:tcPr>
          <w:p>
            <w:pPr>
              <w:ind w:left="240"/>
              <w:spacing w:after="0" w:line="130" w:lineRule="exact"/>
              <w:rPr>
                <w:sz w:val="20"/>
                <w:szCs w:val="20"/>
                <w:color w:val="auto"/>
              </w:rPr>
            </w:pPr>
            <w:r>
              <w:rPr>
                <w:rFonts w:ascii="Arial" w:cs="Arial" w:eastAsia="Arial" w:hAnsi="Arial"/>
                <w:sz w:val="14"/>
                <w:szCs w:val="14"/>
                <w:color w:val="auto"/>
              </w:rPr>
              <w:t>03/01/2017</w:t>
            </w:r>
          </w:p>
        </w:tc>
        <w:tc>
          <w:tcPr>
            <w:tcW w:w="2060" w:type="dxa"/>
            <w:vAlign w:val="bottom"/>
            <w:shd w:val="clear" w:color="auto" w:fill="CCEEFF"/>
          </w:tcPr>
          <w:p>
            <w:pPr>
              <w:jc w:val="center"/>
              <w:ind w:right="8"/>
              <w:spacing w:after="0" w:line="130" w:lineRule="exact"/>
              <w:rPr>
                <w:sz w:val="20"/>
                <w:szCs w:val="20"/>
                <w:color w:val="auto"/>
              </w:rPr>
            </w:pPr>
            <w:r>
              <w:rPr>
                <w:rFonts w:ascii="Arial" w:cs="Arial" w:eastAsia="Arial" w:hAnsi="Arial"/>
                <w:sz w:val="14"/>
                <w:szCs w:val="14"/>
                <w:color w:val="auto"/>
                <w:w w:val="92"/>
              </w:rPr>
              <w:t>Cargo Transport</w:t>
            </w:r>
          </w:p>
        </w:tc>
        <w:tc>
          <w:tcPr>
            <w:tcW w:w="940" w:type="dxa"/>
            <w:vAlign w:val="bottom"/>
            <w:shd w:val="clear" w:color="auto" w:fill="CCEEFF"/>
          </w:tcPr>
          <w:p>
            <w:pPr>
              <w:jc w:val="right"/>
              <w:ind w:right="48"/>
              <w:spacing w:after="0" w:line="130" w:lineRule="exact"/>
              <w:rPr>
                <w:sz w:val="20"/>
                <w:szCs w:val="20"/>
                <w:color w:val="auto"/>
              </w:rPr>
            </w:pPr>
            <w:r>
              <w:rPr>
                <w:rFonts w:ascii="Arial" w:cs="Arial" w:eastAsia="Arial" w:hAnsi="Arial"/>
                <w:sz w:val="14"/>
                <w:szCs w:val="14"/>
                <w:color w:val="auto"/>
              </w:rPr>
              <w:t>11.00%</w:t>
            </w:r>
          </w:p>
        </w:tc>
        <w:tc>
          <w:tcPr>
            <w:tcW w:w="780" w:type="dxa"/>
            <w:vAlign w:val="bottom"/>
            <w:shd w:val="clear" w:color="auto" w:fill="CCEEFF"/>
          </w:tcPr>
          <w:p>
            <w:pPr>
              <w:jc w:val="right"/>
              <w:spacing w:after="0" w:line="130" w:lineRule="exact"/>
              <w:rPr>
                <w:sz w:val="20"/>
                <w:szCs w:val="20"/>
                <w:color w:val="auto"/>
              </w:rPr>
            </w:pPr>
            <w:r>
              <w:rPr>
                <w:rFonts w:ascii="Arial" w:cs="Arial" w:eastAsia="Arial" w:hAnsi="Arial"/>
                <w:sz w:val="14"/>
                <w:szCs w:val="14"/>
                <w:color w:val="auto"/>
              </w:rPr>
              <w:t>L+700</w:t>
            </w:r>
          </w:p>
        </w:tc>
        <w:tc>
          <w:tcPr>
            <w:tcW w:w="240" w:type="dxa"/>
            <w:vAlign w:val="bottom"/>
            <w:shd w:val="clear" w:color="auto" w:fill="CCEEFF"/>
          </w:tcPr>
          <w:p>
            <w:pPr>
              <w:jc w:val="right"/>
              <w:ind w:right="19"/>
              <w:spacing w:after="0" w:line="130" w:lineRule="exact"/>
              <w:rPr>
                <w:sz w:val="20"/>
                <w:szCs w:val="20"/>
                <w:color w:val="auto"/>
              </w:rPr>
            </w:pPr>
            <w:r>
              <w:rPr>
                <w:rFonts w:ascii="Arial" w:cs="Arial" w:eastAsia="Arial" w:hAnsi="Arial"/>
                <w:sz w:val="12"/>
                <w:szCs w:val="12"/>
                <w:color w:val="auto"/>
                <w:w w:val="95"/>
              </w:rPr>
              <w:t>(8)</w:t>
            </w:r>
          </w:p>
        </w:tc>
        <w:tc>
          <w:tcPr>
            <w:tcW w:w="900" w:type="dxa"/>
            <w:vAlign w:val="bottom"/>
            <w:gridSpan w:val="2"/>
            <w:shd w:val="clear" w:color="auto" w:fill="CCEEFF"/>
          </w:tcPr>
          <w:p>
            <w:pPr>
              <w:jc w:val="right"/>
              <w:ind w:right="160"/>
              <w:spacing w:after="0" w:line="130" w:lineRule="exact"/>
              <w:rPr>
                <w:sz w:val="20"/>
                <w:szCs w:val="20"/>
                <w:color w:val="auto"/>
              </w:rPr>
            </w:pPr>
            <w:r>
              <w:rPr>
                <w:rFonts w:ascii="Arial" w:cs="Arial" w:eastAsia="Arial" w:hAnsi="Arial"/>
                <w:sz w:val="14"/>
                <w:szCs w:val="14"/>
                <w:color w:val="auto"/>
              </w:rPr>
              <w:t>3,544,833</w:t>
            </w:r>
          </w:p>
        </w:tc>
        <w:tc>
          <w:tcPr>
            <w:tcW w:w="900" w:type="dxa"/>
            <w:vAlign w:val="bottom"/>
            <w:gridSpan w:val="2"/>
            <w:shd w:val="clear" w:color="auto" w:fill="CCEEFF"/>
          </w:tcPr>
          <w:p>
            <w:pPr>
              <w:jc w:val="right"/>
              <w:ind w:right="80"/>
              <w:spacing w:after="0" w:line="130" w:lineRule="exact"/>
              <w:rPr>
                <w:sz w:val="20"/>
                <w:szCs w:val="20"/>
                <w:color w:val="auto"/>
              </w:rPr>
            </w:pPr>
            <w:r>
              <w:rPr>
                <w:rFonts w:ascii="Arial" w:cs="Arial" w:eastAsia="Arial" w:hAnsi="Arial"/>
                <w:sz w:val="14"/>
                <w:szCs w:val="14"/>
                <w:color w:val="auto"/>
              </w:rPr>
              <w:t>3,544,836</w:t>
            </w:r>
          </w:p>
        </w:tc>
        <w:tc>
          <w:tcPr>
            <w:tcW w:w="1000" w:type="dxa"/>
            <w:vAlign w:val="bottom"/>
            <w:gridSpan w:val="3"/>
            <w:shd w:val="clear" w:color="auto" w:fill="CCEEFF"/>
          </w:tcPr>
          <w:p>
            <w:pPr>
              <w:jc w:val="right"/>
              <w:ind w:right="80"/>
              <w:spacing w:after="0" w:line="130" w:lineRule="exact"/>
              <w:rPr>
                <w:sz w:val="20"/>
                <w:szCs w:val="20"/>
                <w:color w:val="auto"/>
              </w:rPr>
            </w:pPr>
            <w:r>
              <w:rPr>
                <w:rFonts w:ascii="Arial" w:cs="Arial" w:eastAsia="Arial" w:hAnsi="Arial"/>
                <w:sz w:val="14"/>
                <w:szCs w:val="14"/>
                <w:color w:val="auto"/>
              </w:rPr>
              <w:t>3,544,833</w:t>
            </w:r>
          </w:p>
        </w:tc>
        <w:tc>
          <w:tcPr>
            <w:tcW w:w="0" w:type="dxa"/>
            <w:vAlign w:val="bottom"/>
          </w:tcPr>
          <w:p>
            <w:pPr>
              <w:spacing w:after="0"/>
              <w:rPr>
                <w:sz w:val="1"/>
                <w:szCs w:val="1"/>
                <w:color w:val="auto"/>
              </w:rPr>
            </w:pPr>
          </w:p>
        </w:tc>
      </w:tr>
      <w:tr>
        <w:trPr>
          <w:trHeight w:val="181"/>
        </w:trPr>
        <w:tc>
          <w:tcPr>
            <w:tcW w:w="342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2060" w:type="dxa"/>
            <w:vAlign w:val="bottom"/>
            <w:shd w:val="clear" w:color="auto" w:fill="CCEEFF"/>
          </w:tcPr>
          <w:p>
            <w:pPr>
              <w:spacing w:after="0"/>
              <w:rPr>
                <w:sz w:val="15"/>
                <w:szCs w:val="15"/>
                <w:color w:val="auto"/>
              </w:rPr>
            </w:pPr>
          </w:p>
        </w:tc>
        <w:tc>
          <w:tcPr>
            <w:tcW w:w="9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(PIK 11.00%)</w:t>
            </w:r>
          </w:p>
        </w:tc>
        <w:tc>
          <w:tcPr>
            <w:tcW w:w="7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48"/>
        </w:trPr>
        <w:tc>
          <w:tcPr>
            <w:tcW w:w="3420" w:type="dxa"/>
            <w:vAlign w:val="bottom"/>
          </w:tcPr>
          <w:p>
            <w:pPr>
              <w:spacing w:after="0" w:line="149" w:lineRule="exact"/>
              <w:rPr>
                <w:sz w:val="20"/>
                <w:szCs w:val="20"/>
                <w:color w:val="auto"/>
              </w:rPr>
            </w:pPr>
            <w:r>
              <w:rPr>
                <w:rFonts w:ascii="Arial" w:cs="Arial" w:eastAsia="Arial" w:hAnsi="Arial"/>
                <w:sz w:val="14"/>
                <w:szCs w:val="14"/>
                <w:color w:val="auto"/>
              </w:rPr>
              <w:t>Jacobs Entertainment, Inc.</w:t>
            </w:r>
          </w:p>
        </w:tc>
        <w:tc>
          <w:tcPr>
            <w:tcW w:w="3060" w:type="dxa"/>
            <w:vAlign w:val="bottom"/>
            <w:gridSpan w:val="2"/>
          </w:tcPr>
          <w:p>
            <w:pPr>
              <w:ind w:left="240"/>
              <w:spacing w:after="0" w:line="149" w:lineRule="exact"/>
              <w:rPr>
                <w:sz w:val="20"/>
                <w:szCs w:val="20"/>
                <w:color w:val="auto"/>
              </w:rPr>
            </w:pPr>
            <w:r>
              <w:rPr>
                <w:rFonts w:ascii="Arial" w:cs="Arial" w:eastAsia="Arial" w:hAnsi="Arial"/>
                <w:sz w:val="14"/>
                <w:szCs w:val="14"/>
                <w:color w:val="auto"/>
                <w:w w:val="99"/>
              </w:rPr>
              <w:t>10/29/2019  Hotels, Motels, Inns and Gaming</w:t>
            </w:r>
          </w:p>
        </w:tc>
        <w:tc>
          <w:tcPr>
            <w:tcW w:w="940" w:type="dxa"/>
            <w:vAlign w:val="bottom"/>
          </w:tcPr>
          <w:p>
            <w:pPr>
              <w:jc w:val="right"/>
              <w:ind w:right="48"/>
              <w:spacing w:after="0" w:line="149" w:lineRule="exact"/>
              <w:rPr>
                <w:sz w:val="20"/>
                <w:szCs w:val="20"/>
                <w:color w:val="auto"/>
              </w:rPr>
            </w:pPr>
            <w:r>
              <w:rPr>
                <w:rFonts w:ascii="Arial" w:cs="Arial" w:eastAsia="Arial" w:hAnsi="Arial"/>
                <w:sz w:val="14"/>
                <w:szCs w:val="14"/>
                <w:color w:val="auto"/>
              </w:rPr>
              <w:t>13.00%</w:t>
            </w: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L+1,175</w:t>
            </w:r>
          </w:p>
        </w:tc>
        <w:tc>
          <w:tcPr>
            <w:tcW w:w="240" w:type="dxa"/>
            <w:vAlign w:val="bottom"/>
          </w:tcPr>
          <w:p>
            <w:pPr>
              <w:jc w:val="right"/>
              <w:ind w:right="19"/>
              <w:spacing w:after="0"/>
              <w:rPr>
                <w:sz w:val="20"/>
                <w:szCs w:val="20"/>
                <w:color w:val="auto"/>
              </w:rPr>
            </w:pPr>
            <w:r>
              <w:rPr>
                <w:rFonts w:ascii="Arial" w:cs="Arial" w:eastAsia="Arial" w:hAnsi="Arial"/>
                <w:sz w:val="12"/>
                <w:szCs w:val="12"/>
                <w:color w:val="auto"/>
                <w:w w:val="95"/>
              </w:rPr>
              <w:t>(8)</w:t>
            </w:r>
          </w:p>
        </w:tc>
        <w:tc>
          <w:tcPr>
            <w:tcW w:w="9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38,950,000</w:t>
            </w:r>
          </w:p>
        </w:tc>
        <w:tc>
          <w:tcPr>
            <w:tcW w:w="9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38,287,499</w:t>
            </w:r>
          </w:p>
        </w:tc>
        <w:tc>
          <w:tcPr>
            <w:tcW w:w="100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rPr>
              <w:t>39,096,063</w:t>
            </w:r>
          </w:p>
        </w:tc>
        <w:tc>
          <w:tcPr>
            <w:tcW w:w="0" w:type="dxa"/>
            <w:vAlign w:val="bottom"/>
          </w:tcPr>
          <w:p>
            <w:pPr>
              <w:spacing w:after="0"/>
              <w:rPr>
                <w:sz w:val="1"/>
                <w:szCs w:val="1"/>
                <w:color w:val="auto"/>
              </w:rPr>
            </w:pPr>
          </w:p>
        </w:tc>
      </w:tr>
      <w:tr>
        <w:trPr>
          <w:trHeight w:val="130"/>
        </w:trPr>
        <w:tc>
          <w:tcPr>
            <w:tcW w:w="342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Language Line, LLC</w:t>
            </w:r>
          </w:p>
        </w:tc>
        <w:tc>
          <w:tcPr>
            <w:tcW w:w="3060" w:type="dxa"/>
            <w:vAlign w:val="bottom"/>
            <w:gridSpan w:val="2"/>
            <w:shd w:val="clear" w:color="auto" w:fill="CCEEFF"/>
          </w:tcPr>
          <w:p>
            <w:pPr>
              <w:ind w:left="240"/>
              <w:spacing w:after="0" w:line="130" w:lineRule="exact"/>
              <w:rPr>
                <w:sz w:val="20"/>
                <w:szCs w:val="20"/>
                <w:color w:val="auto"/>
              </w:rPr>
            </w:pPr>
            <w:r>
              <w:rPr>
                <w:rFonts w:ascii="Arial" w:cs="Arial" w:eastAsia="Arial" w:hAnsi="Arial"/>
                <w:sz w:val="14"/>
                <w:szCs w:val="14"/>
                <w:color w:val="auto"/>
                <w:w w:val="95"/>
              </w:rPr>
              <w:t>12/20/2016  Personal, Food and Miscellaneous</w:t>
            </w:r>
          </w:p>
        </w:tc>
        <w:tc>
          <w:tcPr>
            <w:tcW w:w="940" w:type="dxa"/>
            <w:vAlign w:val="bottom"/>
            <w:shd w:val="clear" w:color="auto" w:fill="CCEEFF"/>
          </w:tcPr>
          <w:p>
            <w:pPr>
              <w:jc w:val="right"/>
              <w:ind w:right="48"/>
              <w:spacing w:after="0" w:line="130" w:lineRule="exact"/>
              <w:rPr>
                <w:sz w:val="20"/>
                <w:szCs w:val="20"/>
                <w:color w:val="auto"/>
              </w:rPr>
            </w:pPr>
            <w:r>
              <w:rPr>
                <w:rFonts w:ascii="Arial" w:cs="Arial" w:eastAsia="Arial" w:hAnsi="Arial"/>
                <w:sz w:val="14"/>
                <w:szCs w:val="14"/>
                <w:color w:val="auto"/>
              </w:rPr>
              <w:t>10.50%</w:t>
            </w:r>
          </w:p>
        </w:tc>
        <w:tc>
          <w:tcPr>
            <w:tcW w:w="780" w:type="dxa"/>
            <w:vAlign w:val="bottom"/>
            <w:shd w:val="clear" w:color="auto" w:fill="CCEEFF"/>
          </w:tcPr>
          <w:p>
            <w:pPr>
              <w:jc w:val="right"/>
              <w:spacing w:after="0" w:line="130" w:lineRule="exact"/>
              <w:rPr>
                <w:sz w:val="20"/>
                <w:szCs w:val="20"/>
                <w:color w:val="auto"/>
              </w:rPr>
            </w:pPr>
            <w:r>
              <w:rPr>
                <w:rFonts w:ascii="Arial" w:cs="Arial" w:eastAsia="Arial" w:hAnsi="Arial"/>
                <w:sz w:val="14"/>
                <w:szCs w:val="14"/>
                <w:color w:val="auto"/>
              </w:rPr>
              <w:t>L+875</w:t>
            </w:r>
          </w:p>
        </w:tc>
        <w:tc>
          <w:tcPr>
            <w:tcW w:w="240" w:type="dxa"/>
            <w:vAlign w:val="bottom"/>
            <w:shd w:val="clear" w:color="auto" w:fill="CCEEFF"/>
          </w:tcPr>
          <w:p>
            <w:pPr>
              <w:jc w:val="right"/>
              <w:ind w:right="19"/>
              <w:spacing w:after="0" w:line="130" w:lineRule="exact"/>
              <w:rPr>
                <w:sz w:val="20"/>
                <w:szCs w:val="20"/>
                <w:color w:val="auto"/>
              </w:rPr>
            </w:pPr>
            <w:r>
              <w:rPr>
                <w:rFonts w:ascii="Arial" w:cs="Arial" w:eastAsia="Arial" w:hAnsi="Arial"/>
                <w:sz w:val="12"/>
                <w:szCs w:val="12"/>
                <w:color w:val="auto"/>
                <w:w w:val="95"/>
              </w:rPr>
              <w:t>(8)</w:t>
            </w:r>
          </w:p>
        </w:tc>
        <w:tc>
          <w:tcPr>
            <w:tcW w:w="900" w:type="dxa"/>
            <w:vAlign w:val="bottom"/>
            <w:gridSpan w:val="2"/>
            <w:shd w:val="clear" w:color="auto" w:fill="CCEEFF"/>
          </w:tcPr>
          <w:p>
            <w:pPr>
              <w:jc w:val="right"/>
              <w:ind w:right="160"/>
              <w:spacing w:after="0" w:line="130" w:lineRule="exact"/>
              <w:rPr>
                <w:sz w:val="20"/>
                <w:szCs w:val="20"/>
                <w:color w:val="auto"/>
              </w:rPr>
            </w:pPr>
            <w:r>
              <w:rPr>
                <w:rFonts w:ascii="Arial" w:cs="Arial" w:eastAsia="Arial" w:hAnsi="Arial"/>
                <w:sz w:val="14"/>
                <w:szCs w:val="14"/>
                <w:color w:val="auto"/>
              </w:rPr>
              <w:t>33,750,000</w:t>
            </w:r>
          </w:p>
        </w:tc>
        <w:tc>
          <w:tcPr>
            <w:tcW w:w="900" w:type="dxa"/>
            <w:vAlign w:val="bottom"/>
            <w:gridSpan w:val="2"/>
            <w:shd w:val="clear" w:color="auto" w:fill="CCEEFF"/>
          </w:tcPr>
          <w:p>
            <w:pPr>
              <w:jc w:val="right"/>
              <w:ind w:right="80"/>
              <w:spacing w:after="0" w:line="130" w:lineRule="exact"/>
              <w:rPr>
                <w:sz w:val="20"/>
                <w:szCs w:val="20"/>
                <w:color w:val="auto"/>
              </w:rPr>
            </w:pPr>
            <w:r>
              <w:rPr>
                <w:rFonts w:ascii="Arial" w:cs="Arial" w:eastAsia="Arial" w:hAnsi="Arial"/>
                <w:sz w:val="14"/>
                <w:szCs w:val="14"/>
                <w:color w:val="auto"/>
              </w:rPr>
              <w:t>33,265,829</w:t>
            </w:r>
          </w:p>
        </w:tc>
        <w:tc>
          <w:tcPr>
            <w:tcW w:w="1000" w:type="dxa"/>
            <w:vAlign w:val="bottom"/>
            <w:gridSpan w:val="3"/>
            <w:shd w:val="clear" w:color="auto" w:fill="CCEEFF"/>
          </w:tcPr>
          <w:p>
            <w:pPr>
              <w:jc w:val="right"/>
              <w:ind w:right="80"/>
              <w:spacing w:after="0" w:line="130" w:lineRule="exact"/>
              <w:rPr>
                <w:sz w:val="20"/>
                <w:szCs w:val="20"/>
                <w:color w:val="auto"/>
              </w:rPr>
            </w:pPr>
            <w:r>
              <w:rPr>
                <w:rFonts w:ascii="Arial" w:cs="Arial" w:eastAsia="Arial" w:hAnsi="Arial"/>
                <w:sz w:val="14"/>
                <w:szCs w:val="14"/>
                <w:color w:val="auto"/>
              </w:rPr>
              <w:t>33,187,388</w:t>
            </w:r>
          </w:p>
        </w:tc>
        <w:tc>
          <w:tcPr>
            <w:tcW w:w="0" w:type="dxa"/>
            <w:vAlign w:val="bottom"/>
          </w:tcPr>
          <w:p>
            <w:pPr>
              <w:spacing w:after="0"/>
              <w:rPr>
                <w:sz w:val="1"/>
                <w:szCs w:val="1"/>
                <w:color w:val="auto"/>
              </w:rPr>
            </w:pPr>
          </w:p>
        </w:tc>
      </w:tr>
      <w:tr>
        <w:trPr>
          <w:trHeight w:val="167"/>
        </w:trPr>
        <w:tc>
          <w:tcPr>
            <w:tcW w:w="342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20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Services</w:t>
            </w:r>
          </w:p>
        </w:tc>
        <w:tc>
          <w:tcPr>
            <w:tcW w:w="94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3420" w:type="dxa"/>
            <w:vAlign w:val="bottom"/>
          </w:tcPr>
          <w:p>
            <w:pPr>
              <w:spacing w:after="0" w:line="149" w:lineRule="exact"/>
              <w:rPr>
                <w:sz w:val="20"/>
                <w:szCs w:val="20"/>
                <w:color w:val="auto"/>
              </w:rPr>
            </w:pPr>
            <w:r>
              <w:rPr>
                <w:rFonts w:ascii="Arial" w:cs="Arial" w:eastAsia="Arial" w:hAnsi="Arial"/>
                <w:sz w:val="14"/>
                <w:szCs w:val="14"/>
                <w:color w:val="auto"/>
              </w:rPr>
              <w:t xml:space="preserve">Linc USA GP and Linc Energy Finance (USA), Inc. </w:t>
            </w:r>
            <w:r>
              <w:rPr>
                <w:rFonts w:ascii="Arial" w:cs="Arial" w:eastAsia="Arial" w:hAnsi="Arial"/>
                <w:sz w:val="12"/>
                <w:szCs w:val="12"/>
                <w:color w:val="auto"/>
              </w:rPr>
              <w:t>(5)</w:t>
            </w:r>
          </w:p>
        </w:tc>
        <w:tc>
          <w:tcPr>
            <w:tcW w:w="1000" w:type="dxa"/>
            <w:vAlign w:val="bottom"/>
          </w:tcPr>
          <w:p>
            <w:pPr>
              <w:ind w:left="240"/>
              <w:spacing w:after="0" w:line="149" w:lineRule="exact"/>
              <w:rPr>
                <w:sz w:val="20"/>
                <w:szCs w:val="20"/>
                <w:color w:val="auto"/>
              </w:rPr>
            </w:pPr>
            <w:r>
              <w:rPr>
                <w:rFonts w:ascii="Arial" w:cs="Arial" w:eastAsia="Arial" w:hAnsi="Arial"/>
                <w:sz w:val="14"/>
                <w:szCs w:val="14"/>
                <w:color w:val="auto"/>
              </w:rPr>
              <w:t>10/31/2017</w:t>
            </w:r>
          </w:p>
        </w:tc>
        <w:tc>
          <w:tcPr>
            <w:tcW w:w="2060" w:type="dxa"/>
            <w:vAlign w:val="bottom"/>
          </w:tcPr>
          <w:p>
            <w:pPr>
              <w:jc w:val="center"/>
              <w:spacing w:after="0" w:line="149" w:lineRule="exact"/>
              <w:rPr>
                <w:sz w:val="20"/>
                <w:szCs w:val="20"/>
                <w:color w:val="auto"/>
              </w:rPr>
            </w:pPr>
            <w:r>
              <w:rPr>
                <w:rFonts w:ascii="Arial" w:cs="Arial" w:eastAsia="Arial" w:hAnsi="Arial"/>
                <w:sz w:val="14"/>
                <w:szCs w:val="14"/>
                <w:color w:val="auto"/>
                <w:w w:val="91"/>
              </w:rPr>
              <w:t>Oil and Gas</w:t>
            </w:r>
          </w:p>
        </w:tc>
        <w:tc>
          <w:tcPr>
            <w:tcW w:w="940" w:type="dxa"/>
            <w:vAlign w:val="bottom"/>
          </w:tcPr>
          <w:p>
            <w:pPr>
              <w:jc w:val="right"/>
              <w:ind w:right="48"/>
              <w:spacing w:after="0" w:line="149" w:lineRule="exact"/>
              <w:rPr>
                <w:sz w:val="20"/>
                <w:szCs w:val="20"/>
                <w:color w:val="auto"/>
              </w:rPr>
            </w:pPr>
            <w:r>
              <w:rPr>
                <w:rFonts w:ascii="Arial" w:cs="Arial" w:eastAsia="Arial" w:hAnsi="Arial"/>
                <w:sz w:val="14"/>
                <w:szCs w:val="14"/>
                <w:color w:val="auto"/>
              </w:rPr>
              <w:t>12.50%</w:t>
            </w:r>
          </w:p>
        </w:tc>
        <w:tc>
          <w:tcPr>
            <w:tcW w:w="780" w:type="dxa"/>
            <w:vAlign w:val="bottom"/>
          </w:tcPr>
          <w:p>
            <w:pPr>
              <w:jc w:val="right"/>
              <w:ind w:right="28"/>
              <w:spacing w:after="0" w:line="149"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2"/>
                <w:szCs w:val="12"/>
                <w:color w:val="auto"/>
              </w:rPr>
            </w:pPr>
          </w:p>
        </w:tc>
        <w:tc>
          <w:tcPr>
            <w:tcW w:w="9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11,875,000</w:t>
            </w:r>
          </w:p>
        </w:tc>
        <w:tc>
          <w:tcPr>
            <w:tcW w:w="9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11,511,878</w:t>
            </w:r>
          </w:p>
        </w:tc>
        <w:tc>
          <w:tcPr>
            <w:tcW w:w="100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rPr>
              <w:t>13,062,500</w:t>
            </w:r>
          </w:p>
        </w:tc>
        <w:tc>
          <w:tcPr>
            <w:tcW w:w="0" w:type="dxa"/>
            <w:vAlign w:val="bottom"/>
          </w:tcPr>
          <w:p>
            <w:pPr>
              <w:spacing w:after="0"/>
              <w:rPr>
                <w:sz w:val="1"/>
                <w:szCs w:val="1"/>
                <w:color w:val="auto"/>
              </w:rPr>
            </w:pPr>
          </w:p>
        </w:tc>
      </w:tr>
      <w:tr>
        <w:trPr>
          <w:trHeight w:val="130"/>
        </w:trPr>
        <w:tc>
          <w:tcPr>
            <w:tcW w:w="342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Pre-Paid Legal Services, Inc.</w:t>
            </w:r>
          </w:p>
        </w:tc>
        <w:tc>
          <w:tcPr>
            <w:tcW w:w="3060" w:type="dxa"/>
            <w:vAlign w:val="bottom"/>
            <w:gridSpan w:val="2"/>
            <w:shd w:val="clear" w:color="auto" w:fill="CCEEFF"/>
          </w:tcPr>
          <w:p>
            <w:pPr>
              <w:ind w:left="240"/>
              <w:spacing w:after="0" w:line="130" w:lineRule="exact"/>
              <w:rPr>
                <w:sz w:val="20"/>
                <w:szCs w:val="20"/>
                <w:color w:val="auto"/>
              </w:rPr>
            </w:pPr>
            <w:r>
              <w:rPr>
                <w:rFonts w:ascii="Arial" w:cs="Arial" w:eastAsia="Arial" w:hAnsi="Arial"/>
                <w:sz w:val="14"/>
                <w:szCs w:val="14"/>
                <w:color w:val="auto"/>
                <w:w w:val="95"/>
              </w:rPr>
              <w:t>07/01/2020  Personal, Food and Miscellaneous</w:t>
            </w:r>
          </w:p>
        </w:tc>
        <w:tc>
          <w:tcPr>
            <w:tcW w:w="940" w:type="dxa"/>
            <w:vAlign w:val="bottom"/>
            <w:shd w:val="clear" w:color="auto" w:fill="CCEEFF"/>
          </w:tcPr>
          <w:p>
            <w:pPr>
              <w:jc w:val="right"/>
              <w:ind w:right="48"/>
              <w:spacing w:after="0" w:line="130" w:lineRule="exact"/>
              <w:rPr>
                <w:sz w:val="20"/>
                <w:szCs w:val="20"/>
                <w:color w:val="auto"/>
              </w:rPr>
            </w:pPr>
            <w:r>
              <w:rPr>
                <w:rFonts w:ascii="Arial" w:cs="Arial" w:eastAsia="Arial" w:hAnsi="Arial"/>
                <w:sz w:val="14"/>
                <w:szCs w:val="14"/>
                <w:color w:val="auto"/>
              </w:rPr>
              <w:t>9.75%</w:t>
            </w:r>
          </w:p>
        </w:tc>
        <w:tc>
          <w:tcPr>
            <w:tcW w:w="780" w:type="dxa"/>
            <w:vAlign w:val="bottom"/>
            <w:shd w:val="clear" w:color="auto" w:fill="CCEEFF"/>
          </w:tcPr>
          <w:p>
            <w:pPr>
              <w:jc w:val="right"/>
              <w:spacing w:after="0" w:line="130" w:lineRule="exact"/>
              <w:rPr>
                <w:sz w:val="20"/>
                <w:szCs w:val="20"/>
                <w:color w:val="auto"/>
              </w:rPr>
            </w:pPr>
            <w:r>
              <w:rPr>
                <w:rFonts w:ascii="Arial" w:cs="Arial" w:eastAsia="Arial" w:hAnsi="Arial"/>
                <w:sz w:val="14"/>
                <w:szCs w:val="14"/>
                <w:color w:val="auto"/>
              </w:rPr>
              <w:t>L+850</w:t>
            </w:r>
          </w:p>
        </w:tc>
        <w:tc>
          <w:tcPr>
            <w:tcW w:w="240" w:type="dxa"/>
            <w:vAlign w:val="bottom"/>
            <w:shd w:val="clear" w:color="auto" w:fill="CCEEFF"/>
          </w:tcPr>
          <w:p>
            <w:pPr>
              <w:jc w:val="right"/>
              <w:ind w:right="19"/>
              <w:spacing w:after="0" w:line="130" w:lineRule="exact"/>
              <w:rPr>
                <w:sz w:val="20"/>
                <w:szCs w:val="20"/>
                <w:color w:val="auto"/>
              </w:rPr>
            </w:pPr>
            <w:r>
              <w:rPr>
                <w:rFonts w:ascii="Arial" w:cs="Arial" w:eastAsia="Arial" w:hAnsi="Arial"/>
                <w:sz w:val="12"/>
                <w:szCs w:val="12"/>
                <w:color w:val="auto"/>
                <w:w w:val="95"/>
              </w:rPr>
              <w:t>(8)</w:t>
            </w:r>
          </w:p>
        </w:tc>
        <w:tc>
          <w:tcPr>
            <w:tcW w:w="900" w:type="dxa"/>
            <w:vAlign w:val="bottom"/>
            <w:gridSpan w:val="2"/>
            <w:shd w:val="clear" w:color="auto" w:fill="CCEEFF"/>
          </w:tcPr>
          <w:p>
            <w:pPr>
              <w:jc w:val="right"/>
              <w:ind w:right="160"/>
              <w:spacing w:after="0" w:line="130" w:lineRule="exact"/>
              <w:rPr>
                <w:sz w:val="20"/>
                <w:szCs w:val="20"/>
                <w:color w:val="auto"/>
              </w:rPr>
            </w:pPr>
            <w:r>
              <w:rPr>
                <w:rFonts w:ascii="Arial" w:cs="Arial" w:eastAsia="Arial" w:hAnsi="Arial"/>
                <w:sz w:val="14"/>
                <w:szCs w:val="14"/>
                <w:color w:val="auto"/>
              </w:rPr>
              <w:t>56,750,000</w:t>
            </w:r>
          </w:p>
        </w:tc>
        <w:tc>
          <w:tcPr>
            <w:tcW w:w="900" w:type="dxa"/>
            <w:vAlign w:val="bottom"/>
            <w:gridSpan w:val="2"/>
            <w:shd w:val="clear" w:color="auto" w:fill="CCEEFF"/>
          </w:tcPr>
          <w:p>
            <w:pPr>
              <w:jc w:val="right"/>
              <w:ind w:right="80"/>
              <w:spacing w:after="0" w:line="130" w:lineRule="exact"/>
              <w:rPr>
                <w:sz w:val="20"/>
                <w:szCs w:val="20"/>
                <w:color w:val="auto"/>
              </w:rPr>
            </w:pPr>
            <w:r>
              <w:rPr>
                <w:rFonts w:ascii="Arial" w:cs="Arial" w:eastAsia="Arial" w:hAnsi="Arial"/>
                <w:sz w:val="14"/>
                <w:szCs w:val="14"/>
                <w:color w:val="auto"/>
              </w:rPr>
              <w:t>55,923,621</w:t>
            </w:r>
          </w:p>
        </w:tc>
        <w:tc>
          <w:tcPr>
            <w:tcW w:w="1000" w:type="dxa"/>
            <w:vAlign w:val="bottom"/>
            <w:gridSpan w:val="3"/>
            <w:shd w:val="clear" w:color="auto" w:fill="CCEEFF"/>
          </w:tcPr>
          <w:p>
            <w:pPr>
              <w:jc w:val="right"/>
              <w:ind w:right="80"/>
              <w:spacing w:after="0" w:line="130" w:lineRule="exact"/>
              <w:rPr>
                <w:sz w:val="20"/>
                <w:szCs w:val="20"/>
                <w:color w:val="auto"/>
              </w:rPr>
            </w:pPr>
            <w:r>
              <w:rPr>
                <w:rFonts w:ascii="Arial" w:cs="Arial" w:eastAsia="Arial" w:hAnsi="Arial"/>
                <w:sz w:val="14"/>
                <w:szCs w:val="14"/>
                <w:color w:val="auto"/>
              </w:rPr>
              <w:t>56,040,625</w:t>
            </w:r>
          </w:p>
        </w:tc>
        <w:tc>
          <w:tcPr>
            <w:tcW w:w="0" w:type="dxa"/>
            <w:vAlign w:val="bottom"/>
          </w:tcPr>
          <w:p>
            <w:pPr>
              <w:spacing w:after="0"/>
              <w:rPr>
                <w:sz w:val="1"/>
                <w:szCs w:val="1"/>
                <w:color w:val="auto"/>
              </w:rPr>
            </w:pPr>
          </w:p>
        </w:tc>
      </w:tr>
      <w:tr>
        <w:trPr>
          <w:trHeight w:val="167"/>
        </w:trPr>
        <w:tc>
          <w:tcPr>
            <w:tcW w:w="342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20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Services</w:t>
            </w:r>
          </w:p>
        </w:tc>
        <w:tc>
          <w:tcPr>
            <w:tcW w:w="94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3420" w:type="dxa"/>
            <w:vAlign w:val="bottom"/>
          </w:tcPr>
          <w:p>
            <w:pPr>
              <w:spacing w:after="0" w:line="149" w:lineRule="exact"/>
              <w:rPr>
                <w:sz w:val="20"/>
                <w:szCs w:val="20"/>
                <w:color w:val="auto"/>
              </w:rPr>
            </w:pPr>
            <w:r>
              <w:rPr>
                <w:rFonts w:ascii="Arial" w:cs="Arial" w:eastAsia="Arial" w:hAnsi="Arial"/>
                <w:sz w:val="14"/>
                <w:szCs w:val="14"/>
                <w:color w:val="auto"/>
              </w:rPr>
              <w:t>Questex Media Group LLC, Term Loan A</w:t>
            </w:r>
          </w:p>
        </w:tc>
        <w:tc>
          <w:tcPr>
            <w:tcW w:w="1000" w:type="dxa"/>
            <w:vAlign w:val="bottom"/>
          </w:tcPr>
          <w:p>
            <w:pPr>
              <w:ind w:left="240"/>
              <w:spacing w:after="0" w:line="149" w:lineRule="exact"/>
              <w:rPr>
                <w:sz w:val="20"/>
                <w:szCs w:val="20"/>
                <w:color w:val="auto"/>
              </w:rPr>
            </w:pPr>
            <w:r>
              <w:rPr>
                <w:rFonts w:ascii="Arial" w:cs="Arial" w:eastAsia="Arial" w:hAnsi="Arial"/>
                <w:sz w:val="14"/>
                <w:szCs w:val="14"/>
                <w:color w:val="auto"/>
              </w:rPr>
              <w:t>12/15/2014</w:t>
            </w:r>
          </w:p>
        </w:tc>
        <w:tc>
          <w:tcPr>
            <w:tcW w:w="2060" w:type="dxa"/>
            <w:vAlign w:val="bottom"/>
          </w:tcPr>
          <w:p>
            <w:pPr>
              <w:jc w:val="center"/>
              <w:ind w:right="8"/>
              <w:spacing w:after="0" w:line="149" w:lineRule="exact"/>
              <w:rPr>
                <w:sz w:val="20"/>
                <w:szCs w:val="20"/>
                <w:color w:val="auto"/>
              </w:rPr>
            </w:pPr>
            <w:r>
              <w:rPr>
                <w:rFonts w:ascii="Arial" w:cs="Arial" w:eastAsia="Arial" w:hAnsi="Arial"/>
                <w:sz w:val="14"/>
                <w:szCs w:val="14"/>
                <w:color w:val="auto"/>
                <w:w w:val="96"/>
              </w:rPr>
              <w:t>Other Media</w:t>
            </w:r>
          </w:p>
        </w:tc>
        <w:tc>
          <w:tcPr>
            <w:tcW w:w="940" w:type="dxa"/>
            <w:vAlign w:val="bottom"/>
          </w:tcPr>
          <w:p>
            <w:pPr>
              <w:jc w:val="right"/>
              <w:ind w:right="48"/>
              <w:spacing w:after="0" w:line="149" w:lineRule="exact"/>
              <w:rPr>
                <w:sz w:val="20"/>
                <w:szCs w:val="20"/>
                <w:color w:val="auto"/>
              </w:rPr>
            </w:pPr>
            <w:r>
              <w:rPr>
                <w:rFonts w:ascii="Arial" w:cs="Arial" w:eastAsia="Arial" w:hAnsi="Arial"/>
                <w:sz w:val="14"/>
                <w:szCs w:val="14"/>
                <w:color w:val="auto"/>
              </w:rPr>
              <w:t>9.50%</w:t>
            </w: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L+550</w:t>
            </w:r>
          </w:p>
        </w:tc>
        <w:tc>
          <w:tcPr>
            <w:tcW w:w="240" w:type="dxa"/>
            <w:vAlign w:val="bottom"/>
          </w:tcPr>
          <w:p>
            <w:pPr>
              <w:jc w:val="right"/>
              <w:ind w:right="19"/>
              <w:spacing w:after="0"/>
              <w:rPr>
                <w:sz w:val="20"/>
                <w:szCs w:val="20"/>
                <w:color w:val="auto"/>
              </w:rPr>
            </w:pPr>
            <w:r>
              <w:rPr>
                <w:rFonts w:ascii="Arial" w:cs="Arial" w:eastAsia="Arial" w:hAnsi="Arial"/>
                <w:sz w:val="12"/>
                <w:szCs w:val="12"/>
                <w:color w:val="auto"/>
                <w:w w:val="95"/>
              </w:rPr>
              <w:t>(8)</w:t>
            </w:r>
          </w:p>
        </w:tc>
        <w:tc>
          <w:tcPr>
            <w:tcW w:w="9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2,395,378</w:t>
            </w:r>
          </w:p>
        </w:tc>
        <w:tc>
          <w:tcPr>
            <w:tcW w:w="9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2,395,378</w:t>
            </w:r>
          </w:p>
        </w:tc>
        <w:tc>
          <w:tcPr>
            <w:tcW w:w="100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rPr>
              <w:t>2,371,424</w:t>
            </w:r>
          </w:p>
        </w:tc>
        <w:tc>
          <w:tcPr>
            <w:tcW w:w="0" w:type="dxa"/>
            <w:vAlign w:val="bottom"/>
          </w:tcPr>
          <w:p>
            <w:pPr>
              <w:spacing w:after="0"/>
              <w:rPr>
                <w:sz w:val="1"/>
                <w:szCs w:val="1"/>
                <w:color w:val="auto"/>
              </w:rPr>
            </w:pPr>
          </w:p>
        </w:tc>
      </w:tr>
      <w:tr>
        <w:trPr>
          <w:trHeight w:val="130"/>
        </w:trPr>
        <w:tc>
          <w:tcPr>
            <w:tcW w:w="342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Questex Media Group LLC, Term Loan B</w:t>
            </w:r>
          </w:p>
        </w:tc>
        <w:tc>
          <w:tcPr>
            <w:tcW w:w="1000" w:type="dxa"/>
            <w:vAlign w:val="bottom"/>
            <w:shd w:val="clear" w:color="auto" w:fill="CCEEFF"/>
          </w:tcPr>
          <w:p>
            <w:pPr>
              <w:ind w:left="240"/>
              <w:spacing w:after="0" w:line="130" w:lineRule="exact"/>
              <w:rPr>
                <w:sz w:val="20"/>
                <w:szCs w:val="20"/>
                <w:color w:val="auto"/>
              </w:rPr>
            </w:pPr>
            <w:r>
              <w:rPr>
                <w:rFonts w:ascii="Arial" w:cs="Arial" w:eastAsia="Arial" w:hAnsi="Arial"/>
                <w:sz w:val="14"/>
                <w:szCs w:val="14"/>
                <w:color w:val="auto"/>
              </w:rPr>
              <w:t>12/15/2015</w:t>
            </w:r>
          </w:p>
        </w:tc>
        <w:tc>
          <w:tcPr>
            <w:tcW w:w="2060" w:type="dxa"/>
            <w:vAlign w:val="bottom"/>
            <w:shd w:val="clear" w:color="auto" w:fill="CCEEFF"/>
          </w:tcPr>
          <w:p>
            <w:pPr>
              <w:jc w:val="center"/>
              <w:ind w:right="8"/>
              <w:spacing w:after="0" w:line="130" w:lineRule="exact"/>
              <w:rPr>
                <w:sz w:val="20"/>
                <w:szCs w:val="20"/>
                <w:color w:val="auto"/>
              </w:rPr>
            </w:pPr>
            <w:r>
              <w:rPr>
                <w:rFonts w:ascii="Arial" w:cs="Arial" w:eastAsia="Arial" w:hAnsi="Arial"/>
                <w:sz w:val="14"/>
                <w:szCs w:val="14"/>
                <w:color w:val="auto"/>
                <w:w w:val="96"/>
              </w:rPr>
              <w:t>Other Media</w:t>
            </w:r>
          </w:p>
        </w:tc>
        <w:tc>
          <w:tcPr>
            <w:tcW w:w="940" w:type="dxa"/>
            <w:vAlign w:val="bottom"/>
            <w:shd w:val="clear" w:color="auto" w:fill="CCEEFF"/>
          </w:tcPr>
          <w:p>
            <w:pPr>
              <w:jc w:val="right"/>
              <w:ind w:right="48"/>
              <w:spacing w:after="0" w:line="130" w:lineRule="exact"/>
              <w:rPr>
                <w:sz w:val="20"/>
                <w:szCs w:val="20"/>
                <w:color w:val="auto"/>
              </w:rPr>
            </w:pPr>
            <w:r>
              <w:rPr>
                <w:rFonts w:ascii="Arial" w:cs="Arial" w:eastAsia="Arial" w:hAnsi="Arial"/>
                <w:sz w:val="14"/>
                <w:szCs w:val="14"/>
                <w:color w:val="auto"/>
              </w:rPr>
              <w:t>11.50%</w:t>
            </w:r>
          </w:p>
        </w:tc>
        <w:tc>
          <w:tcPr>
            <w:tcW w:w="780" w:type="dxa"/>
            <w:vAlign w:val="bottom"/>
            <w:shd w:val="clear" w:color="auto" w:fill="CCEEFF"/>
          </w:tcPr>
          <w:p>
            <w:pPr>
              <w:jc w:val="right"/>
              <w:spacing w:after="0" w:line="130" w:lineRule="exact"/>
              <w:rPr>
                <w:sz w:val="20"/>
                <w:szCs w:val="20"/>
                <w:color w:val="auto"/>
              </w:rPr>
            </w:pPr>
            <w:r>
              <w:rPr>
                <w:rFonts w:ascii="Arial" w:cs="Arial" w:eastAsia="Arial" w:hAnsi="Arial"/>
                <w:sz w:val="14"/>
                <w:szCs w:val="14"/>
                <w:color w:val="auto"/>
              </w:rPr>
              <w:t>P+750</w:t>
            </w:r>
          </w:p>
        </w:tc>
        <w:tc>
          <w:tcPr>
            <w:tcW w:w="240" w:type="dxa"/>
            <w:vAlign w:val="bottom"/>
            <w:shd w:val="clear" w:color="auto" w:fill="CCEEFF"/>
          </w:tcPr>
          <w:p>
            <w:pPr>
              <w:jc w:val="right"/>
              <w:ind w:right="19"/>
              <w:spacing w:after="0" w:line="130" w:lineRule="exact"/>
              <w:rPr>
                <w:sz w:val="20"/>
                <w:szCs w:val="20"/>
                <w:color w:val="auto"/>
              </w:rPr>
            </w:pPr>
            <w:r>
              <w:rPr>
                <w:rFonts w:ascii="Arial" w:cs="Arial" w:eastAsia="Arial" w:hAnsi="Arial"/>
                <w:sz w:val="12"/>
                <w:szCs w:val="12"/>
                <w:color w:val="auto"/>
                <w:w w:val="95"/>
              </w:rPr>
              <w:t>(8)</w:t>
            </w:r>
          </w:p>
        </w:tc>
        <w:tc>
          <w:tcPr>
            <w:tcW w:w="900" w:type="dxa"/>
            <w:vAlign w:val="bottom"/>
            <w:gridSpan w:val="2"/>
            <w:shd w:val="clear" w:color="auto" w:fill="CCEEFF"/>
          </w:tcPr>
          <w:p>
            <w:pPr>
              <w:jc w:val="right"/>
              <w:ind w:right="160"/>
              <w:spacing w:after="0" w:line="130" w:lineRule="exact"/>
              <w:rPr>
                <w:sz w:val="20"/>
                <w:szCs w:val="20"/>
                <w:color w:val="auto"/>
              </w:rPr>
            </w:pPr>
            <w:r>
              <w:rPr>
                <w:rFonts w:ascii="Arial" w:cs="Arial" w:eastAsia="Arial" w:hAnsi="Arial"/>
                <w:sz w:val="14"/>
                <w:szCs w:val="14"/>
                <w:color w:val="auto"/>
              </w:rPr>
              <w:t>2,502,333</w:t>
            </w:r>
          </w:p>
        </w:tc>
        <w:tc>
          <w:tcPr>
            <w:tcW w:w="900" w:type="dxa"/>
            <w:vAlign w:val="bottom"/>
            <w:gridSpan w:val="2"/>
            <w:shd w:val="clear" w:color="auto" w:fill="CCEEFF"/>
          </w:tcPr>
          <w:p>
            <w:pPr>
              <w:jc w:val="right"/>
              <w:ind w:right="80"/>
              <w:spacing w:after="0" w:line="130" w:lineRule="exact"/>
              <w:rPr>
                <w:sz w:val="20"/>
                <w:szCs w:val="20"/>
                <w:color w:val="auto"/>
              </w:rPr>
            </w:pPr>
            <w:r>
              <w:rPr>
                <w:rFonts w:ascii="Arial" w:cs="Arial" w:eastAsia="Arial" w:hAnsi="Arial"/>
                <w:sz w:val="14"/>
                <w:szCs w:val="14"/>
                <w:color w:val="auto"/>
              </w:rPr>
              <w:t>2,502,333</w:t>
            </w:r>
          </w:p>
        </w:tc>
        <w:tc>
          <w:tcPr>
            <w:tcW w:w="1000" w:type="dxa"/>
            <w:vAlign w:val="bottom"/>
            <w:gridSpan w:val="3"/>
            <w:shd w:val="clear" w:color="auto" w:fill="CCEEFF"/>
          </w:tcPr>
          <w:p>
            <w:pPr>
              <w:jc w:val="right"/>
              <w:ind w:right="80"/>
              <w:spacing w:after="0" w:line="130" w:lineRule="exact"/>
              <w:rPr>
                <w:sz w:val="20"/>
                <w:szCs w:val="20"/>
                <w:color w:val="auto"/>
              </w:rPr>
            </w:pPr>
            <w:r>
              <w:rPr>
                <w:rFonts w:ascii="Arial" w:cs="Arial" w:eastAsia="Arial" w:hAnsi="Arial"/>
                <w:sz w:val="14"/>
                <w:szCs w:val="14"/>
                <w:color w:val="auto"/>
              </w:rPr>
              <w:t>2,452,286</w:t>
            </w:r>
          </w:p>
        </w:tc>
        <w:tc>
          <w:tcPr>
            <w:tcW w:w="0" w:type="dxa"/>
            <w:vAlign w:val="bottom"/>
          </w:tcPr>
          <w:p>
            <w:pPr>
              <w:spacing w:after="0"/>
              <w:rPr>
                <w:sz w:val="1"/>
                <w:szCs w:val="1"/>
                <w:color w:val="auto"/>
              </w:rPr>
            </w:pPr>
          </w:p>
        </w:tc>
      </w:tr>
      <w:tr>
        <w:trPr>
          <w:trHeight w:val="181"/>
        </w:trPr>
        <w:tc>
          <w:tcPr>
            <w:tcW w:w="342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2060" w:type="dxa"/>
            <w:vAlign w:val="bottom"/>
            <w:shd w:val="clear" w:color="auto" w:fill="CCEEFF"/>
          </w:tcPr>
          <w:p>
            <w:pPr>
              <w:spacing w:after="0"/>
              <w:rPr>
                <w:sz w:val="15"/>
                <w:szCs w:val="15"/>
                <w:color w:val="auto"/>
              </w:rPr>
            </w:pPr>
          </w:p>
        </w:tc>
        <w:tc>
          <w:tcPr>
            <w:tcW w:w="9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(PIK 11.50%)</w:t>
            </w:r>
          </w:p>
        </w:tc>
        <w:tc>
          <w:tcPr>
            <w:tcW w:w="7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55"/>
        </w:trPr>
        <w:tc>
          <w:tcPr>
            <w:tcW w:w="3420" w:type="dxa"/>
            <w:vAlign w:val="bottom"/>
          </w:tcPr>
          <w:p>
            <w:pPr>
              <w:spacing w:after="0" w:line="149" w:lineRule="exact"/>
              <w:rPr>
                <w:sz w:val="20"/>
                <w:szCs w:val="20"/>
                <w:color w:val="auto"/>
              </w:rPr>
            </w:pPr>
            <w:r>
              <w:rPr>
                <w:rFonts w:ascii="Arial" w:cs="Arial" w:eastAsia="Arial" w:hAnsi="Arial"/>
                <w:sz w:val="14"/>
                <w:szCs w:val="14"/>
                <w:color w:val="auto"/>
              </w:rPr>
              <w:t>ROC Finance LLC and ROC Finance 1 Corp.</w:t>
            </w:r>
          </w:p>
        </w:tc>
        <w:tc>
          <w:tcPr>
            <w:tcW w:w="3060" w:type="dxa"/>
            <w:vAlign w:val="bottom"/>
            <w:gridSpan w:val="2"/>
          </w:tcPr>
          <w:p>
            <w:pPr>
              <w:ind w:left="240"/>
              <w:spacing w:after="0" w:line="149" w:lineRule="exact"/>
              <w:rPr>
                <w:sz w:val="20"/>
                <w:szCs w:val="20"/>
                <w:color w:val="auto"/>
              </w:rPr>
            </w:pPr>
            <w:r>
              <w:rPr>
                <w:rFonts w:ascii="Arial" w:cs="Arial" w:eastAsia="Arial" w:hAnsi="Arial"/>
                <w:sz w:val="14"/>
                <w:szCs w:val="14"/>
                <w:color w:val="auto"/>
                <w:w w:val="99"/>
              </w:rPr>
              <w:t>08/31/2018  Hotels, Motels, Inns and Gaming</w:t>
            </w:r>
          </w:p>
        </w:tc>
        <w:tc>
          <w:tcPr>
            <w:tcW w:w="940" w:type="dxa"/>
            <w:vAlign w:val="bottom"/>
          </w:tcPr>
          <w:p>
            <w:pPr>
              <w:jc w:val="right"/>
              <w:ind w:right="48"/>
              <w:spacing w:after="0" w:line="149" w:lineRule="exact"/>
              <w:rPr>
                <w:sz w:val="20"/>
                <w:szCs w:val="20"/>
                <w:color w:val="auto"/>
              </w:rPr>
            </w:pPr>
            <w:r>
              <w:rPr>
                <w:rFonts w:ascii="Arial" w:cs="Arial" w:eastAsia="Arial" w:hAnsi="Arial"/>
                <w:sz w:val="14"/>
                <w:szCs w:val="14"/>
                <w:color w:val="auto"/>
              </w:rPr>
              <w:t>12.13%</w:t>
            </w:r>
          </w:p>
        </w:tc>
        <w:tc>
          <w:tcPr>
            <w:tcW w:w="780" w:type="dxa"/>
            <w:vAlign w:val="bottom"/>
          </w:tcPr>
          <w:p>
            <w:pPr>
              <w:jc w:val="right"/>
              <w:ind w:right="28"/>
              <w:spacing w:after="0" w:line="149"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3"/>
                <w:szCs w:val="13"/>
                <w:color w:val="auto"/>
              </w:rPr>
            </w:pPr>
          </w:p>
        </w:tc>
        <w:tc>
          <w:tcPr>
            <w:tcW w:w="9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16,000,000</w:t>
            </w:r>
          </w:p>
        </w:tc>
        <w:tc>
          <w:tcPr>
            <w:tcW w:w="82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15,785,252</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17,720,000</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342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Total Second Lien Secured Debt</w:t>
            </w:r>
          </w:p>
        </w:tc>
        <w:tc>
          <w:tcPr>
            <w:tcW w:w="1000" w:type="dxa"/>
            <w:vAlign w:val="bottom"/>
            <w:shd w:val="clear" w:color="auto" w:fill="CCEEFF"/>
          </w:tcPr>
          <w:p>
            <w:pPr>
              <w:spacing w:after="0"/>
              <w:rPr>
                <w:sz w:val="12"/>
                <w:szCs w:val="12"/>
                <w:color w:val="auto"/>
              </w:rPr>
            </w:pPr>
          </w:p>
        </w:tc>
        <w:tc>
          <w:tcPr>
            <w:tcW w:w="206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2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332,007,946</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341,093,728</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bl>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240"/>
          </w:cols>
          <w:pgMar w:left="320" w:top="459" w:right="3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left="340" w:right="2720"/>
        <w:spacing w:after="0" w:line="266" w:lineRule="auto"/>
        <w:rPr>
          <w:sz w:val="20"/>
          <w:szCs w:val="20"/>
          <w:color w:val="auto"/>
        </w:rPr>
      </w:pPr>
      <w:r>
        <w:rPr>
          <w:rFonts w:ascii="Arial" w:cs="Arial" w:eastAsia="Arial" w:hAnsi="Arial"/>
          <w:sz w:val="18"/>
          <w:szCs w:val="18"/>
          <w:b w:val="1"/>
          <w:bCs w:val="1"/>
          <w:color w:val="auto"/>
        </w:rPr>
        <w:t>PENNANTPARK INVESTMENT CORPORATION AND SUBSIDIARIES CONSOLIDATED SCHEDULE OF INVESTMENTS—(Continued) SEPTEMBER 30, 2013</w:t>
      </w:r>
    </w:p>
    <w:p>
      <w:pPr>
        <w:spacing w:after="0" w:line="9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3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tcPr>
          <w:p>
            <w:pPr>
              <w:jc w:val="center"/>
              <w:spacing w:after="0"/>
              <w:rPr>
                <w:sz w:val="20"/>
                <w:szCs w:val="20"/>
                <w:color w:val="auto"/>
              </w:rPr>
            </w:pPr>
            <w:r>
              <w:rPr>
                <w:rFonts w:ascii="Arial" w:cs="Arial" w:eastAsia="Arial" w:hAnsi="Arial"/>
                <w:sz w:val="14"/>
                <w:szCs w:val="14"/>
                <w:b w:val="1"/>
                <w:bCs w:val="1"/>
                <w:color w:val="auto"/>
                <w:w w:val="89"/>
              </w:rPr>
              <w:t>Basis Point</w:t>
            </w: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43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840" w:type="dxa"/>
            <w:vAlign w:val="bottom"/>
            <w:vMerge w:val="restart"/>
          </w:tcPr>
          <w:p>
            <w:pPr>
              <w:jc w:val="right"/>
              <w:ind w:right="168"/>
              <w:spacing w:after="0"/>
              <w:rPr>
                <w:sz w:val="20"/>
                <w:szCs w:val="20"/>
                <w:color w:val="auto"/>
              </w:rPr>
            </w:pPr>
            <w:r>
              <w:rPr>
                <w:rFonts w:ascii="Arial" w:cs="Arial" w:eastAsia="Arial" w:hAnsi="Arial"/>
                <w:sz w:val="14"/>
                <w:szCs w:val="14"/>
                <w:b w:val="1"/>
                <w:bCs w:val="1"/>
                <w:color w:val="auto"/>
              </w:rPr>
              <w:t>Current</w:t>
            </w:r>
          </w:p>
        </w:tc>
        <w:tc>
          <w:tcPr>
            <w:tcW w:w="200" w:type="dxa"/>
            <w:vAlign w:val="bottom"/>
          </w:tcPr>
          <w:p>
            <w:pPr>
              <w:spacing w:after="0"/>
              <w:rPr>
                <w:sz w:val="12"/>
                <w:szCs w:val="12"/>
                <w:color w:val="auto"/>
              </w:rPr>
            </w:pPr>
          </w:p>
        </w:tc>
        <w:tc>
          <w:tcPr>
            <w:tcW w:w="8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Spread</w:t>
            </w:r>
          </w:p>
        </w:tc>
        <w:tc>
          <w:tcPr>
            <w:tcW w:w="860" w:type="dxa"/>
            <w:vAlign w:val="bottom"/>
            <w:gridSpan w:val="2"/>
            <w:vMerge w:val="restart"/>
          </w:tcPr>
          <w:p>
            <w:pPr>
              <w:jc w:val="right"/>
              <w:ind w:right="300"/>
              <w:spacing w:after="0"/>
              <w:rPr>
                <w:sz w:val="20"/>
                <w:szCs w:val="20"/>
                <w:color w:val="auto"/>
              </w:rPr>
            </w:pPr>
            <w:r>
              <w:rPr>
                <w:rFonts w:ascii="Arial" w:cs="Arial" w:eastAsia="Arial" w:hAnsi="Arial"/>
                <w:sz w:val="14"/>
                <w:szCs w:val="14"/>
                <w:b w:val="1"/>
                <w:bCs w:val="1"/>
                <w:color w:val="auto"/>
              </w:rPr>
              <w:t>Par /</w:t>
            </w: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300" w:type="dxa"/>
            <w:vAlign w:val="bottom"/>
            <w:vMerge w:val="restart"/>
          </w:tcPr>
          <w:p>
            <w:pPr>
              <w:spacing w:after="0"/>
              <w:rPr>
                <w:sz w:val="20"/>
                <w:szCs w:val="20"/>
                <w:color w:val="auto"/>
              </w:rPr>
            </w:pPr>
            <w:r>
              <w:rPr>
                <w:rFonts w:ascii="Arial" w:cs="Arial" w:eastAsia="Arial" w:hAnsi="Arial"/>
                <w:sz w:val="14"/>
                <w:szCs w:val="14"/>
                <w:b w:val="1"/>
                <w:bCs w:val="1"/>
                <w:color w:val="auto"/>
              </w:rPr>
              <w:t>Issuer Name</w:t>
            </w:r>
          </w:p>
        </w:tc>
        <w:tc>
          <w:tcPr>
            <w:tcW w:w="76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Maturity</w:t>
            </w:r>
          </w:p>
        </w:tc>
        <w:tc>
          <w:tcPr>
            <w:tcW w:w="14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Industry</w:t>
            </w:r>
          </w:p>
        </w:tc>
        <w:tc>
          <w:tcPr>
            <w:tcW w:w="84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Above</w:t>
            </w:r>
          </w:p>
        </w:tc>
        <w:tc>
          <w:tcPr>
            <w:tcW w:w="86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vMerge w:val="restart"/>
          </w:tcPr>
          <w:p>
            <w:pPr>
              <w:jc w:val="right"/>
              <w:ind w:right="208"/>
              <w:spacing w:after="0"/>
              <w:rPr>
                <w:sz w:val="20"/>
                <w:szCs w:val="20"/>
                <w:color w:val="auto"/>
              </w:rPr>
            </w:pPr>
            <w:r>
              <w:rPr>
                <w:rFonts w:ascii="Arial" w:cs="Arial" w:eastAsia="Arial" w:hAnsi="Arial"/>
                <w:sz w:val="14"/>
                <w:szCs w:val="14"/>
                <w:b w:val="1"/>
                <w:bCs w:val="1"/>
                <w:color w:val="auto"/>
              </w:rPr>
              <w:t>Cost</w:t>
            </w:r>
          </w:p>
        </w:tc>
        <w:tc>
          <w:tcPr>
            <w:tcW w:w="160" w:type="dxa"/>
            <w:vAlign w:val="bottom"/>
          </w:tcPr>
          <w:p>
            <w:pPr>
              <w:spacing w:after="0"/>
              <w:rPr>
                <w:sz w:val="12"/>
                <w:szCs w:val="12"/>
                <w:color w:val="auto"/>
              </w:rPr>
            </w:pPr>
          </w:p>
        </w:tc>
        <w:tc>
          <w:tcPr>
            <w:tcW w:w="9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 xml:space="preserve">Fair Value </w:t>
            </w:r>
            <w:r>
              <w:rPr>
                <w:rFonts w:ascii="Arial" w:cs="Arial" w:eastAsia="Arial" w:hAnsi="Arial"/>
                <w:sz w:val="12"/>
                <w:szCs w:val="12"/>
                <w:b w:val="1"/>
                <w:bCs w:val="1"/>
                <w:color w:val="auto"/>
              </w:rPr>
              <w:t>(3)</w:t>
            </w:r>
          </w:p>
        </w:tc>
        <w:tc>
          <w:tcPr>
            <w:tcW w:w="0" w:type="dxa"/>
            <w:vAlign w:val="bottom"/>
          </w:tcPr>
          <w:p>
            <w:pPr>
              <w:spacing w:after="0"/>
              <w:rPr>
                <w:sz w:val="1"/>
                <w:szCs w:val="1"/>
                <w:color w:val="auto"/>
              </w:rPr>
            </w:pPr>
          </w:p>
        </w:tc>
      </w:tr>
      <w:tr>
        <w:trPr>
          <w:trHeight w:val="171"/>
        </w:trPr>
        <w:tc>
          <w:tcPr>
            <w:tcW w:w="4300" w:type="dxa"/>
            <w:vAlign w:val="bottom"/>
            <w:vMerge w:val="continue"/>
          </w:tcPr>
          <w:p>
            <w:pPr>
              <w:spacing w:after="0"/>
              <w:rPr>
                <w:sz w:val="14"/>
                <w:szCs w:val="14"/>
                <w:color w:val="auto"/>
              </w:rPr>
            </w:pPr>
          </w:p>
        </w:tc>
        <w:tc>
          <w:tcPr>
            <w:tcW w:w="760" w:type="dxa"/>
            <w:vAlign w:val="bottom"/>
            <w:vMerge w:val="continue"/>
          </w:tcPr>
          <w:p>
            <w:pPr>
              <w:spacing w:after="0"/>
              <w:rPr>
                <w:sz w:val="14"/>
                <w:szCs w:val="14"/>
                <w:color w:val="auto"/>
              </w:rPr>
            </w:pPr>
          </w:p>
        </w:tc>
        <w:tc>
          <w:tcPr>
            <w:tcW w:w="1460" w:type="dxa"/>
            <w:vAlign w:val="bottom"/>
            <w:vMerge w:val="continue"/>
          </w:tcPr>
          <w:p>
            <w:pPr>
              <w:spacing w:after="0"/>
              <w:rPr>
                <w:sz w:val="14"/>
                <w:szCs w:val="14"/>
                <w:color w:val="auto"/>
              </w:rPr>
            </w:pPr>
          </w:p>
        </w:tc>
        <w:tc>
          <w:tcPr>
            <w:tcW w:w="840" w:type="dxa"/>
            <w:vAlign w:val="bottom"/>
          </w:tcPr>
          <w:p>
            <w:pPr>
              <w:jc w:val="right"/>
              <w:ind w:right="168"/>
              <w:spacing w:after="0"/>
              <w:rPr>
                <w:sz w:val="20"/>
                <w:szCs w:val="20"/>
                <w:color w:val="auto"/>
              </w:rPr>
            </w:pPr>
            <w:r>
              <w:rPr>
                <w:rFonts w:ascii="Arial" w:cs="Arial" w:eastAsia="Arial" w:hAnsi="Arial"/>
                <w:sz w:val="14"/>
                <w:szCs w:val="14"/>
                <w:b w:val="1"/>
                <w:bCs w:val="1"/>
                <w:color w:val="auto"/>
              </w:rPr>
              <w:t>Coupon</w:t>
            </w:r>
          </w:p>
        </w:tc>
        <w:tc>
          <w:tcPr>
            <w:tcW w:w="200" w:type="dxa"/>
            <w:vAlign w:val="bottom"/>
          </w:tcPr>
          <w:p>
            <w:pPr>
              <w:spacing w:after="0"/>
              <w:rPr>
                <w:sz w:val="14"/>
                <w:szCs w:val="14"/>
                <w:color w:val="auto"/>
              </w:rPr>
            </w:pPr>
          </w:p>
        </w:tc>
        <w:tc>
          <w:tcPr>
            <w:tcW w:w="840" w:type="dxa"/>
            <w:vAlign w:val="bottom"/>
          </w:tcPr>
          <w:p>
            <w:pPr>
              <w:jc w:val="center"/>
              <w:spacing w:after="0"/>
              <w:rPr>
                <w:sz w:val="20"/>
                <w:szCs w:val="20"/>
                <w:color w:val="auto"/>
              </w:rPr>
            </w:pPr>
            <w:r>
              <w:rPr>
                <w:rFonts w:ascii="Arial" w:cs="Arial" w:eastAsia="Arial" w:hAnsi="Arial"/>
                <w:sz w:val="14"/>
                <w:szCs w:val="14"/>
                <w:b w:val="1"/>
                <w:bCs w:val="1"/>
                <w:color w:val="auto"/>
                <w:w w:val="97"/>
              </w:rPr>
              <w:t xml:space="preserve">Index </w:t>
            </w:r>
            <w:r>
              <w:rPr>
                <w:rFonts w:ascii="Arial" w:cs="Arial" w:eastAsia="Arial" w:hAnsi="Arial"/>
                <w:sz w:val="12"/>
                <w:szCs w:val="12"/>
                <w:b w:val="1"/>
                <w:bCs w:val="1"/>
                <w:color w:val="auto"/>
                <w:w w:val="97"/>
              </w:rPr>
              <w:t>(4)</w:t>
            </w:r>
          </w:p>
        </w:tc>
        <w:tc>
          <w:tcPr>
            <w:tcW w:w="86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rPr>
              <w:t>Shares</w:t>
            </w:r>
          </w:p>
        </w:tc>
        <w:tc>
          <w:tcPr>
            <w:tcW w:w="10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30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Subordinated Debt/Corporate Notes—37.4%</w:t>
            </w:r>
          </w:p>
        </w:tc>
        <w:tc>
          <w:tcPr>
            <w:tcW w:w="760" w:type="dxa"/>
            <w:vAlign w:val="bottom"/>
            <w:tcBorders>
              <w:top w:val="single" w:sz="8" w:color="auto"/>
            </w:tcBorders>
            <w:shd w:val="clear" w:color="auto" w:fill="CCEEFF"/>
          </w:tcPr>
          <w:p>
            <w:pPr>
              <w:spacing w:after="0"/>
              <w:rPr>
                <w:sz w:val="12"/>
                <w:szCs w:val="12"/>
                <w:color w:val="auto"/>
              </w:rPr>
            </w:pPr>
          </w:p>
        </w:tc>
        <w:tc>
          <w:tcPr>
            <w:tcW w:w="1460" w:type="dxa"/>
            <w:vAlign w:val="bottom"/>
            <w:tcBorders>
              <w:top w:val="single" w:sz="8" w:color="auto"/>
            </w:tcBorders>
            <w:shd w:val="clear" w:color="auto" w:fill="CCEEFF"/>
          </w:tcPr>
          <w:p>
            <w:pPr>
              <w:spacing w:after="0"/>
              <w:rPr>
                <w:sz w:val="12"/>
                <w:szCs w:val="12"/>
                <w:color w:val="auto"/>
              </w:rPr>
            </w:pPr>
          </w:p>
        </w:tc>
        <w:tc>
          <w:tcPr>
            <w:tcW w:w="840" w:type="dxa"/>
            <w:vAlign w:val="bottom"/>
            <w:tcBorders>
              <w:top w:val="single" w:sz="8" w:color="auto"/>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spacing w:after="0"/>
              <w:rPr>
                <w:sz w:val="12"/>
                <w:szCs w:val="12"/>
                <w:color w:val="auto"/>
              </w:rPr>
            </w:pPr>
          </w:p>
        </w:tc>
        <w:tc>
          <w:tcPr>
            <w:tcW w:w="840" w:type="dxa"/>
            <w:vAlign w:val="bottom"/>
            <w:tcBorders>
              <w:top w:val="single" w:sz="8" w:color="auto"/>
            </w:tcBorders>
            <w:shd w:val="clear" w:color="auto" w:fill="CCEEFF"/>
          </w:tcPr>
          <w:p>
            <w:pPr>
              <w:spacing w:after="0"/>
              <w:rPr>
                <w:sz w:val="12"/>
                <w:szCs w:val="12"/>
                <w:color w:val="auto"/>
              </w:rPr>
            </w:pPr>
          </w:p>
        </w:tc>
        <w:tc>
          <w:tcPr>
            <w:tcW w:w="74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820" w:type="dxa"/>
            <w:vAlign w:val="bottom"/>
            <w:tcBorders>
              <w:top w:val="single" w:sz="8" w:color="auto"/>
            </w:tcBorders>
            <w:shd w:val="clear" w:color="auto" w:fill="CCEEFF"/>
          </w:tcPr>
          <w:p>
            <w:pPr>
              <w:spacing w:after="0"/>
              <w:rPr>
                <w:sz w:val="12"/>
                <w:szCs w:val="12"/>
                <w:color w:val="auto"/>
              </w:rPr>
            </w:pPr>
          </w:p>
        </w:tc>
        <w:tc>
          <w:tcPr>
            <w:tcW w:w="160" w:type="dxa"/>
            <w:vAlign w:val="bottom"/>
            <w:tcBorders>
              <w:top w:val="single" w:sz="8" w:color="CCEEFF"/>
            </w:tcBorders>
            <w:shd w:val="clear" w:color="auto" w:fill="CCEEFF"/>
          </w:tcPr>
          <w:p>
            <w:pPr>
              <w:spacing w:after="0"/>
              <w:rPr>
                <w:sz w:val="12"/>
                <w:szCs w:val="12"/>
                <w:color w:val="auto"/>
              </w:rPr>
            </w:pPr>
          </w:p>
        </w:tc>
        <w:tc>
          <w:tcPr>
            <w:tcW w:w="82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300" w:type="dxa"/>
            <w:vAlign w:val="bottom"/>
          </w:tcPr>
          <w:p>
            <w:pPr>
              <w:spacing w:after="0" w:line="149" w:lineRule="exact"/>
              <w:rPr>
                <w:sz w:val="20"/>
                <w:szCs w:val="20"/>
                <w:color w:val="auto"/>
              </w:rPr>
            </w:pPr>
            <w:r>
              <w:rPr>
                <w:rFonts w:ascii="Arial" w:cs="Arial" w:eastAsia="Arial" w:hAnsi="Arial"/>
                <w:sz w:val="14"/>
                <w:szCs w:val="14"/>
                <w:color w:val="auto"/>
              </w:rPr>
              <w:t>Acentia, LLC</w:t>
            </w:r>
          </w:p>
        </w:tc>
        <w:tc>
          <w:tcPr>
            <w:tcW w:w="760" w:type="dxa"/>
            <w:vAlign w:val="bottom"/>
          </w:tcPr>
          <w:p>
            <w:pPr>
              <w:jc w:val="center"/>
              <w:spacing w:after="0" w:line="149" w:lineRule="exact"/>
              <w:rPr>
                <w:sz w:val="20"/>
                <w:szCs w:val="20"/>
                <w:color w:val="auto"/>
              </w:rPr>
            </w:pPr>
            <w:r>
              <w:rPr>
                <w:rFonts w:ascii="Arial" w:cs="Arial" w:eastAsia="Arial" w:hAnsi="Arial"/>
                <w:sz w:val="14"/>
                <w:szCs w:val="14"/>
                <w:color w:val="auto"/>
                <w:w w:val="91"/>
              </w:rPr>
              <w:t>10/02/2017</w:t>
            </w:r>
          </w:p>
        </w:tc>
        <w:tc>
          <w:tcPr>
            <w:tcW w:w="1460" w:type="dxa"/>
            <w:vAlign w:val="bottom"/>
          </w:tcPr>
          <w:p>
            <w:pPr>
              <w:jc w:val="center"/>
              <w:spacing w:after="0" w:line="149" w:lineRule="exact"/>
              <w:rPr>
                <w:sz w:val="20"/>
                <w:szCs w:val="20"/>
                <w:color w:val="auto"/>
              </w:rPr>
            </w:pPr>
            <w:r>
              <w:rPr>
                <w:rFonts w:ascii="Arial" w:cs="Arial" w:eastAsia="Arial" w:hAnsi="Arial"/>
                <w:sz w:val="14"/>
                <w:szCs w:val="14"/>
                <w:color w:val="auto"/>
                <w:w w:val="93"/>
              </w:rPr>
              <w:t>Electronics</w:t>
            </w: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13.75%</w:t>
            </w:r>
          </w:p>
        </w:tc>
        <w:tc>
          <w:tcPr>
            <w:tcW w:w="200" w:type="dxa"/>
            <w:vAlign w:val="bottom"/>
          </w:tcPr>
          <w:p>
            <w:pPr>
              <w:spacing w:after="0"/>
              <w:rPr>
                <w:sz w:val="12"/>
                <w:szCs w:val="12"/>
                <w:color w:val="auto"/>
              </w:rPr>
            </w:pPr>
          </w:p>
        </w:tc>
        <w:tc>
          <w:tcPr>
            <w:tcW w:w="840" w:type="dxa"/>
            <w:vAlign w:val="bottom"/>
          </w:tcPr>
          <w:p>
            <w:pPr>
              <w:ind w:left="540"/>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19,000,000</w:t>
            </w:r>
          </w:p>
        </w:tc>
        <w:tc>
          <w:tcPr>
            <w:tcW w:w="9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  18,629,082</w:t>
            </w:r>
          </w:p>
        </w:tc>
        <w:tc>
          <w:tcPr>
            <w:tcW w:w="106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rPr>
              <w:t>$  18,879,139</w:t>
            </w:r>
          </w:p>
        </w:tc>
        <w:tc>
          <w:tcPr>
            <w:tcW w:w="0" w:type="dxa"/>
            <w:vAlign w:val="bottom"/>
          </w:tcPr>
          <w:p>
            <w:pPr>
              <w:spacing w:after="0"/>
              <w:rPr>
                <w:sz w:val="1"/>
                <w:szCs w:val="1"/>
                <w:color w:val="auto"/>
              </w:rPr>
            </w:pPr>
          </w:p>
        </w:tc>
      </w:tr>
      <w:tr>
        <w:trPr>
          <w:trHeight w:val="148"/>
        </w:trPr>
        <w:tc>
          <w:tcPr>
            <w:tcW w:w="43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Affinion Group Holdings, Inc.</w:t>
            </w:r>
          </w:p>
        </w:tc>
        <w:tc>
          <w:tcPr>
            <w:tcW w:w="76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1"/>
              </w:rPr>
              <w:t>11/15/2015</w:t>
            </w:r>
          </w:p>
        </w:tc>
        <w:tc>
          <w:tcPr>
            <w:tcW w:w="146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0"/>
              </w:rPr>
              <w:t>Consumer Products</w:t>
            </w: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11.63%</w:t>
            </w:r>
          </w:p>
        </w:tc>
        <w:tc>
          <w:tcPr>
            <w:tcW w:w="200" w:type="dxa"/>
            <w:vAlign w:val="bottom"/>
            <w:shd w:val="clear" w:color="auto" w:fill="CCEEFF"/>
          </w:tcPr>
          <w:p>
            <w:pPr>
              <w:spacing w:after="0"/>
              <w:rPr>
                <w:sz w:val="12"/>
                <w:szCs w:val="12"/>
                <w:color w:val="auto"/>
              </w:rPr>
            </w:pPr>
          </w:p>
        </w:tc>
        <w:tc>
          <w:tcPr>
            <w:tcW w:w="840" w:type="dxa"/>
            <w:vAlign w:val="bottom"/>
            <w:shd w:val="clear" w:color="auto" w:fill="CCEEFF"/>
          </w:tcPr>
          <w:p>
            <w:pPr>
              <w:ind w:left="540"/>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35,552,000</w:t>
            </w:r>
          </w:p>
        </w:tc>
        <w:tc>
          <w:tcPr>
            <w:tcW w:w="9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34,570,664</w:t>
            </w:r>
          </w:p>
        </w:tc>
        <w:tc>
          <w:tcPr>
            <w:tcW w:w="106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20,442,400</w:t>
            </w:r>
          </w:p>
        </w:tc>
        <w:tc>
          <w:tcPr>
            <w:tcW w:w="0" w:type="dxa"/>
            <w:vAlign w:val="bottom"/>
          </w:tcPr>
          <w:p>
            <w:pPr>
              <w:spacing w:after="0"/>
              <w:rPr>
                <w:sz w:val="1"/>
                <w:szCs w:val="1"/>
                <w:color w:val="auto"/>
              </w:rPr>
            </w:pPr>
          </w:p>
        </w:tc>
      </w:tr>
      <w:tr>
        <w:trPr>
          <w:trHeight w:val="148"/>
        </w:trPr>
        <w:tc>
          <w:tcPr>
            <w:tcW w:w="4300" w:type="dxa"/>
            <w:vAlign w:val="bottom"/>
          </w:tcPr>
          <w:p>
            <w:pPr>
              <w:spacing w:after="0" w:line="149" w:lineRule="exact"/>
              <w:rPr>
                <w:sz w:val="20"/>
                <w:szCs w:val="20"/>
                <w:color w:val="auto"/>
              </w:rPr>
            </w:pPr>
            <w:r>
              <w:rPr>
                <w:rFonts w:ascii="Arial" w:cs="Arial" w:eastAsia="Arial" w:hAnsi="Arial"/>
                <w:sz w:val="14"/>
                <w:szCs w:val="14"/>
                <w:color w:val="auto"/>
              </w:rPr>
              <w:t>Alegeus Technologies, LLC</w:t>
            </w:r>
          </w:p>
        </w:tc>
        <w:tc>
          <w:tcPr>
            <w:tcW w:w="760" w:type="dxa"/>
            <w:vAlign w:val="bottom"/>
          </w:tcPr>
          <w:p>
            <w:pPr>
              <w:jc w:val="center"/>
              <w:spacing w:after="0" w:line="149" w:lineRule="exact"/>
              <w:rPr>
                <w:sz w:val="20"/>
                <w:szCs w:val="20"/>
                <w:color w:val="auto"/>
              </w:rPr>
            </w:pPr>
            <w:r>
              <w:rPr>
                <w:rFonts w:ascii="Arial" w:cs="Arial" w:eastAsia="Arial" w:hAnsi="Arial"/>
                <w:sz w:val="14"/>
                <w:szCs w:val="14"/>
                <w:color w:val="auto"/>
                <w:w w:val="91"/>
              </w:rPr>
              <w:t>02/15/2019</w:t>
            </w:r>
          </w:p>
        </w:tc>
        <w:tc>
          <w:tcPr>
            <w:tcW w:w="1460" w:type="dxa"/>
            <w:vAlign w:val="bottom"/>
          </w:tcPr>
          <w:p>
            <w:pPr>
              <w:jc w:val="center"/>
              <w:spacing w:after="0" w:line="149" w:lineRule="exact"/>
              <w:rPr>
                <w:sz w:val="20"/>
                <w:szCs w:val="20"/>
                <w:color w:val="auto"/>
              </w:rPr>
            </w:pPr>
            <w:r>
              <w:rPr>
                <w:rFonts w:ascii="Arial" w:cs="Arial" w:eastAsia="Arial" w:hAnsi="Arial"/>
                <w:sz w:val="14"/>
                <w:szCs w:val="14"/>
                <w:color w:val="auto"/>
                <w:w w:val="91"/>
              </w:rPr>
              <w:t>Financial Services</w:t>
            </w: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12.00%</w:t>
            </w:r>
          </w:p>
        </w:tc>
        <w:tc>
          <w:tcPr>
            <w:tcW w:w="200" w:type="dxa"/>
            <w:vAlign w:val="bottom"/>
          </w:tcPr>
          <w:p>
            <w:pPr>
              <w:spacing w:after="0"/>
              <w:rPr>
                <w:sz w:val="12"/>
                <w:szCs w:val="12"/>
                <w:color w:val="auto"/>
              </w:rPr>
            </w:pPr>
          </w:p>
        </w:tc>
        <w:tc>
          <w:tcPr>
            <w:tcW w:w="840" w:type="dxa"/>
            <w:vAlign w:val="bottom"/>
          </w:tcPr>
          <w:p>
            <w:pPr>
              <w:ind w:left="540"/>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8,930,000</w:t>
            </w:r>
          </w:p>
        </w:tc>
        <w:tc>
          <w:tcPr>
            <w:tcW w:w="9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8,773,751</w:t>
            </w:r>
          </w:p>
        </w:tc>
        <w:tc>
          <w:tcPr>
            <w:tcW w:w="106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rPr>
              <w:t>8,888,617</w:t>
            </w:r>
          </w:p>
        </w:tc>
        <w:tc>
          <w:tcPr>
            <w:tcW w:w="0" w:type="dxa"/>
            <w:vAlign w:val="bottom"/>
          </w:tcPr>
          <w:p>
            <w:pPr>
              <w:spacing w:after="0"/>
              <w:rPr>
                <w:sz w:val="1"/>
                <w:szCs w:val="1"/>
                <w:color w:val="auto"/>
              </w:rPr>
            </w:pPr>
          </w:p>
        </w:tc>
      </w:tr>
      <w:tr>
        <w:trPr>
          <w:trHeight w:val="130"/>
        </w:trPr>
        <w:tc>
          <w:tcPr>
            <w:tcW w:w="430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Convergint Technologies LLC</w:t>
            </w:r>
          </w:p>
        </w:tc>
        <w:tc>
          <w:tcPr>
            <w:tcW w:w="760" w:type="dxa"/>
            <w:vAlign w:val="bottom"/>
            <w:shd w:val="clear" w:color="auto" w:fill="CCEEFF"/>
          </w:tcPr>
          <w:p>
            <w:pPr>
              <w:jc w:val="center"/>
              <w:spacing w:after="0" w:line="130" w:lineRule="exact"/>
              <w:rPr>
                <w:sz w:val="20"/>
                <w:szCs w:val="20"/>
                <w:color w:val="auto"/>
              </w:rPr>
            </w:pPr>
            <w:r>
              <w:rPr>
                <w:rFonts w:ascii="Arial" w:cs="Arial" w:eastAsia="Arial" w:hAnsi="Arial"/>
                <w:sz w:val="14"/>
                <w:szCs w:val="14"/>
                <w:color w:val="auto"/>
                <w:w w:val="91"/>
              </w:rPr>
              <w:t>03/26/2018</w:t>
            </w:r>
          </w:p>
        </w:tc>
        <w:tc>
          <w:tcPr>
            <w:tcW w:w="1460" w:type="dxa"/>
            <w:vAlign w:val="bottom"/>
            <w:shd w:val="clear" w:color="auto" w:fill="CCEEFF"/>
          </w:tcPr>
          <w:p>
            <w:pPr>
              <w:jc w:val="center"/>
              <w:spacing w:after="0" w:line="130" w:lineRule="exact"/>
              <w:rPr>
                <w:sz w:val="20"/>
                <w:szCs w:val="20"/>
                <w:color w:val="auto"/>
              </w:rPr>
            </w:pPr>
            <w:r>
              <w:rPr>
                <w:rFonts w:ascii="Arial" w:cs="Arial" w:eastAsia="Arial" w:hAnsi="Arial"/>
                <w:sz w:val="14"/>
                <w:szCs w:val="14"/>
                <w:color w:val="auto"/>
                <w:w w:val="93"/>
              </w:rPr>
              <w:t>Electronics</w:t>
            </w:r>
          </w:p>
        </w:tc>
        <w:tc>
          <w:tcPr>
            <w:tcW w:w="840" w:type="dxa"/>
            <w:vAlign w:val="bottom"/>
            <w:shd w:val="clear" w:color="auto" w:fill="CCEEFF"/>
          </w:tcPr>
          <w:p>
            <w:pPr>
              <w:jc w:val="right"/>
              <w:spacing w:after="0" w:line="130" w:lineRule="exact"/>
              <w:rPr>
                <w:sz w:val="20"/>
                <w:szCs w:val="20"/>
                <w:color w:val="auto"/>
              </w:rPr>
            </w:pPr>
            <w:r>
              <w:rPr>
                <w:rFonts w:ascii="Arial" w:cs="Arial" w:eastAsia="Arial" w:hAnsi="Arial"/>
                <w:sz w:val="14"/>
                <w:szCs w:val="14"/>
                <w:color w:val="auto"/>
              </w:rPr>
              <w:t>12.00%</w:t>
            </w:r>
          </w:p>
        </w:tc>
        <w:tc>
          <w:tcPr>
            <w:tcW w:w="200" w:type="dxa"/>
            <w:vAlign w:val="bottom"/>
            <w:shd w:val="clear" w:color="auto" w:fill="CCEEFF"/>
          </w:tcPr>
          <w:p>
            <w:pPr>
              <w:spacing w:after="0"/>
              <w:rPr>
                <w:sz w:val="11"/>
                <w:szCs w:val="11"/>
                <w:color w:val="auto"/>
              </w:rPr>
            </w:pPr>
          </w:p>
        </w:tc>
        <w:tc>
          <w:tcPr>
            <w:tcW w:w="840" w:type="dxa"/>
            <w:vAlign w:val="bottom"/>
            <w:shd w:val="clear" w:color="auto" w:fill="CCEEFF"/>
          </w:tcPr>
          <w:p>
            <w:pPr>
              <w:ind w:left="540"/>
              <w:spacing w:after="0" w:line="130" w:lineRule="exact"/>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jc w:val="right"/>
              <w:ind w:right="120"/>
              <w:spacing w:after="0" w:line="130" w:lineRule="exact"/>
              <w:rPr>
                <w:sz w:val="20"/>
                <w:szCs w:val="20"/>
                <w:color w:val="auto"/>
              </w:rPr>
            </w:pPr>
            <w:r>
              <w:rPr>
                <w:rFonts w:ascii="Arial" w:cs="Arial" w:eastAsia="Arial" w:hAnsi="Arial"/>
                <w:sz w:val="14"/>
                <w:szCs w:val="14"/>
                <w:color w:val="auto"/>
              </w:rPr>
              <w:t>23,514,494</w:t>
            </w:r>
          </w:p>
        </w:tc>
        <w:tc>
          <w:tcPr>
            <w:tcW w:w="920" w:type="dxa"/>
            <w:vAlign w:val="bottom"/>
            <w:gridSpan w:val="2"/>
            <w:shd w:val="clear" w:color="auto" w:fill="CCEEFF"/>
          </w:tcPr>
          <w:p>
            <w:pPr>
              <w:jc w:val="right"/>
              <w:spacing w:after="0" w:line="130" w:lineRule="exact"/>
              <w:rPr>
                <w:sz w:val="20"/>
                <w:szCs w:val="20"/>
                <w:color w:val="auto"/>
              </w:rPr>
            </w:pPr>
            <w:r>
              <w:rPr>
                <w:rFonts w:ascii="Arial" w:cs="Arial" w:eastAsia="Arial" w:hAnsi="Arial"/>
                <w:sz w:val="14"/>
                <w:szCs w:val="14"/>
                <w:color w:val="auto"/>
              </w:rPr>
              <w:t>23,114,286</w:t>
            </w:r>
          </w:p>
        </w:tc>
        <w:tc>
          <w:tcPr>
            <w:tcW w:w="1060" w:type="dxa"/>
            <w:vAlign w:val="bottom"/>
            <w:gridSpan w:val="3"/>
            <w:shd w:val="clear" w:color="auto" w:fill="CCEEFF"/>
          </w:tcPr>
          <w:p>
            <w:pPr>
              <w:jc w:val="right"/>
              <w:ind w:right="80"/>
              <w:spacing w:after="0" w:line="130" w:lineRule="exact"/>
              <w:rPr>
                <w:sz w:val="20"/>
                <w:szCs w:val="20"/>
                <w:color w:val="auto"/>
              </w:rPr>
            </w:pPr>
            <w:r>
              <w:rPr>
                <w:rFonts w:ascii="Arial" w:cs="Arial" w:eastAsia="Arial" w:hAnsi="Arial"/>
                <w:sz w:val="14"/>
                <w:szCs w:val="14"/>
                <w:color w:val="auto"/>
              </w:rPr>
              <w:t>23,867,211</w:t>
            </w:r>
          </w:p>
        </w:tc>
        <w:tc>
          <w:tcPr>
            <w:tcW w:w="0" w:type="dxa"/>
            <w:vAlign w:val="bottom"/>
          </w:tcPr>
          <w:p>
            <w:pPr>
              <w:spacing w:after="0"/>
              <w:rPr>
                <w:sz w:val="1"/>
                <w:szCs w:val="1"/>
                <w:color w:val="auto"/>
              </w:rPr>
            </w:pPr>
          </w:p>
        </w:tc>
      </w:tr>
      <w:tr>
        <w:trPr>
          <w:trHeight w:val="181"/>
        </w:trPr>
        <w:tc>
          <w:tcPr>
            <w:tcW w:w="430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46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jc w:val="right"/>
              <w:ind w:right="119"/>
              <w:spacing w:after="0"/>
              <w:rPr>
                <w:sz w:val="20"/>
                <w:szCs w:val="20"/>
                <w:color w:val="auto"/>
              </w:rPr>
            </w:pPr>
            <w:r>
              <w:rPr>
                <w:rFonts w:ascii="Arial" w:cs="Arial" w:eastAsia="Arial" w:hAnsi="Arial"/>
                <w:sz w:val="14"/>
                <w:szCs w:val="14"/>
                <w:color w:val="auto"/>
              </w:rPr>
              <w:t>(PIK 1.00%)</w:t>
            </w:r>
          </w:p>
        </w:tc>
        <w:tc>
          <w:tcPr>
            <w:tcW w:w="84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30"/>
        </w:trPr>
        <w:tc>
          <w:tcPr>
            <w:tcW w:w="4300" w:type="dxa"/>
            <w:vAlign w:val="bottom"/>
          </w:tcPr>
          <w:p>
            <w:pPr>
              <w:spacing w:after="0" w:line="130" w:lineRule="exact"/>
              <w:rPr>
                <w:sz w:val="20"/>
                <w:szCs w:val="20"/>
                <w:color w:val="auto"/>
              </w:rPr>
            </w:pPr>
            <w:r>
              <w:rPr>
                <w:rFonts w:ascii="Arial" w:cs="Arial" w:eastAsia="Arial" w:hAnsi="Arial"/>
                <w:sz w:val="14"/>
                <w:szCs w:val="14"/>
                <w:color w:val="auto"/>
              </w:rPr>
              <w:t>Credit Infonet, Inc.</w:t>
            </w:r>
          </w:p>
        </w:tc>
        <w:tc>
          <w:tcPr>
            <w:tcW w:w="760" w:type="dxa"/>
            <w:vAlign w:val="bottom"/>
          </w:tcPr>
          <w:p>
            <w:pPr>
              <w:jc w:val="center"/>
              <w:spacing w:after="0" w:line="130" w:lineRule="exact"/>
              <w:rPr>
                <w:sz w:val="20"/>
                <w:szCs w:val="20"/>
                <w:color w:val="auto"/>
              </w:rPr>
            </w:pPr>
            <w:r>
              <w:rPr>
                <w:rFonts w:ascii="Arial" w:cs="Arial" w:eastAsia="Arial" w:hAnsi="Arial"/>
                <w:sz w:val="14"/>
                <w:szCs w:val="14"/>
                <w:color w:val="auto"/>
                <w:w w:val="91"/>
              </w:rPr>
              <w:t>10/26/2018</w:t>
            </w:r>
          </w:p>
        </w:tc>
        <w:tc>
          <w:tcPr>
            <w:tcW w:w="1460" w:type="dxa"/>
            <w:vAlign w:val="bottom"/>
          </w:tcPr>
          <w:p>
            <w:pPr>
              <w:jc w:val="center"/>
              <w:spacing w:after="0" w:line="130" w:lineRule="exact"/>
              <w:rPr>
                <w:sz w:val="20"/>
                <w:szCs w:val="20"/>
                <w:color w:val="auto"/>
              </w:rPr>
            </w:pPr>
            <w:r>
              <w:rPr>
                <w:rFonts w:ascii="Arial" w:cs="Arial" w:eastAsia="Arial" w:hAnsi="Arial"/>
                <w:sz w:val="14"/>
                <w:szCs w:val="14"/>
                <w:color w:val="auto"/>
                <w:w w:val="91"/>
              </w:rPr>
              <w:t>Personal, Food and</w:t>
            </w:r>
          </w:p>
        </w:tc>
        <w:tc>
          <w:tcPr>
            <w:tcW w:w="840" w:type="dxa"/>
            <w:vAlign w:val="bottom"/>
          </w:tcPr>
          <w:p>
            <w:pPr>
              <w:jc w:val="right"/>
              <w:spacing w:after="0" w:line="130" w:lineRule="exact"/>
              <w:rPr>
                <w:sz w:val="20"/>
                <w:szCs w:val="20"/>
                <w:color w:val="auto"/>
              </w:rPr>
            </w:pPr>
            <w:r>
              <w:rPr>
                <w:rFonts w:ascii="Arial" w:cs="Arial" w:eastAsia="Arial" w:hAnsi="Arial"/>
                <w:sz w:val="14"/>
                <w:szCs w:val="14"/>
                <w:color w:val="auto"/>
              </w:rPr>
              <w:t>12.25%</w:t>
            </w:r>
          </w:p>
        </w:tc>
        <w:tc>
          <w:tcPr>
            <w:tcW w:w="200" w:type="dxa"/>
            <w:vAlign w:val="bottom"/>
          </w:tcPr>
          <w:p>
            <w:pPr>
              <w:spacing w:after="0"/>
              <w:rPr>
                <w:sz w:val="11"/>
                <w:szCs w:val="11"/>
                <w:color w:val="auto"/>
              </w:rPr>
            </w:pPr>
          </w:p>
        </w:tc>
        <w:tc>
          <w:tcPr>
            <w:tcW w:w="840" w:type="dxa"/>
            <w:vAlign w:val="bottom"/>
          </w:tcPr>
          <w:p>
            <w:pPr>
              <w:ind w:left="540"/>
              <w:spacing w:after="0" w:line="130" w:lineRule="exact"/>
              <w:rPr>
                <w:sz w:val="20"/>
                <w:szCs w:val="20"/>
                <w:color w:val="auto"/>
              </w:rPr>
            </w:pPr>
            <w:r>
              <w:rPr>
                <w:rFonts w:ascii="Arial" w:cs="Arial" w:eastAsia="Arial" w:hAnsi="Arial"/>
                <w:sz w:val="14"/>
                <w:szCs w:val="14"/>
                <w:color w:val="auto"/>
              </w:rPr>
              <w:t>—</w:t>
            </w:r>
          </w:p>
        </w:tc>
        <w:tc>
          <w:tcPr>
            <w:tcW w:w="860" w:type="dxa"/>
            <w:vAlign w:val="bottom"/>
            <w:gridSpan w:val="2"/>
          </w:tcPr>
          <w:p>
            <w:pPr>
              <w:jc w:val="right"/>
              <w:ind w:right="120"/>
              <w:spacing w:after="0" w:line="130" w:lineRule="exact"/>
              <w:rPr>
                <w:sz w:val="20"/>
                <w:szCs w:val="20"/>
                <w:color w:val="auto"/>
              </w:rPr>
            </w:pPr>
            <w:r>
              <w:rPr>
                <w:rFonts w:ascii="Arial" w:cs="Arial" w:eastAsia="Arial" w:hAnsi="Arial"/>
                <w:sz w:val="14"/>
                <w:szCs w:val="14"/>
                <w:color w:val="auto"/>
              </w:rPr>
              <w:t>10,600,000</w:t>
            </w:r>
          </w:p>
        </w:tc>
        <w:tc>
          <w:tcPr>
            <w:tcW w:w="920" w:type="dxa"/>
            <w:vAlign w:val="bottom"/>
            <w:gridSpan w:val="2"/>
          </w:tcPr>
          <w:p>
            <w:pPr>
              <w:jc w:val="right"/>
              <w:spacing w:after="0" w:line="130" w:lineRule="exact"/>
              <w:rPr>
                <w:sz w:val="20"/>
                <w:szCs w:val="20"/>
                <w:color w:val="auto"/>
              </w:rPr>
            </w:pPr>
            <w:r>
              <w:rPr>
                <w:rFonts w:ascii="Arial" w:cs="Arial" w:eastAsia="Arial" w:hAnsi="Arial"/>
                <w:sz w:val="14"/>
                <w:szCs w:val="14"/>
                <w:color w:val="auto"/>
              </w:rPr>
              <w:t>10,399,101</w:t>
            </w:r>
          </w:p>
        </w:tc>
        <w:tc>
          <w:tcPr>
            <w:tcW w:w="1060" w:type="dxa"/>
            <w:vAlign w:val="bottom"/>
            <w:gridSpan w:val="3"/>
          </w:tcPr>
          <w:p>
            <w:pPr>
              <w:jc w:val="right"/>
              <w:ind w:right="80"/>
              <w:spacing w:after="0" w:line="130" w:lineRule="exact"/>
              <w:rPr>
                <w:sz w:val="20"/>
                <w:szCs w:val="20"/>
                <w:color w:val="auto"/>
              </w:rPr>
            </w:pPr>
            <w:r>
              <w:rPr>
                <w:rFonts w:ascii="Arial" w:cs="Arial" w:eastAsia="Arial" w:hAnsi="Arial"/>
                <w:sz w:val="14"/>
                <w:szCs w:val="14"/>
                <w:color w:val="auto"/>
              </w:rPr>
              <w:t>10,653,423</w:t>
            </w:r>
          </w:p>
        </w:tc>
        <w:tc>
          <w:tcPr>
            <w:tcW w:w="0" w:type="dxa"/>
            <w:vAlign w:val="bottom"/>
          </w:tcPr>
          <w:p>
            <w:pPr>
              <w:spacing w:after="0"/>
              <w:rPr>
                <w:sz w:val="1"/>
                <w:szCs w:val="1"/>
                <w:color w:val="auto"/>
              </w:rPr>
            </w:pPr>
          </w:p>
        </w:tc>
      </w:tr>
      <w:tr>
        <w:trPr>
          <w:trHeight w:val="167"/>
        </w:trPr>
        <w:tc>
          <w:tcPr>
            <w:tcW w:w="43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460" w:type="dxa"/>
            <w:vAlign w:val="bottom"/>
          </w:tcPr>
          <w:p>
            <w:pPr>
              <w:jc w:val="center"/>
              <w:spacing w:after="0"/>
              <w:rPr>
                <w:sz w:val="20"/>
                <w:szCs w:val="20"/>
                <w:color w:val="auto"/>
              </w:rPr>
            </w:pPr>
            <w:r>
              <w:rPr>
                <w:rFonts w:ascii="Arial" w:cs="Arial" w:eastAsia="Arial" w:hAnsi="Arial"/>
                <w:sz w:val="14"/>
                <w:szCs w:val="14"/>
                <w:color w:val="auto"/>
                <w:w w:val="92"/>
              </w:rPr>
              <w:t>Miscellaneous Services</w:t>
            </w:r>
          </w:p>
        </w:tc>
        <w:tc>
          <w:tcPr>
            <w:tcW w:w="8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430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Escort, Inc.</w:t>
            </w:r>
          </w:p>
        </w:tc>
        <w:tc>
          <w:tcPr>
            <w:tcW w:w="760" w:type="dxa"/>
            <w:vAlign w:val="bottom"/>
            <w:shd w:val="clear" w:color="auto" w:fill="CCEEFF"/>
          </w:tcPr>
          <w:p>
            <w:pPr>
              <w:jc w:val="center"/>
              <w:spacing w:after="0" w:line="130" w:lineRule="exact"/>
              <w:rPr>
                <w:sz w:val="20"/>
                <w:szCs w:val="20"/>
                <w:color w:val="auto"/>
              </w:rPr>
            </w:pPr>
            <w:r>
              <w:rPr>
                <w:rFonts w:ascii="Arial" w:cs="Arial" w:eastAsia="Arial" w:hAnsi="Arial"/>
                <w:sz w:val="14"/>
                <w:szCs w:val="14"/>
                <w:color w:val="auto"/>
                <w:w w:val="91"/>
              </w:rPr>
              <w:t>06/01/2016</w:t>
            </w:r>
          </w:p>
        </w:tc>
        <w:tc>
          <w:tcPr>
            <w:tcW w:w="1460" w:type="dxa"/>
            <w:vAlign w:val="bottom"/>
            <w:shd w:val="clear" w:color="auto" w:fill="CCEEFF"/>
          </w:tcPr>
          <w:p>
            <w:pPr>
              <w:jc w:val="center"/>
              <w:spacing w:after="0" w:line="130" w:lineRule="exact"/>
              <w:rPr>
                <w:sz w:val="20"/>
                <w:szCs w:val="20"/>
                <w:color w:val="auto"/>
              </w:rPr>
            </w:pPr>
            <w:r>
              <w:rPr>
                <w:rFonts w:ascii="Arial" w:cs="Arial" w:eastAsia="Arial" w:hAnsi="Arial"/>
                <w:sz w:val="14"/>
                <w:szCs w:val="14"/>
                <w:color w:val="auto"/>
                <w:w w:val="93"/>
              </w:rPr>
              <w:t>Electronics</w:t>
            </w:r>
          </w:p>
        </w:tc>
        <w:tc>
          <w:tcPr>
            <w:tcW w:w="840" w:type="dxa"/>
            <w:vAlign w:val="bottom"/>
            <w:shd w:val="clear" w:color="auto" w:fill="CCEEFF"/>
          </w:tcPr>
          <w:p>
            <w:pPr>
              <w:jc w:val="right"/>
              <w:spacing w:after="0" w:line="130" w:lineRule="exact"/>
              <w:rPr>
                <w:sz w:val="20"/>
                <w:szCs w:val="20"/>
                <w:color w:val="auto"/>
              </w:rPr>
            </w:pPr>
            <w:r>
              <w:rPr>
                <w:rFonts w:ascii="Arial" w:cs="Arial" w:eastAsia="Arial" w:hAnsi="Arial"/>
                <w:sz w:val="14"/>
                <w:szCs w:val="14"/>
                <w:color w:val="auto"/>
              </w:rPr>
              <w:t>14.75%</w:t>
            </w:r>
          </w:p>
        </w:tc>
        <w:tc>
          <w:tcPr>
            <w:tcW w:w="200" w:type="dxa"/>
            <w:vAlign w:val="bottom"/>
            <w:shd w:val="clear" w:color="auto" w:fill="CCEEFF"/>
          </w:tcPr>
          <w:p>
            <w:pPr>
              <w:spacing w:after="0"/>
              <w:rPr>
                <w:sz w:val="11"/>
                <w:szCs w:val="11"/>
                <w:color w:val="auto"/>
              </w:rPr>
            </w:pPr>
          </w:p>
        </w:tc>
        <w:tc>
          <w:tcPr>
            <w:tcW w:w="840" w:type="dxa"/>
            <w:vAlign w:val="bottom"/>
            <w:shd w:val="clear" w:color="auto" w:fill="CCEEFF"/>
          </w:tcPr>
          <w:p>
            <w:pPr>
              <w:ind w:left="540"/>
              <w:spacing w:after="0" w:line="130" w:lineRule="exact"/>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jc w:val="right"/>
              <w:ind w:right="120"/>
              <w:spacing w:after="0" w:line="130" w:lineRule="exact"/>
              <w:rPr>
                <w:sz w:val="20"/>
                <w:szCs w:val="20"/>
                <w:color w:val="auto"/>
              </w:rPr>
            </w:pPr>
            <w:r>
              <w:rPr>
                <w:rFonts w:ascii="Arial" w:cs="Arial" w:eastAsia="Arial" w:hAnsi="Arial"/>
                <w:sz w:val="14"/>
                <w:szCs w:val="14"/>
                <w:color w:val="auto"/>
              </w:rPr>
              <w:t>25,965,563</w:t>
            </w:r>
          </w:p>
        </w:tc>
        <w:tc>
          <w:tcPr>
            <w:tcW w:w="920" w:type="dxa"/>
            <w:vAlign w:val="bottom"/>
            <w:gridSpan w:val="2"/>
            <w:shd w:val="clear" w:color="auto" w:fill="CCEEFF"/>
          </w:tcPr>
          <w:p>
            <w:pPr>
              <w:jc w:val="right"/>
              <w:spacing w:after="0" w:line="130" w:lineRule="exact"/>
              <w:rPr>
                <w:sz w:val="20"/>
                <w:szCs w:val="20"/>
                <w:color w:val="auto"/>
              </w:rPr>
            </w:pPr>
            <w:r>
              <w:rPr>
                <w:rFonts w:ascii="Arial" w:cs="Arial" w:eastAsia="Arial" w:hAnsi="Arial"/>
                <w:sz w:val="14"/>
                <w:szCs w:val="14"/>
                <w:color w:val="auto"/>
              </w:rPr>
              <w:t>25,579,621</w:t>
            </w:r>
          </w:p>
        </w:tc>
        <w:tc>
          <w:tcPr>
            <w:tcW w:w="1060" w:type="dxa"/>
            <w:vAlign w:val="bottom"/>
            <w:gridSpan w:val="3"/>
            <w:shd w:val="clear" w:color="auto" w:fill="CCEEFF"/>
          </w:tcPr>
          <w:p>
            <w:pPr>
              <w:jc w:val="right"/>
              <w:ind w:right="80"/>
              <w:spacing w:after="0" w:line="130" w:lineRule="exact"/>
              <w:rPr>
                <w:sz w:val="20"/>
                <w:szCs w:val="20"/>
                <w:color w:val="auto"/>
              </w:rPr>
            </w:pPr>
            <w:r>
              <w:rPr>
                <w:rFonts w:ascii="Arial" w:cs="Arial" w:eastAsia="Arial" w:hAnsi="Arial"/>
                <w:sz w:val="14"/>
                <w:szCs w:val="14"/>
                <w:color w:val="auto"/>
              </w:rPr>
              <w:t>26,484,875</w:t>
            </w:r>
          </w:p>
        </w:tc>
        <w:tc>
          <w:tcPr>
            <w:tcW w:w="0" w:type="dxa"/>
            <w:vAlign w:val="bottom"/>
          </w:tcPr>
          <w:p>
            <w:pPr>
              <w:spacing w:after="0"/>
              <w:rPr>
                <w:sz w:val="1"/>
                <w:szCs w:val="1"/>
                <w:color w:val="auto"/>
              </w:rPr>
            </w:pPr>
          </w:p>
        </w:tc>
      </w:tr>
      <w:tr>
        <w:trPr>
          <w:trHeight w:val="181"/>
        </w:trPr>
        <w:tc>
          <w:tcPr>
            <w:tcW w:w="430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46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jc w:val="right"/>
              <w:ind w:right="119"/>
              <w:spacing w:after="0"/>
              <w:rPr>
                <w:sz w:val="20"/>
                <w:szCs w:val="20"/>
                <w:color w:val="auto"/>
              </w:rPr>
            </w:pPr>
            <w:r>
              <w:rPr>
                <w:rFonts w:ascii="Arial" w:cs="Arial" w:eastAsia="Arial" w:hAnsi="Arial"/>
                <w:sz w:val="14"/>
                <w:szCs w:val="14"/>
                <w:color w:val="auto"/>
              </w:rPr>
              <w:t>(PIK 2.75%)</w:t>
            </w:r>
          </w:p>
        </w:tc>
        <w:tc>
          <w:tcPr>
            <w:tcW w:w="84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30"/>
        </w:trPr>
        <w:tc>
          <w:tcPr>
            <w:tcW w:w="4300" w:type="dxa"/>
            <w:vAlign w:val="bottom"/>
          </w:tcPr>
          <w:p>
            <w:pPr>
              <w:spacing w:after="0" w:line="130" w:lineRule="exact"/>
              <w:rPr>
                <w:sz w:val="20"/>
                <w:szCs w:val="20"/>
                <w:color w:val="auto"/>
              </w:rPr>
            </w:pPr>
            <w:r>
              <w:rPr>
                <w:rFonts w:ascii="Arial" w:cs="Arial" w:eastAsia="Arial" w:hAnsi="Arial"/>
                <w:sz w:val="14"/>
                <w:szCs w:val="14"/>
                <w:color w:val="auto"/>
              </w:rPr>
              <w:t>JF Acquisition, LLC</w:t>
            </w:r>
          </w:p>
        </w:tc>
        <w:tc>
          <w:tcPr>
            <w:tcW w:w="760" w:type="dxa"/>
            <w:vAlign w:val="bottom"/>
          </w:tcPr>
          <w:p>
            <w:pPr>
              <w:jc w:val="center"/>
              <w:spacing w:after="0" w:line="130" w:lineRule="exact"/>
              <w:rPr>
                <w:sz w:val="20"/>
                <w:szCs w:val="20"/>
                <w:color w:val="auto"/>
              </w:rPr>
            </w:pPr>
            <w:r>
              <w:rPr>
                <w:rFonts w:ascii="Arial" w:cs="Arial" w:eastAsia="Arial" w:hAnsi="Arial"/>
                <w:sz w:val="14"/>
                <w:szCs w:val="14"/>
                <w:color w:val="auto"/>
                <w:w w:val="91"/>
              </w:rPr>
              <w:t>06/30/2017</w:t>
            </w:r>
          </w:p>
        </w:tc>
        <w:tc>
          <w:tcPr>
            <w:tcW w:w="1460" w:type="dxa"/>
            <w:vAlign w:val="bottom"/>
          </w:tcPr>
          <w:p>
            <w:pPr>
              <w:jc w:val="center"/>
              <w:spacing w:after="0" w:line="130" w:lineRule="exact"/>
              <w:rPr>
                <w:sz w:val="20"/>
                <w:szCs w:val="20"/>
                <w:color w:val="auto"/>
              </w:rPr>
            </w:pPr>
            <w:r>
              <w:rPr>
                <w:rFonts w:ascii="Arial" w:cs="Arial" w:eastAsia="Arial" w:hAnsi="Arial"/>
                <w:sz w:val="14"/>
                <w:szCs w:val="14"/>
                <w:color w:val="auto"/>
                <w:w w:val="97"/>
              </w:rPr>
              <w:t>Distribution</w:t>
            </w:r>
          </w:p>
        </w:tc>
        <w:tc>
          <w:tcPr>
            <w:tcW w:w="840" w:type="dxa"/>
            <w:vAlign w:val="bottom"/>
          </w:tcPr>
          <w:p>
            <w:pPr>
              <w:jc w:val="right"/>
              <w:spacing w:after="0" w:line="130" w:lineRule="exact"/>
              <w:rPr>
                <w:sz w:val="20"/>
                <w:szCs w:val="20"/>
                <w:color w:val="auto"/>
              </w:rPr>
            </w:pPr>
            <w:r>
              <w:rPr>
                <w:rFonts w:ascii="Arial" w:cs="Arial" w:eastAsia="Arial" w:hAnsi="Arial"/>
                <w:sz w:val="14"/>
                <w:szCs w:val="14"/>
                <w:color w:val="auto"/>
              </w:rPr>
              <w:t>14.00%</w:t>
            </w:r>
          </w:p>
        </w:tc>
        <w:tc>
          <w:tcPr>
            <w:tcW w:w="200" w:type="dxa"/>
            <w:vAlign w:val="bottom"/>
          </w:tcPr>
          <w:p>
            <w:pPr>
              <w:spacing w:after="0"/>
              <w:rPr>
                <w:sz w:val="11"/>
                <w:szCs w:val="11"/>
                <w:color w:val="auto"/>
              </w:rPr>
            </w:pPr>
          </w:p>
        </w:tc>
        <w:tc>
          <w:tcPr>
            <w:tcW w:w="840" w:type="dxa"/>
            <w:vAlign w:val="bottom"/>
          </w:tcPr>
          <w:p>
            <w:pPr>
              <w:ind w:left="540"/>
              <w:spacing w:after="0" w:line="130" w:lineRule="exact"/>
              <w:rPr>
                <w:sz w:val="20"/>
                <w:szCs w:val="20"/>
                <w:color w:val="auto"/>
              </w:rPr>
            </w:pPr>
            <w:r>
              <w:rPr>
                <w:rFonts w:ascii="Arial" w:cs="Arial" w:eastAsia="Arial" w:hAnsi="Arial"/>
                <w:sz w:val="14"/>
                <w:szCs w:val="14"/>
                <w:color w:val="auto"/>
              </w:rPr>
              <w:t>—</w:t>
            </w:r>
          </w:p>
        </w:tc>
        <w:tc>
          <w:tcPr>
            <w:tcW w:w="860" w:type="dxa"/>
            <w:vAlign w:val="bottom"/>
            <w:gridSpan w:val="2"/>
          </w:tcPr>
          <w:p>
            <w:pPr>
              <w:jc w:val="right"/>
              <w:ind w:right="120"/>
              <w:spacing w:after="0" w:line="130" w:lineRule="exact"/>
              <w:rPr>
                <w:sz w:val="20"/>
                <w:szCs w:val="20"/>
                <w:color w:val="auto"/>
              </w:rPr>
            </w:pPr>
            <w:r>
              <w:rPr>
                <w:rFonts w:ascii="Arial" w:cs="Arial" w:eastAsia="Arial" w:hAnsi="Arial"/>
                <w:sz w:val="14"/>
                <w:szCs w:val="14"/>
                <w:color w:val="auto"/>
              </w:rPr>
              <w:t>17,517,386</w:t>
            </w:r>
          </w:p>
        </w:tc>
        <w:tc>
          <w:tcPr>
            <w:tcW w:w="920" w:type="dxa"/>
            <w:vAlign w:val="bottom"/>
            <w:gridSpan w:val="2"/>
          </w:tcPr>
          <w:p>
            <w:pPr>
              <w:jc w:val="right"/>
              <w:spacing w:after="0" w:line="130" w:lineRule="exact"/>
              <w:rPr>
                <w:sz w:val="20"/>
                <w:szCs w:val="20"/>
                <w:color w:val="auto"/>
              </w:rPr>
            </w:pPr>
            <w:r>
              <w:rPr>
                <w:rFonts w:ascii="Arial" w:cs="Arial" w:eastAsia="Arial" w:hAnsi="Arial"/>
                <w:sz w:val="14"/>
                <w:szCs w:val="14"/>
                <w:color w:val="auto"/>
              </w:rPr>
              <w:t>17,160,955</w:t>
            </w:r>
          </w:p>
        </w:tc>
        <w:tc>
          <w:tcPr>
            <w:tcW w:w="1060" w:type="dxa"/>
            <w:vAlign w:val="bottom"/>
            <w:gridSpan w:val="3"/>
          </w:tcPr>
          <w:p>
            <w:pPr>
              <w:jc w:val="right"/>
              <w:ind w:right="80"/>
              <w:spacing w:after="0" w:line="130" w:lineRule="exact"/>
              <w:rPr>
                <w:sz w:val="20"/>
                <w:szCs w:val="20"/>
                <w:color w:val="auto"/>
              </w:rPr>
            </w:pPr>
            <w:r>
              <w:rPr>
                <w:rFonts w:ascii="Arial" w:cs="Arial" w:eastAsia="Arial" w:hAnsi="Arial"/>
                <w:sz w:val="14"/>
                <w:szCs w:val="14"/>
                <w:color w:val="auto"/>
              </w:rPr>
              <w:t>17,517,386</w:t>
            </w:r>
          </w:p>
        </w:tc>
        <w:tc>
          <w:tcPr>
            <w:tcW w:w="0" w:type="dxa"/>
            <w:vAlign w:val="bottom"/>
          </w:tcPr>
          <w:p>
            <w:pPr>
              <w:spacing w:after="0"/>
              <w:rPr>
                <w:sz w:val="1"/>
                <w:szCs w:val="1"/>
                <w:color w:val="auto"/>
              </w:rPr>
            </w:pPr>
          </w:p>
        </w:tc>
      </w:tr>
      <w:tr>
        <w:trPr>
          <w:trHeight w:val="181"/>
        </w:trPr>
        <w:tc>
          <w:tcPr>
            <w:tcW w:w="43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040" w:type="dxa"/>
            <w:vAlign w:val="bottom"/>
            <w:gridSpan w:val="2"/>
          </w:tcPr>
          <w:p>
            <w:pPr>
              <w:jc w:val="right"/>
              <w:ind w:right="119"/>
              <w:spacing w:after="0"/>
              <w:rPr>
                <w:sz w:val="20"/>
                <w:szCs w:val="20"/>
                <w:color w:val="auto"/>
              </w:rPr>
            </w:pPr>
            <w:r>
              <w:rPr>
                <w:rFonts w:ascii="Arial" w:cs="Arial" w:eastAsia="Arial" w:hAnsi="Arial"/>
                <w:sz w:val="14"/>
                <w:szCs w:val="14"/>
                <w:color w:val="auto"/>
              </w:rPr>
              <w:t>(PIK 2.00%)</w:t>
            </w:r>
          </w:p>
        </w:tc>
        <w:tc>
          <w:tcPr>
            <w:tcW w:w="8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0"/>
        </w:trPr>
        <w:tc>
          <w:tcPr>
            <w:tcW w:w="430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Learning Care Group (US) Inc.</w:t>
            </w:r>
          </w:p>
        </w:tc>
        <w:tc>
          <w:tcPr>
            <w:tcW w:w="760" w:type="dxa"/>
            <w:vAlign w:val="bottom"/>
            <w:shd w:val="clear" w:color="auto" w:fill="CCEEFF"/>
          </w:tcPr>
          <w:p>
            <w:pPr>
              <w:jc w:val="center"/>
              <w:spacing w:after="0" w:line="130" w:lineRule="exact"/>
              <w:rPr>
                <w:sz w:val="20"/>
                <w:szCs w:val="20"/>
                <w:color w:val="auto"/>
              </w:rPr>
            </w:pPr>
            <w:r>
              <w:rPr>
                <w:rFonts w:ascii="Arial" w:cs="Arial" w:eastAsia="Arial" w:hAnsi="Arial"/>
                <w:sz w:val="14"/>
                <w:szCs w:val="14"/>
                <w:color w:val="auto"/>
                <w:w w:val="91"/>
              </w:rPr>
              <w:t>05/08/2020</w:t>
            </w:r>
          </w:p>
        </w:tc>
        <w:tc>
          <w:tcPr>
            <w:tcW w:w="1460" w:type="dxa"/>
            <w:vAlign w:val="bottom"/>
            <w:shd w:val="clear" w:color="auto" w:fill="CCEEFF"/>
          </w:tcPr>
          <w:p>
            <w:pPr>
              <w:jc w:val="center"/>
              <w:spacing w:after="0" w:line="130" w:lineRule="exact"/>
              <w:rPr>
                <w:sz w:val="20"/>
                <w:szCs w:val="20"/>
                <w:color w:val="auto"/>
              </w:rPr>
            </w:pPr>
            <w:r>
              <w:rPr>
                <w:rFonts w:ascii="Arial" w:cs="Arial" w:eastAsia="Arial" w:hAnsi="Arial"/>
                <w:sz w:val="14"/>
                <w:szCs w:val="14"/>
                <w:color w:val="auto"/>
                <w:w w:val="96"/>
              </w:rPr>
              <w:t>Education</w:t>
            </w:r>
          </w:p>
        </w:tc>
        <w:tc>
          <w:tcPr>
            <w:tcW w:w="840" w:type="dxa"/>
            <w:vAlign w:val="bottom"/>
            <w:shd w:val="clear" w:color="auto" w:fill="CCEEFF"/>
          </w:tcPr>
          <w:p>
            <w:pPr>
              <w:jc w:val="right"/>
              <w:spacing w:after="0" w:line="130" w:lineRule="exact"/>
              <w:rPr>
                <w:sz w:val="20"/>
                <w:szCs w:val="20"/>
                <w:color w:val="auto"/>
              </w:rPr>
            </w:pPr>
            <w:r>
              <w:rPr>
                <w:rFonts w:ascii="Arial" w:cs="Arial" w:eastAsia="Arial" w:hAnsi="Arial"/>
                <w:sz w:val="14"/>
                <w:szCs w:val="14"/>
                <w:color w:val="auto"/>
              </w:rPr>
              <w:t>15.00%</w:t>
            </w:r>
          </w:p>
        </w:tc>
        <w:tc>
          <w:tcPr>
            <w:tcW w:w="200" w:type="dxa"/>
            <w:vAlign w:val="bottom"/>
            <w:shd w:val="clear" w:color="auto" w:fill="CCEEFF"/>
          </w:tcPr>
          <w:p>
            <w:pPr>
              <w:spacing w:after="0"/>
              <w:rPr>
                <w:sz w:val="11"/>
                <w:szCs w:val="11"/>
                <w:color w:val="auto"/>
              </w:rPr>
            </w:pPr>
          </w:p>
        </w:tc>
        <w:tc>
          <w:tcPr>
            <w:tcW w:w="840" w:type="dxa"/>
            <w:vAlign w:val="bottom"/>
            <w:shd w:val="clear" w:color="auto" w:fill="CCEEFF"/>
          </w:tcPr>
          <w:p>
            <w:pPr>
              <w:ind w:left="540"/>
              <w:spacing w:after="0" w:line="130" w:lineRule="exact"/>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jc w:val="right"/>
              <w:ind w:right="120"/>
              <w:spacing w:after="0" w:line="130" w:lineRule="exact"/>
              <w:rPr>
                <w:sz w:val="20"/>
                <w:szCs w:val="20"/>
                <w:color w:val="auto"/>
              </w:rPr>
            </w:pPr>
            <w:r>
              <w:rPr>
                <w:rFonts w:ascii="Arial" w:cs="Arial" w:eastAsia="Arial" w:hAnsi="Arial"/>
                <w:sz w:val="14"/>
                <w:szCs w:val="14"/>
                <w:color w:val="auto"/>
              </w:rPr>
              <w:t>7,215,989</w:t>
            </w:r>
          </w:p>
        </w:tc>
        <w:tc>
          <w:tcPr>
            <w:tcW w:w="920" w:type="dxa"/>
            <w:vAlign w:val="bottom"/>
            <w:gridSpan w:val="2"/>
            <w:shd w:val="clear" w:color="auto" w:fill="CCEEFF"/>
          </w:tcPr>
          <w:p>
            <w:pPr>
              <w:jc w:val="right"/>
              <w:spacing w:after="0" w:line="130" w:lineRule="exact"/>
              <w:rPr>
                <w:sz w:val="20"/>
                <w:szCs w:val="20"/>
                <w:color w:val="auto"/>
              </w:rPr>
            </w:pPr>
            <w:r>
              <w:rPr>
                <w:rFonts w:ascii="Arial" w:cs="Arial" w:eastAsia="Arial" w:hAnsi="Arial"/>
                <w:sz w:val="14"/>
                <w:szCs w:val="14"/>
                <w:color w:val="auto"/>
              </w:rPr>
              <w:t>6,754,246</w:t>
            </w:r>
          </w:p>
        </w:tc>
        <w:tc>
          <w:tcPr>
            <w:tcW w:w="1060" w:type="dxa"/>
            <w:vAlign w:val="bottom"/>
            <w:gridSpan w:val="3"/>
            <w:shd w:val="clear" w:color="auto" w:fill="CCEEFF"/>
          </w:tcPr>
          <w:p>
            <w:pPr>
              <w:jc w:val="right"/>
              <w:ind w:right="80"/>
              <w:spacing w:after="0" w:line="130" w:lineRule="exact"/>
              <w:rPr>
                <w:sz w:val="20"/>
                <w:szCs w:val="20"/>
                <w:color w:val="auto"/>
              </w:rPr>
            </w:pPr>
            <w:r>
              <w:rPr>
                <w:rFonts w:ascii="Arial" w:cs="Arial" w:eastAsia="Arial" w:hAnsi="Arial"/>
                <w:sz w:val="14"/>
                <w:szCs w:val="14"/>
                <w:color w:val="auto"/>
              </w:rPr>
              <w:t>7,215,989</w:t>
            </w:r>
          </w:p>
        </w:tc>
        <w:tc>
          <w:tcPr>
            <w:tcW w:w="0" w:type="dxa"/>
            <w:vAlign w:val="bottom"/>
          </w:tcPr>
          <w:p>
            <w:pPr>
              <w:spacing w:after="0"/>
              <w:rPr>
                <w:sz w:val="1"/>
                <w:szCs w:val="1"/>
                <w:color w:val="auto"/>
              </w:rPr>
            </w:pPr>
          </w:p>
        </w:tc>
      </w:tr>
      <w:tr>
        <w:trPr>
          <w:trHeight w:val="181"/>
        </w:trPr>
        <w:tc>
          <w:tcPr>
            <w:tcW w:w="430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46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jc w:val="right"/>
              <w:ind w:right="119"/>
              <w:spacing w:after="0"/>
              <w:rPr>
                <w:sz w:val="20"/>
                <w:szCs w:val="20"/>
                <w:color w:val="auto"/>
              </w:rPr>
            </w:pPr>
            <w:r>
              <w:rPr>
                <w:rFonts w:ascii="Arial" w:cs="Arial" w:eastAsia="Arial" w:hAnsi="Arial"/>
                <w:sz w:val="14"/>
                <w:szCs w:val="14"/>
                <w:color w:val="auto"/>
              </w:rPr>
              <w:t>(PIK 15.00%)</w:t>
            </w:r>
          </w:p>
        </w:tc>
        <w:tc>
          <w:tcPr>
            <w:tcW w:w="84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30"/>
        </w:trPr>
        <w:tc>
          <w:tcPr>
            <w:tcW w:w="4300" w:type="dxa"/>
            <w:vAlign w:val="bottom"/>
          </w:tcPr>
          <w:p>
            <w:pPr>
              <w:spacing w:after="0" w:line="130" w:lineRule="exact"/>
              <w:rPr>
                <w:sz w:val="20"/>
                <w:szCs w:val="20"/>
                <w:color w:val="auto"/>
              </w:rPr>
            </w:pPr>
            <w:r>
              <w:rPr>
                <w:rFonts w:ascii="Arial" w:cs="Arial" w:eastAsia="Arial" w:hAnsi="Arial"/>
                <w:sz w:val="14"/>
                <w:szCs w:val="14"/>
                <w:color w:val="auto"/>
              </w:rPr>
              <w:t>LTI Flexible Products, Inc.</w:t>
            </w:r>
          </w:p>
        </w:tc>
        <w:tc>
          <w:tcPr>
            <w:tcW w:w="760" w:type="dxa"/>
            <w:vAlign w:val="bottom"/>
          </w:tcPr>
          <w:p>
            <w:pPr>
              <w:jc w:val="center"/>
              <w:spacing w:after="0" w:line="130" w:lineRule="exact"/>
              <w:rPr>
                <w:sz w:val="20"/>
                <w:szCs w:val="20"/>
                <w:color w:val="auto"/>
              </w:rPr>
            </w:pPr>
            <w:r>
              <w:rPr>
                <w:rFonts w:ascii="Arial" w:cs="Arial" w:eastAsia="Arial" w:hAnsi="Arial"/>
                <w:sz w:val="14"/>
                <w:szCs w:val="14"/>
                <w:color w:val="auto"/>
                <w:w w:val="91"/>
              </w:rPr>
              <w:t>01/19/2019</w:t>
            </w:r>
          </w:p>
        </w:tc>
        <w:tc>
          <w:tcPr>
            <w:tcW w:w="1460" w:type="dxa"/>
            <w:vAlign w:val="bottom"/>
          </w:tcPr>
          <w:p>
            <w:pPr>
              <w:jc w:val="center"/>
              <w:spacing w:after="0" w:line="130" w:lineRule="exact"/>
              <w:rPr>
                <w:sz w:val="20"/>
                <w:szCs w:val="20"/>
                <w:color w:val="auto"/>
              </w:rPr>
            </w:pPr>
            <w:r>
              <w:rPr>
                <w:rFonts w:ascii="Arial" w:cs="Arial" w:eastAsia="Arial" w:hAnsi="Arial"/>
                <w:sz w:val="14"/>
                <w:szCs w:val="14"/>
                <w:color w:val="auto"/>
                <w:w w:val="92"/>
              </w:rPr>
              <w:t>Chemicals, Plastics</w:t>
            </w:r>
          </w:p>
        </w:tc>
        <w:tc>
          <w:tcPr>
            <w:tcW w:w="840" w:type="dxa"/>
            <w:vAlign w:val="bottom"/>
          </w:tcPr>
          <w:p>
            <w:pPr>
              <w:jc w:val="right"/>
              <w:spacing w:after="0" w:line="130" w:lineRule="exact"/>
              <w:rPr>
                <w:sz w:val="20"/>
                <w:szCs w:val="20"/>
                <w:color w:val="auto"/>
              </w:rPr>
            </w:pPr>
            <w:r>
              <w:rPr>
                <w:rFonts w:ascii="Arial" w:cs="Arial" w:eastAsia="Arial" w:hAnsi="Arial"/>
                <w:sz w:val="14"/>
                <w:szCs w:val="14"/>
                <w:color w:val="auto"/>
              </w:rPr>
              <w:t>12.50%</w:t>
            </w:r>
          </w:p>
        </w:tc>
        <w:tc>
          <w:tcPr>
            <w:tcW w:w="200" w:type="dxa"/>
            <w:vAlign w:val="bottom"/>
          </w:tcPr>
          <w:p>
            <w:pPr>
              <w:spacing w:after="0"/>
              <w:rPr>
                <w:sz w:val="11"/>
                <w:szCs w:val="11"/>
                <w:color w:val="auto"/>
              </w:rPr>
            </w:pPr>
          </w:p>
        </w:tc>
        <w:tc>
          <w:tcPr>
            <w:tcW w:w="840" w:type="dxa"/>
            <w:vAlign w:val="bottom"/>
          </w:tcPr>
          <w:p>
            <w:pPr>
              <w:ind w:left="540"/>
              <w:spacing w:after="0" w:line="130" w:lineRule="exact"/>
              <w:rPr>
                <w:sz w:val="20"/>
                <w:szCs w:val="20"/>
                <w:color w:val="auto"/>
              </w:rPr>
            </w:pPr>
            <w:r>
              <w:rPr>
                <w:rFonts w:ascii="Arial" w:cs="Arial" w:eastAsia="Arial" w:hAnsi="Arial"/>
                <w:sz w:val="14"/>
                <w:szCs w:val="14"/>
                <w:color w:val="auto"/>
              </w:rPr>
              <w:t>—</w:t>
            </w:r>
          </w:p>
        </w:tc>
        <w:tc>
          <w:tcPr>
            <w:tcW w:w="860" w:type="dxa"/>
            <w:vAlign w:val="bottom"/>
            <w:gridSpan w:val="2"/>
          </w:tcPr>
          <w:p>
            <w:pPr>
              <w:jc w:val="right"/>
              <w:ind w:right="120"/>
              <w:spacing w:after="0" w:line="130" w:lineRule="exact"/>
              <w:rPr>
                <w:sz w:val="20"/>
                <w:szCs w:val="20"/>
                <w:color w:val="auto"/>
              </w:rPr>
            </w:pPr>
            <w:r>
              <w:rPr>
                <w:rFonts w:ascii="Arial" w:cs="Arial" w:eastAsia="Arial" w:hAnsi="Arial"/>
                <w:sz w:val="14"/>
                <w:szCs w:val="14"/>
                <w:color w:val="auto"/>
              </w:rPr>
              <w:t>30,000,000</w:t>
            </w:r>
          </w:p>
        </w:tc>
        <w:tc>
          <w:tcPr>
            <w:tcW w:w="920" w:type="dxa"/>
            <w:vAlign w:val="bottom"/>
            <w:gridSpan w:val="2"/>
          </w:tcPr>
          <w:p>
            <w:pPr>
              <w:jc w:val="right"/>
              <w:spacing w:after="0" w:line="130" w:lineRule="exact"/>
              <w:rPr>
                <w:sz w:val="20"/>
                <w:szCs w:val="20"/>
                <w:color w:val="auto"/>
              </w:rPr>
            </w:pPr>
            <w:r>
              <w:rPr>
                <w:rFonts w:ascii="Arial" w:cs="Arial" w:eastAsia="Arial" w:hAnsi="Arial"/>
                <w:sz w:val="14"/>
                <w:szCs w:val="14"/>
                <w:color w:val="auto"/>
              </w:rPr>
              <w:t>30,000,000</w:t>
            </w:r>
          </w:p>
        </w:tc>
        <w:tc>
          <w:tcPr>
            <w:tcW w:w="1060" w:type="dxa"/>
            <w:vAlign w:val="bottom"/>
            <w:gridSpan w:val="3"/>
          </w:tcPr>
          <w:p>
            <w:pPr>
              <w:jc w:val="right"/>
              <w:ind w:right="80"/>
              <w:spacing w:after="0" w:line="130" w:lineRule="exact"/>
              <w:rPr>
                <w:sz w:val="20"/>
                <w:szCs w:val="20"/>
                <w:color w:val="auto"/>
              </w:rPr>
            </w:pPr>
            <w:r>
              <w:rPr>
                <w:rFonts w:ascii="Arial" w:cs="Arial" w:eastAsia="Arial" w:hAnsi="Arial"/>
                <w:sz w:val="14"/>
                <w:szCs w:val="14"/>
                <w:color w:val="auto"/>
              </w:rPr>
              <w:t>30,525,000</w:t>
            </w:r>
          </w:p>
        </w:tc>
        <w:tc>
          <w:tcPr>
            <w:tcW w:w="0" w:type="dxa"/>
            <w:vAlign w:val="bottom"/>
          </w:tcPr>
          <w:p>
            <w:pPr>
              <w:spacing w:after="0"/>
              <w:rPr>
                <w:sz w:val="1"/>
                <w:szCs w:val="1"/>
                <w:color w:val="auto"/>
              </w:rPr>
            </w:pPr>
          </w:p>
        </w:tc>
      </w:tr>
      <w:tr>
        <w:trPr>
          <w:trHeight w:val="181"/>
        </w:trPr>
        <w:tc>
          <w:tcPr>
            <w:tcW w:w="43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460" w:type="dxa"/>
            <w:vAlign w:val="bottom"/>
          </w:tcPr>
          <w:p>
            <w:pPr>
              <w:jc w:val="center"/>
              <w:spacing w:after="0"/>
              <w:rPr>
                <w:sz w:val="20"/>
                <w:szCs w:val="20"/>
                <w:color w:val="auto"/>
              </w:rPr>
            </w:pPr>
            <w:r>
              <w:rPr>
                <w:rFonts w:ascii="Arial" w:cs="Arial" w:eastAsia="Arial" w:hAnsi="Arial"/>
                <w:sz w:val="14"/>
                <w:szCs w:val="14"/>
                <w:color w:val="auto"/>
                <w:w w:val="92"/>
              </w:rPr>
              <w:t>and Rubber</w:t>
            </w:r>
          </w:p>
        </w:tc>
        <w:tc>
          <w:tcPr>
            <w:tcW w:w="8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0"/>
        </w:trPr>
        <w:tc>
          <w:tcPr>
            <w:tcW w:w="430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LTI Flexible Products, Inc.</w:t>
            </w:r>
            <w:r>
              <w:rPr>
                <w:rFonts w:ascii="Arial" w:cs="Arial" w:eastAsia="Arial" w:hAnsi="Arial"/>
                <w:sz w:val="12"/>
                <w:szCs w:val="12"/>
                <w:color w:val="auto"/>
              </w:rPr>
              <w:t>(9)</w:t>
            </w:r>
          </w:p>
        </w:tc>
        <w:tc>
          <w:tcPr>
            <w:tcW w:w="760" w:type="dxa"/>
            <w:vAlign w:val="bottom"/>
            <w:shd w:val="clear" w:color="auto" w:fill="CCEEFF"/>
          </w:tcPr>
          <w:p>
            <w:pPr>
              <w:jc w:val="center"/>
              <w:spacing w:after="0" w:line="130" w:lineRule="exact"/>
              <w:rPr>
                <w:sz w:val="20"/>
                <w:szCs w:val="20"/>
                <w:color w:val="auto"/>
              </w:rPr>
            </w:pPr>
            <w:r>
              <w:rPr>
                <w:rFonts w:ascii="Arial" w:cs="Arial" w:eastAsia="Arial" w:hAnsi="Arial"/>
                <w:sz w:val="14"/>
                <w:szCs w:val="14"/>
                <w:color w:val="auto"/>
                <w:w w:val="91"/>
              </w:rPr>
              <w:t>01/11/2014</w:t>
            </w:r>
          </w:p>
        </w:tc>
        <w:tc>
          <w:tcPr>
            <w:tcW w:w="1460" w:type="dxa"/>
            <w:vAlign w:val="bottom"/>
            <w:shd w:val="clear" w:color="auto" w:fill="CCEEFF"/>
          </w:tcPr>
          <w:p>
            <w:pPr>
              <w:jc w:val="center"/>
              <w:spacing w:after="0" w:line="130" w:lineRule="exact"/>
              <w:rPr>
                <w:sz w:val="20"/>
                <w:szCs w:val="20"/>
                <w:color w:val="auto"/>
              </w:rPr>
            </w:pPr>
            <w:r>
              <w:rPr>
                <w:rFonts w:ascii="Arial" w:cs="Arial" w:eastAsia="Arial" w:hAnsi="Arial"/>
                <w:sz w:val="14"/>
                <w:szCs w:val="14"/>
                <w:color w:val="auto"/>
                <w:w w:val="92"/>
              </w:rPr>
              <w:t>Chemicals, Plastics</w:t>
            </w:r>
          </w:p>
        </w:tc>
        <w:tc>
          <w:tcPr>
            <w:tcW w:w="840" w:type="dxa"/>
            <w:vAlign w:val="bottom"/>
            <w:shd w:val="clear" w:color="auto" w:fill="CCEEFF"/>
          </w:tcPr>
          <w:p>
            <w:pPr>
              <w:jc w:val="right"/>
              <w:ind w:right="148"/>
              <w:spacing w:after="0" w:line="130"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1"/>
                <w:szCs w:val="11"/>
                <w:color w:val="auto"/>
              </w:rPr>
            </w:pPr>
          </w:p>
        </w:tc>
        <w:tc>
          <w:tcPr>
            <w:tcW w:w="840" w:type="dxa"/>
            <w:vAlign w:val="bottom"/>
            <w:shd w:val="clear" w:color="auto" w:fill="CCEEFF"/>
          </w:tcPr>
          <w:p>
            <w:pPr>
              <w:ind w:left="540"/>
              <w:spacing w:after="0" w:line="130" w:lineRule="exact"/>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jc w:val="right"/>
              <w:ind w:right="120"/>
              <w:spacing w:after="0" w:line="130" w:lineRule="exact"/>
              <w:rPr>
                <w:sz w:val="20"/>
                <w:szCs w:val="20"/>
                <w:color w:val="auto"/>
              </w:rPr>
            </w:pPr>
            <w:r>
              <w:rPr>
                <w:rFonts w:ascii="Arial" w:cs="Arial" w:eastAsia="Arial" w:hAnsi="Arial"/>
                <w:sz w:val="14"/>
                <w:szCs w:val="14"/>
                <w:color w:val="auto"/>
              </w:rPr>
              <w:t>5,000,000</w:t>
            </w:r>
          </w:p>
        </w:tc>
        <w:tc>
          <w:tcPr>
            <w:tcW w:w="920" w:type="dxa"/>
            <w:vAlign w:val="bottom"/>
            <w:gridSpan w:val="2"/>
            <w:shd w:val="clear" w:color="auto" w:fill="CCEEFF"/>
          </w:tcPr>
          <w:p>
            <w:pPr>
              <w:jc w:val="right"/>
              <w:spacing w:after="0" w:line="130" w:lineRule="exact"/>
              <w:rPr>
                <w:sz w:val="20"/>
                <w:szCs w:val="20"/>
                <w:color w:val="auto"/>
              </w:rPr>
            </w:pPr>
            <w:r>
              <w:rPr>
                <w:rFonts w:ascii="Arial" w:cs="Arial" w:eastAsia="Arial" w:hAnsi="Arial"/>
                <w:sz w:val="14"/>
                <w:szCs w:val="14"/>
                <w:color w:val="auto"/>
              </w:rPr>
              <w:t>4,825,000</w:t>
            </w:r>
          </w:p>
        </w:tc>
        <w:tc>
          <w:tcPr>
            <w:tcW w:w="1060" w:type="dxa"/>
            <w:vAlign w:val="bottom"/>
            <w:gridSpan w:val="3"/>
            <w:shd w:val="clear" w:color="auto" w:fill="CCEEFF"/>
          </w:tcPr>
          <w:p>
            <w:pPr>
              <w:jc w:val="right"/>
              <w:ind w:right="80"/>
              <w:spacing w:after="0" w:line="130" w:lineRule="exact"/>
              <w:rPr>
                <w:sz w:val="20"/>
                <w:szCs w:val="20"/>
                <w:color w:val="auto"/>
              </w:rPr>
            </w:pPr>
            <w:r>
              <w:rPr>
                <w:rFonts w:ascii="Arial" w:cs="Arial" w:eastAsia="Arial" w:hAnsi="Arial"/>
                <w:sz w:val="14"/>
                <w:szCs w:val="14"/>
                <w:color w:val="auto"/>
              </w:rPr>
              <w:t>5,087,500</w:t>
            </w:r>
          </w:p>
        </w:tc>
        <w:tc>
          <w:tcPr>
            <w:tcW w:w="0" w:type="dxa"/>
            <w:vAlign w:val="bottom"/>
          </w:tcPr>
          <w:p>
            <w:pPr>
              <w:spacing w:after="0"/>
              <w:rPr>
                <w:sz w:val="1"/>
                <w:szCs w:val="1"/>
                <w:color w:val="auto"/>
              </w:rPr>
            </w:pPr>
          </w:p>
        </w:tc>
      </w:tr>
      <w:tr>
        <w:trPr>
          <w:trHeight w:val="167"/>
        </w:trPr>
        <w:tc>
          <w:tcPr>
            <w:tcW w:w="430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4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2"/>
              </w:rPr>
              <w:t>and Rubber</w:t>
            </w:r>
          </w:p>
        </w:tc>
        <w:tc>
          <w:tcPr>
            <w:tcW w:w="8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4300" w:type="dxa"/>
            <w:vAlign w:val="bottom"/>
          </w:tcPr>
          <w:p>
            <w:pPr>
              <w:spacing w:after="0" w:line="130" w:lineRule="exact"/>
              <w:rPr>
                <w:sz w:val="20"/>
                <w:szCs w:val="20"/>
                <w:color w:val="auto"/>
              </w:rPr>
            </w:pPr>
            <w:r>
              <w:rPr>
                <w:rFonts w:ascii="Arial" w:cs="Arial" w:eastAsia="Arial" w:hAnsi="Arial"/>
                <w:sz w:val="14"/>
                <w:szCs w:val="14"/>
                <w:color w:val="auto"/>
              </w:rPr>
              <w:t>MSPark, Inc.</w:t>
            </w:r>
          </w:p>
        </w:tc>
        <w:tc>
          <w:tcPr>
            <w:tcW w:w="760" w:type="dxa"/>
            <w:vAlign w:val="bottom"/>
          </w:tcPr>
          <w:p>
            <w:pPr>
              <w:jc w:val="center"/>
              <w:spacing w:after="0" w:line="130" w:lineRule="exact"/>
              <w:rPr>
                <w:sz w:val="20"/>
                <w:szCs w:val="20"/>
                <w:color w:val="auto"/>
              </w:rPr>
            </w:pPr>
            <w:r>
              <w:rPr>
                <w:rFonts w:ascii="Arial" w:cs="Arial" w:eastAsia="Arial" w:hAnsi="Arial"/>
                <w:sz w:val="14"/>
                <w:szCs w:val="14"/>
                <w:color w:val="auto"/>
                <w:w w:val="91"/>
              </w:rPr>
              <w:t>06/15/2017</w:t>
            </w:r>
          </w:p>
        </w:tc>
        <w:tc>
          <w:tcPr>
            <w:tcW w:w="1460" w:type="dxa"/>
            <w:vAlign w:val="bottom"/>
          </w:tcPr>
          <w:p>
            <w:pPr>
              <w:jc w:val="center"/>
              <w:spacing w:after="0" w:line="130" w:lineRule="exact"/>
              <w:rPr>
                <w:sz w:val="20"/>
                <w:szCs w:val="20"/>
                <w:color w:val="auto"/>
              </w:rPr>
            </w:pPr>
            <w:r>
              <w:rPr>
                <w:rFonts w:ascii="Arial" w:cs="Arial" w:eastAsia="Arial" w:hAnsi="Arial"/>
                <w:sz w:val="14"/>
                <w:szCs w:val="14"/>
                <w:color w:val="auto"/>
                <w:w w:val="96"/>
              </w:rPr>
              <w:t>Printing and</w:t>
            </w:r>
          </w:p>
        </w:tc>
        <w:tc>
          <w:tcPr>
            <w:tcW w:w="840" w:type="dxa"/>
            <w:vAlign w:val="bottom"/>
          </w:tcPr>
          <w:p>
            <w:pPr>
              <w:jc w:val="right"/>
              <w:spacing w:after="0" w:line="130" w:lineRule="exact"/>
              <w:rPr>
                <w:sz w:val="20"/>
                <w:szCs w:val="20"/>
                <w:color w:val="auto"/>
              </w:rPr>
            </w:pPr>
            <w:r>
              <w:rPr>
                <w:rFonts w:ascii="Arial" w:cs="Arial" w:eastAsia="Arial" w:hAnsi="Arial"/>
                <w:sz w:val="14"/>
                <w:szCs w:val="14"/>
                <w:color w:val="auto"/>
              </w:rPr>
              <w:t>14.50%</w:t>
            </w:r>
          </w:p>
        </w:tc>
        <w:tc>
          <w:tcPr>
            <w:tcW w:w="200" w:type="dxa"/>
            <w:vAlign w:val="bottom"/>
          </w:tcPr>
          <w:p>
            <w:pPr>
              <w:jc w:val="right"/>
              <w:spacing w:after="0" w:line="130" w:lineRule="exact"/>
              <w:rPr>
                <w:sz w:val="20"/>
                <w:szCs w:val="20"/>
                <w:color w:val="auto"/>
              </w:rPr>
            </w:pPr>
            <w:r>
              <w:rPr>
                <w:rFonts w:ascii="Arial" w:cs="Arial" w:eastAsia="Arial" w:hAnsi="Arial"/>
                <w:sz w:val="12"/>
                <w:szCs w:val="12"/>
                <w:color w:val="auto"/>
                <w:w w:val="81"/>
              </w:rPr>
              <w:t>(7)</w:t>
            </w:r>
          </w:p>
        </w:tc>
        <w:tc>
          <w:tcPr>
            <w:tcW w:w="840" w:type="dxa"/>
            <w:vAlign w:val="bottom"/>
          </w:tcPr>
          <w:p>
            <w:pPr>
              <w:ind w:left="540"/>
              <w:spacing w:after="0" w:line="130" w:lineRule="exact"/>
              <w:rPr>
                <w:sz w:val="20"/>
                <w:szCs w:val="20"/>
                <w:color w:val="auto"/>
              </w:rPr>
            </w:pPr>
            <w:r>
              <w:rPr>
                <w:rFonts w:ascii="Arial" w:cs="Arial" w:eastAsia="Arial" w:hAnsi="Arial"/>
                <w:sz w:val="14"/>
                <w:szCs w:val="14"/>
                <w:color w:val="auto"/>
              </w:rPr>
              <w:t>—</w:t>
            </w:r>
          </w:p>
        </w:tc>
        <w:tc>
          <w:tcPr>
            <w:tcW w:w="860" w:type="dxa"/>
            <w:vAlign w:val="bottom"/>
            <w:gridSpan w:val="2"/>
          </w:tcPr>
          <w:p>
            <w:pPr>
              <w:jc w:val="right"/>
              <w:ind w:right="120"/>
              <w:spacing w:after="0" w:line="130" w:lineRule="exact"/>
              <w:rPr>
                <w:sz w:val="20"/>
                <w:szCs w:val="20"/>
                <w:color w:val="auto"/>
              </w:rPr>
            </w:pPr>
            <w:r>
              <w:rPr>
                <w:rFonts w:ascii="Arial" w:cs="Arial" w:eastAsia="Arial" w:hAnsi="Arial"/>
                <w:sz w:val="14"/>
                <w:szCs w:val="14"/>
                <w:color w:val="auto"/>
              </w:rPr>
              <w:t>15,000,000</w:t>
            </w:r>
          </w:p>
        </w:tc>
        <w:tc>
          <w:tcPr>
            <w:tcW w:w="920" w:type="dxa"/>
            <w:vAlign w:val="bottom"/>
            <w:gridSpan w:val="2"/>
          </w:tcPr>
          <w:p>
            <w:pPr>
              <w:jc w:val="right"/>
              <w:spacing w:after="0" w:line="130" w:lineRule="exact"/>
              <w:rPr>
                <w:sz w:val="20"/>
                <w:szCs w:val="20"/>
                <w:color w:val="auto"/>
              </w:rPr>
            </w:pPr>
            <w:r>
              <w:rPr>
                <w:rFonts w:ascii="Arial" w:cs="Arial" w:eastAsia="Arial" w:hAnsi="Arial"/>
                <w:sz w:val="14"/>
                <w:szCs w:val="14"/>
                <w:color w:val="auto"/>
              </w:rPr>
              <w:t>14,691,342</w:t>
            </w:r>
          </w:p>
        </w:tc>
        <w:tc>
          <w:tcPr>
            <w:tcW w:w="1060" w:type="dxa"/>
            <w:vAlign w:val="bottom"/>
            <w:gridSpan w:val="3"/>
          </w:tcPr>
          <w:p>
            <w:pPr>
              <w:jc w:val="right"/>
              <w:ind w:right="80"/>
              <w:spacing w:after="0" w:line="130" w:lineRule="exact"/>
              <w:rPr>
                <w:sz w:val="20"/>
                <w:szCs w:val="20"/>
                <w:color w:val="auto"/>
              </w:rPr>
            </w:pPr>
            <w:r>
              <w:rPr>
                <w:rFonts w:ascii="Arial" w:cs="Arial" w:eastAsia="Arial" w:hAnsi="Arial"/>
                <w:sz w:val="14"/>
                <w:szCs w:val="14"/>
                <w:color w:val="auto"/>
              </w:rPr>
              <w:t>14,700,000</w:t>
            </w:r>
          </w:p>
        </w:tc>
        <w:tc>
          <w:tcPr>
            <w:tcW w:w="0" w:type="dxa"/>
            <w:vAlign w:val="bottom"/>
          </w:tcPr>
          <w:p>
            <w:pPr>
              <w:spacing w:after="0"/>
              <w:rPr>
                <w:sz w:val="1"/>
                <w:szCs w:val="1"/>
                <w:color w:val="auto"/>
              </w:rPr>
            </w:pPr>
          </w:p>
        </w:tc>
      </w:tr>
      <w:tr>
        <w:trPr>
          <w:trHeight w:val="167"/>
        </w:trPr>
        <w:tc>
          <w:tcPr>
            <w:tcW w:w="43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460" w:type="dxa"/>
            <w:vAlign w:val="bottom"/>
          </w:tcPr>
          <w:p>
            <w:pPr>
              <w:jc w:val="center"/>
              <w:spacing w:after="0"/>
              <w:rPr>
                <w:sz w:val="20"/>
                <w:szCs w:val="20"/>
                <w:color w:val="auto"/>
              </w:rPr>
            </w:pPr>
            <w:r>
              <w:rPr>
                <w:rFonts w:ascii="Arial" w:cs="Arial" w:eastAsia="Arial" w:hAnsi="Arial"/>
                <w:sz w:val="14"/>
                <w:szCs w:val="14"/>
                <w:color w:val="auto"/>
                <w:w w:val="92"/>
              </w:rPr>
              <w:t>Publishing</w:t>
            </w:r>
          </w:p>
        </w:tc>
        <w:tc>
          <w:tcPr>
            <w:tcW w:w="8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430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Varel International Energy Mezzanine Funding Corp.</w:t>
            </w:r>
          </w:p>
        </w:tc>
        <w:tc>
          <w:tcPr>
            <w:tcW w:w="760" w:type="dxa"/>
            <w:vAlign w:val="bottom"/>
            <w:shd w:val="clear" w:color="auto" w:fill="CCEEFF"/>
          </w:tcPr>
          <w:p>
            <w:pPr>
              <w:jc w:val="center"/>
              <w:spacing w:after="0" w:line="130" w:lineRule="exact"/>
              <w:rPr>
                <w:sz w:val="20"/>
                <w:szCs w:val="20"/>
                <w:color w:val="auto"/>
              </w:rPr>
            </w:pPr>
            <w:r>
              <w:rPr>
                <w:rFonts w:ascii="Arial" w:cs="Arial" w:eastAsia="Arial" w:hAnsi="Arial"/>
                <w:sz w:val="14"/>
                <w:szCs w:val="14"/>
                <w:color w:val="auto"/>
                <w:w w:val="91"/>
              </w:rPr>
              <w:t>01/15/2018</w:t>
            </w:r>
          </w:p>
        </w:tc>
        <w:tc>
          <w:tcPr>
            <w:tcW w:w="1460" w:type="dxa"/>
            <w:vAlign w:val="bottom"/>
            <w:shd w:val="clear" w:color="auto" w:fill="CCEEFF"/>
          </w:tcPr>
          <w:p>
            <w:pPr>
              <w:jc w:val="center"/>
              <w:spacing w:after="0" w:line="130" w:lineRule="exact"/>
              <w:rPr>
                <w:sz w:val="20"/>
                <w:szCs w:val="20"/>
                <w:color w:val="auto"/>
              </w:rPr>
            </w:pPr>
            <w:r>
              <w:rPr>
                <w:rFonts w:ascii="Arial" w:cs="Arial" w:eastAsia="Arial" w:hAnsi="Arial"/>
                <w:sz w:val="14"/>
                <w:szCs w:val="14"/>
                <w:color w:val="auto"/>
                <w:w w:val="91"/>
              </w:rPr>
              <w:t>Oil and Gas</w:t>
            </w:r>
          </w:p>
        </w:tc>
        <w:tc>
          <w:tcPr>
            <w:tcW w:w="840" w:type="dxa"/>
            <w:vAlign w:val="bottom"/>
            <w:shd w:val="clear" w:color="auto" w:fill="CCEEFF"/>
          </w:tcPr>
          <w:p>
            <w:pPr>
              <w:jc w:val="right"/>
              <w:spacing w:after="0" w:line="130" w:lineRule="exact"/>
              <w:rPr>
                <w:sz w:val="20"/>
                <w:szCs w:val="20"/>
                <w:color w:val="auto"/>
              </w:rPr>
            </w:pPr>
            <w:r>
              <w:rPr>
                <w:rFonts w:ascii="Arial" w:cs="Arial" w:eastAsia="Arial" w:hAnsi="Arial"/>
                <w:sz w:val="14"/>
                <w:szCs w:val="14"/>
                <w:color w:val="auto"/>
              </w:rPr>
              <w:t>14.00%</w:t>
            </w:r>
          </w:p>
        </w:tc>
        <w:tc>
          <w:tcPr>
            <w:tcW w:w="200" w:type="dxa"/>
            <w:vAlign w:val="bottom"/>
            <w:shd w:val="clear" w:color="auto" w:fill="CCEEFF"/>
          </w:tcPr>
          <w:p>
            <w:pPr>
              <w:spacing w:after="0"/>
              <w:rPr>
                <w:sz w:val="11"/>
                <w:szCs w:val="11"/>
                <w:color w:val="auto"/>
              </w:rPr>
            </w:pPr>
          </w:p>
        </w:tc>
        <w:tc>
          <w:tcPr>
            <w:tcW w:w="840" w:type="dxa"/>
            <w:vAlign w:val="bottom"/>
            <w:shd w:val="clear" w:color="auto" w:fill="CCEEFF"/>
          </w:tcPr>
          <w:p>
            <w:pPr>
              <w:ind w:left="540"/>
              <w:spacing w:after="0" w:line="130" w:lineRule="exact"/>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jc w:val="right"/>
              <w:ind w:right="120"/>
              <w:spacing w:after="0" w:line="130" w:lineRule="exact"/>
              <w:rPr>
                <w:sz w:val="20"/>
                <w:szCs w:val="20"/>
                <w:color w:val="auto"/>
              </w:rPr>
            </w:pPr>
            <w:r>
              <w:rPr>
                <w:rFonts w:ascii="Arial" w:cs="Arial" w:eastAsia="Arial" w:hAnsi="Arial"/>
                <w:sz w:val="14"/>
                <w:szCs w:val="14"/>
                <w:color w:val="auto"/>
              </w:rPr>
              <w:t>37,070,637</w:t>
            </w:r>
          </w:p>
        </w:tc>
        <w:tc>
          <w:tcPr>
            <w:tcW w:w="920" w:type="dxa"/>
            <w:vAlign w:val="bottom"/>
            <w:gridSpan w:val="2"/>
            <w:shd w:val="clear" w:color="auto" w:fill="CCEEFF"/>
          </w:tcPr>
          <w:p>
            <w:pPr>
              <w:jc w:val="right"/>
              <w:spacing w:after="0" w:line="130" w:lineRule="exact"/>
              <w:rPr>
                <w:sz w:val="20"/>
                <w:szCs w:val="20"/>
                <w:color w:val="auto"/>
              </w:rPr>
            </w:pPr>
            <w:r>
              <w:rPr>
                <w:rFonts w:ascii="Arial" w:cs="Arial" w:eastAsia="Arial" w:hAnsi="Arial"/>
                <w:sz w:val="14"/>
                <w:szCs w:val="14"/>
                <w:color w:val="auto"/>
              </w:rPr>
              <w:t>36,441,726</w:t>
            </w:r>
          </w:p>
        </w:tc>
        <w:tc>
          <w:tcPr>
            <w:tcW w:w="1060" w:type="dxa"/>
            <w:vAlign w:val="bottom"/>
            <w:gridSpan w:val="3"/>
            <w:shd w:val="clear" w:color="auto" w:fill="CCEEFF"/>
          </w:tcPr>
          <w:p>
            <w:pPr>
              <w:jc w:val="right"/>
              <w:ind w:right="80"/>
              <w:spacing w:after="0" w:line="130" w:lineRule="exact"/>
              <w:rPr>
                <w:sz w:val="20"/>
                <w:szCs w:val="20"/>
                <w:color w:val="auto"/>
              </w:rPr>
            </w:pPr>
            <w:r>
              <w:rPr>
                <w:rFonts w:ascii="Arial" w:cs="Arial" w:eastAsia="Arial" w:hAnsi="Arial"/>
                <w:sz w:val="14"/>
                <w:szCs w:val="14"/>
                <w:color w:val="auto"/>
              </w:rPr>
              <w:t>36,720,586</w:t>
            </w:r>
          </w:p>
        </w:tc>
        <w:tc>
          <w:tcPr>
            <w:tcW w:w="0" w:type="dxa"/>
            <w:vAlign w:val="bottom"/>
          </w:tcPr>
          <w:p>
            <w:pPr>
              <w:spacing w:after="0"/>
              <w:rPr>
                <w:sz w:val="1"/>
                <w:szCs w:val="1"/>
                <w:color w:val="auto"/>
              </w:rPr>
            </w:pPr>
          </w:p>
        </w:tc>
      </w:tr>
      <w:tr>
        <w:trPr>
          <w:trHeight w:val="181"/>
        </w:trPr>
        <w:tc>
          <w:tcPr>
            <w:tcW w:w="430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46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jc w:val="right"/>
              <w:ind w:right="119"/>
              <w:spacing w:after="0"/>
              <w:rPr>
                <w:sz w:val="20"/>
                <w:szCs w:val="20"/>
                <w:color w:val="auto"/>
              </w:rPr>
            </w:pPr>
            <w:r>
              <w:rPr>
                <w:rFonts w:ascii="Arial" w:cs="Arial" w:eastAsia="Arial" w:hAnsi="Arial"/>
                <w:sz w:val="14"/>
                <w:szCs w:val="14"/>
                <w:color w:val="auto"/>
              </w:rPr>
              <w:t>(PIK 4.00%)</w:t>
            </w:r>
          </w:p>
        </w:tc>
        <w:tc>
          <w:tcPr>
            <w:tcW w:w="84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30"/>
        </w:trPr>
        <w:tc>
          <w:tcPr>
            <w:tcW w:w="4300" w:type="dxa"/>
            <w:vAlign w:val="bottom"/>
          </w:tcPr>
          <w:p>
            <w:pPr>
              <w:spacing w:after="0" w:line="130" w:lineRule="exact"/>
              <w:rPr>
                <w:sz w:val="20"/>
                <w:szCs w:val="20"/>
                <w:color w:val="auto"/>
              </w:rPr>
            </w:pPr>
            <w:r>
              <w:rPr>
                <w:rFonts w:ascii="Arial" w:cs="Arial" w:eastAsia="Arial" w:hAnsi="Arial"/>
                <w:sz w:val="14"/>
                <w:szCs w:val="14"/>
                <w:color w:val="auto"/>
              </w:rPr>
              <w:t>Vestcom International, Inc.</w:t>
            </w:r>
          </w:p>
        </w:tc>
        <w:tc>
          <w:tcPr>
            <w:tcW w:w="760" w:type="dxa"/>
            <w:vAlign w:val="bottom"/>
          </w:tcPr>
          <w:p>
            <w:pPr>
              <w:jc w:val="center"/>
              <w:spacing w:after="0" w:line="130" w:lineRule="exact"/>
              <w:rPr>
                <w:sz w:val="20"/>
                <w:szCs w:val="20"/>
                <w:color w:val="auto"/>
              </w:rPr>
            </w:pPr>
            <w:r>
              <w:rPr>
                <w:rFonts w:ascii="Arial" w:cs="Arial" w:eastAsia="Arial" w:hAnsi="Arial"/>
                <w:sz w:val="14"/>
                <w:szCs w:val="14"/>
                <w:color w:val="auto"/>
                <w:w w:val="91"/>
              </w:rPr>
              <w:t>06/27/2019</w:t>
            </w:r>
          </w:p>
        </w:tc>
        <w:tc>
          <w:tcPr>
            <w:tcW w:w="1460" w:type="dxa"/>
            <w:vAlign w:val="bottom"/>
          </w:tcPr>
          <w:p>
            <w:pPr>
              <w:jc w:val="center"/>
              <w:spacing w:after="0" w:line="130" w:lineRule="exact"/>
              <w:rPr>
                <w:sz w:val="20"/>
                <w:szCs w:val="20"/>
                <w:color w:val="auto"/>
              </w:rPr>
            </w:pPr>
            <w:r>
              <w:rPr>
                <w:rFonts w:ascii="Arial" w:cs="Arial" w:eastAsia="Arial" w:hAnsi="Arial"/>
                <w:sz w:val="14"/>
                <w:szCs w:val="14"/>
                <w:color w:val="auto"/>
                <w:w w:val="96"/>
              </w:rPr>
              <w:t>Printing and</w:t>
            </w:r>
          </w:p>
        </w:tc>
        <w:tc>
          <w:tcPr>
            <w:tcW w:w="840" w:type="dxa"/>
            <w:vAlign w:val="bottom"/>
          </w:tcPr>
          <w:p>
            <w:pPr>
              <w:jc w:val="right"/>
              <w:spacing w:after="0" w:line="130" w:lineRule="exact"/>
              <w:rPr>
                <w:sz w:val="20"/>
                <w:szCs w:val="20"/>
                <w:color w:val="auto"/>
              </w:rPr>
            </w:pPr>
            <w:r>
              <w:rPr>
                <w:rFonts w:ascii="Arial" w:cs="Arial" w:eastAsia="Arial" w:hAnsi="Arial"/>
                <w:sz w:val="14"/>
                <w:szCs w:val="14"/>
                <w:color w:val="auto"/>
              </w:rPr>
              <w:t>12.00%</w:t>
            </w:r>
          </w:p>
        </w:tc>
        <w:tc>
          <w:tcPr>
            <w:tcW w:w="200" w:type="dxa"/>
            <w:vAlign w:val="bottom"/>
          </w:tcPr>
          <w:p>
            <w:pPr>
              <w:spacing w:after="0"/>
              <w:rPr>
                <w:sz w:val="11"/>
                <w:szCs w:val="11"/>
                <w:color w:val="auto"/>
              </w:rPr>
            </w:pPr>
          </w:p>
        </w:tc>
        <w:tc>
          <w:tcPr>
            <w:tcW w:w="840" w:type="dxa"/>
            <w:vAlign w:val="bottom"/>
          </w:tcPr>
          <w:p>
            <w:pPr>
              <w:ind w:left="540"/>
              <w:spacing w:after="0" w:line="130" w:lineRule="exact"/>
              <w:rPr>
                <w:sz w:val="20"/>
                <w:szCs w:val="20"/>
                <w:color w:val="auto"/>
              </w:rPr>
            </w:pPr>
            <w:r>
              <w:rPr>
                <w:rFonts w:ascii="Arial" w:cs="Arial" w:eastAsia="Arial" w:hAnsi="Arial"/>
                <w:sz w:val="14"/>
                <w:szCs w:val="14"/>
                <w:color w:val="auto"/>
              </w:rPr>
              <w:t>—</w:t>
            </w:r>
          </w:p>
        </w:tc>
        <w:tc>
          <w:tcPr>
            <w:tcW w:w="860" w:type="dxa"/>
            <w:vAlign w:val="bottom"/>
            <w:gridSpan w:val="2"/>
          </w:tcPr>
          <w:p>
            <w:pPr>
              <w:jc w:val="right"/>
              <w:ind w:right="120"/>
              <w:spacing w:after="0" w:line="130" w:lineRule="exact"/>
              <w:rPr>
                <w:sz w:val="20"/>
                <w:szCs w:val="20"/>
                <w:color w:val="auto"/>
              </w:rPr>
            </w:pPr>
            <w:r>
              <w:rPr>
                <w:rFonts w:ascii="Arial" w:cs="Arial" w:eastAsia="Arial" w:hAnsi="Arial"/>
                <w:sz w:val="14"/>
                <w:szCs w:val="14"/>
                <w:color w:val="auto"/>
              </w:rPr>
              <w:t>39,892,933</w:t>
            </w:r>
          </w:p>
        </w:tc>
        <w:tc>
          <w:tcPr>
            <w:tcW w:w="920" w:type="dxa"/>
            <w:vAlign w:val="bottom"/>
            <w:gridSpan w:val="2"/>
          </w:tcPr>
          <w:p>
            <w:pPr>
              <w:jc w:val="right"/>
              <w:spacing w:after="0" w:line="130" w:lineRule="exact"/>
              <w:rPr>
                <w:sz w:val="20"/>
                <w:szCs w:val="20"/>
                <w:color w:val="auto"/>
              </w:rPr>
            </w:pPr>
            <w:r>
              <w:rPr>
                <w:rFonts w:ascii="Arial" w:cs="Arial" w:eastAsia="Arial" w:hAnsi="Arial"/>
                <w:sz w:val="14"/>
                <w:szCs w:val="14"/>
                <w:color w:val="auto"/>
              </w:rPr>
              <w:t>39,147,926</w:t>
            </w:r>
          </w:p>
        </w:tc>
        <w:tc>
          <w:tcPr>
            <w:tcW w:w="1060" w:type="dxa"/>
            <w:vAlign w:val="bottom"/>
            <w:gridSpan w:val="3"/>
          </w:tcPr>
          <w:p>
            <w:pPr>
              <w:jc w:val="right"/>
              <w:ind w:right="80"/>
              <w:spacing w:after="0" w:line="130" w:lineRule="exact"/>
              <w:rPr>
                <w:sz w:val="20"/>
                <w:szCs w:val="20"/>
                <w:color w:val="auto"/>
              </w:rPr>
            </w:pPr>
            <w:r>
              <w:rPr>
                <w:rFonts w:ascii="Arial" w:cs="Arial" w:eastAsia="Arial" w:hAnsi="Arial"/>
                <w:sz w:val="14"/>
                <w:szCs w:val="14"/>
                <w:color w:val="auto"/>
              </w:rPr>
              <w:t>39,827,248</w:t>
            </w:r>
          </w:p>
        </w:tc>
        <w:tc>
          <w:tcPr>
            <w:tcW w:w="0" w:type="dxa"/>
            <w:vAlign w:val="bottom"/>
          </w:tcPr>
          <w:p>
            <w:pPr>
              <w:spacing w:after="0"/>
              <w:rPr>
                <w:sz w:val="1"/>
                <w:szCs w:val="1"/>
                <w:color w:val="auto"/>
              </w:rPr>
            </w:pPr>
          </w:p>
        </w:tc>
      </w:tr>
      <w:tr>
        <w:trPr>
          <w:trHeight w:val="167"/>
        </w:trPr>
        <w:tc>
          <w:tcPr>
            <w:tcW w:w="43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460" w:type="dxa"/>
            <w:vAlign w:val="bottom"/>
          </w:tcPr>
          <w:p>
            <w:pPr>
              <w:jc w:val="center"/>
              <w:spacing w:after="0"/>
              <w:rPr>
                <w:sz w:val="20"/>
                <w:szCs w:val="20"/>
                <w:color w:val="auto"/>
              </w:rPr>
            </w:pPr>
            <w:r>
              <w:rPr>
                <w:rFonts w:ascii="Arial" w:cs="Arial" w:eastAsia="Arial" w:hAnsi="Arial"/>
                <w:sz w:val="14"/>
                <w:szCs w:val="14"/>
                <w:color w:val="auto"/>
                <w:w w:val="92"/>
              </w:rPr>
              <w:t>Publishing</w:t>
            </w:r>
          </w:p>
        </w:tc>
        <w:tc>
          <w:tcPr>
            <w:tcW w:w="8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5"/>
        </w:trPr>
        <w:tc>
          <w:tcPr>
            <w:tcW w:w="43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430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Total Subordinated Debt/Corporate Notes</w:t>
            </w:r>
          </w:p>
        </w:tc>
        <w:tc>
          <w:tcPr>
            <w:tcW w:w="760" w:type="dxa"/>
            <w:vAlign w:val="bottom"/>
            <w:shd w:val="clear" w:color="auto" w:fill="CCEEFF"/>
          </w:tcPr>
          <w:p>
            <w:pPr>
              <w:spacing w:after="0"/>
              <w:rPr>
                <w:sz w:val="12"/>
                <w:szCs w:val="12"/>
                <w:color w:val="auto"/>
              </w:rPr>
            </w:pPr>
          </w:p>
        </w:tc>
        <w:tc>
          <w:tcPr>
            <w:tcW w:w="14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270,087,700</w:t>
            </w:r>
          </w:p>
        </w:tc>
        <w:tc>
          <w:tcPr>
            <w:tcW w:w="106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260,809,374</w:t>
            </w:r>
          </w:p>
        </w:tc>
        <w:tc>
          <w:tcPr>
            <w:tcW w:w="0" w:type="dxa"/>
            <w:vAlign w:val="bottom"/>
          </w:tcPr>
          <w:p>
            <w:pPr>
              <w:spacing w:after="0"/>
              <w:rPr>
                <w:sz w:val="1"/>
                <w:szCs w:val="1"/>
                <w:color w:val="auto"/>
              </w:rPr>
            </w:pPr>
          </w:p>
        </w:tc>
      </w:tr>
      <w:tr>
        <w:trPr>
          <w:trHeight w:val="156"/>
        </w:trPr>
        <w:tc>
          <w:tcPr>
            <w:tcW w:w="4300" w:type="dxa"/>
            <w:vAlign w:val="bottom"/>
          </w:tcPr>
          <w:p>
            <w:pPr>
              <w:spacing w:after="0" w:line="155" w:lineRule="exact"/>
              <w:rPr>
                <w:sz w:val="20"/>
                <w:szCs w:val="20"/>
                <w:color w:val="auto"/>
              </w:rPr>
            </w:pPr>
            <w:r>
              <w:rPr>
                <w:rFonts w:ascii="Arial" w:cs="Arial" w:eastAsia="Arial" w:hAnsi="Arial"/>
                <w:sz w:val="14"/>
                <w:szCs w:val="14"/>
                <w:b w:val="1"/>
                <w:bCs w:val="1"/>
                <w:color w:val="auto"/>
              </w:rPr>
              <w:t xml:space="preserve">Preferred Equity/Partnership Interests—1.2% </w:t>
            </w:r>
            <w:r>
              <w:rPr>
                <w:rFonts w:ascii="Arial" w:cs="Arial" w:eastAsia="Arial" w:hAnsi="Arial"/>
                <w:sz w:val="12"/>
                <w:szCs w:val="12"/>
                <w:b w:val="1"/>
                <w:bCs w:val="1"/>
                <w:color w:val="auto"/>
              </w:rPr>
              <w:t>(6)</w:t>
            </w:r>
          </w:p>
        </w:tc>
        <w:tc>
          <w:tcPr>
            <w:tcW w:w="76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Borders>
              <w:top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82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0"/>
        </w:trPr>
        <w:tc>
          <w:tcPr>
            <w:tcW w:w="430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AH Holdings, Inc.</w:t>
            </w:r>
          </w:p>
        </w:tc>
        <w:tc>
          <w:tcPr>
            <w:tcW w:w="760" w:type="dxa"/>
            <w:vAlign w:val="bottom"/>
            <w:shd w:val="clear" w:color="auto" w:fill="CCEEFF"/>
          </w:tcPr>
          <w:p>
            <w:pPr>
              <w:ind w:left="300"/>
              <w:spacing w:after="0" w:line="130" w:lineRule="exact"/>
              <w:rPr>
                <w:sz w:val="20"/>
                <w:szCs w:val="20"/>
                <w:color w:val="auto"/>
              </w:rPr>
            </w:pPr>
            <w:r>
              <w:rPr>
                <w:rFonts w:ascii="Arial" w:cs="Arial" w:eastAsia="Arial" w:hAnsi="Arial"/>
                <w:sz w:val="14"/>
                <w:szCs w:val="14"/>
                <w:color w:val="auto"/>
              </w:rPr>
              <w:t>—</w:t>
            </w:r>
          </w:p>
        </w:tc>
        <w:tc>
          <w:tcPr>
            <w:tcW w:w="1460" w:type="dxa"/>
            <w:vAlign w:val="bottom"/>
            <w:shd w:val="clear" w:color="auto" w:fill="CCEEFF"/>
          </w:tcPr>
          <w:p>
            <w:pPr>
              <w:jc w:val="center"/>
              <w:spacing w:after="0" w:line="130" w:lineRule="exact"/>
              <w:rPr>
                <w:sz w:val="20"/>
                <w:szCs w:val="20"/>
                <w:color w:val="auto"/>
              </w:rPr>
            </w:pPr>
            <w:r>
              <w:rPr>
                <w:rFonts w:ascii="Arial" w:cs="Arial" w:eastAsia="Arial" w:hAnsi="Arial"/>
                <w:sz w:val="14"/>
                <w:szCs w:val="14"/>
                <w:color w:val="auto"/>
                <w:w w:val="92"/>
              </w:rPr>
              <w:t>Healthcare, Education</w:t>
            </w:r>
          </w:p>
        </w:tc>
        <w:tc>
          <w:tcPr>
            <w:tcW w:w="840" w:type="dxa"/>
            <w:vAlign w:val="bottom"/>
            <w:shd w:val="clear" w:color="auto" w:fill="CCEEFF"/>
          </w:tcPr>
          <w:p>
            <w:pPr>
              <w:jc w:val="right"/>
              <w:spacing w:after="0" w:line="130" w:lineRule="exact"/>
              <w:rPr>
                <w:sz w:val="20"/>
                <w:szCs w:val="20"/>
                <w:color w:val="auto"/>
              </w:rPr>
            </w:pPr>
            <w:r>
              <w:rPr>
                <w:rFonts w:ascii="Arial" w:cs="Arial" w:eastAsia="Arial" w:hAnsi="Arial"/>
                <w:sz w:val="14"/>
                <w:szCs w:val="14"/>
                <w:color w:val="auto"/>
              </w:rPr>
              <w:t>6.00%</w:t>
            </w:r>
          </w:p>
        </w:tc>
        <w:tc>
          <w:tcPr>
            <w:tcW w:w="200" w:type="dxa"/>
            <w:vAlign w:val="bottom"/>
            <w:shd w:val="clear" w:color="auto" w:fill="CCEEFF"/>
          </w:tcPr>
          <w:p>
            <w:pPr>
              <w:spacing w:after="0"/>
              <w:rPr>
                <w:sz w:val="11"/>
                <w:szCs w:val="11"/>
                <w:color w:val="auto"/>
              </w:rPr>
            </w:pPr>
          </w:p>
        </w:tc>
        <w:tc>
          <w:tcPr>
            <w:tcW w:w="840" w:type="dxa"/>
            <w:vAlign w:val="bottom"/>
            <w:shd w:val="clear" w:color="auto" w:fill="CCEEFF"/>
          </w:tcPr>
          <w:p>
            <w:pPr>
              <w:ind w:left="540"/>
              <w:spacing w:after="0" w:line="130" w:lineRule="exact"/>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jc w:val="right"/>
              <w:ind w:right="120"/>
              <w:spacing w:after="0" w:line="130" w:lineRule="exact"/>
              <w:rPr>
                <w:sz w:val="20"/>
                <w:szCs w:val="20"/>
                <w:color w:val="auto"/>
              </w:rPr>
            </w:pPr>
            <w:r>
              <w:rPr>
                <w:rFonts w:ascii="Arial" w:cs="Arial" w:eastAsia="Arial" w:hAnsi="Arial"/>
                <w:sz w:val="14"/>
                <w:szCs w:val="14"/>
                <w:color w:val="auto"/>
              </w:rPr>
              <w:t>211</w:t>
            </w:r>
          </w:p>
        </w:tc>
        <w:tc>
          <w:tcPr>
            <w:tcW w:w="920" w:type="dxa"/>
            <w:vAlign w:val="bottom"/>
            <w:gridSpan w:val="2"/>
            <w:shd w:val="clear" w:color="auto" w:fill="CCEEFF"/>
          </w:tcPr>
          <w:p>
            <w:pPr>
              <w:jc w:val="right"/>
              <w:spacing w:after="0" w:line="130" w:lineRule="exact"/>
              <w:rPr>
                <w:sz w:val="20"/>
                <w:szCs w:val="20"/>
                <w:color w:val="auto"/>
              </w:rPr>
            </w:pPr>
            <w:r>
              <w:rPr>
                <w:rFonts w:ascii="Arial" w:cs="Arial" w:eastAsia="Arial" w:hAnsi="Arial"/>
                <w:sz w:val="14"/>
                <w:szCs w:val="14"/>
                <w:color w:val="auto"/>
              </w:rPr>
              <w:t>500,000</w:t>
            </w:r>
          </w:p>
        </w:tc>
        <w:tc>
          <w:tcPr>
            <w:tcW w:w="1060" w:type="dxa"/>
            <w:vAlign w:val="bottom"/>
            <w:gridSpan w:val="3"/>
            <w:shd w:val="clear" w:color="auto" w:fill="CCEEFF"/>
          </w:tcPr>
          <w:p>
            <w:pPr>
              <w:jc w:val="right"/>
              <w:ind w:right="80"/>
              <w:spacing w:after="0" w:line="130" w:lineRule="exact"/>
              <w:rPr>
                <w:sz w:val="20"/>
                <w:szCs w:val="20"/>
                <w:color w:val="auto"/>
              </w:rPr>
            </w:pPr>
            <w:r>
              <w:rPr>
                <w:rFonts w:ascii="Arial" w:cs="Arial" w:eastAsia="Arial" w:hAnsi="Arial"/>
                <w:sz w:val="14"/>
                <w:szCs w:val="14"/>
                <w:color w:val="auto"/>
              </w:rPr>
              <w:t>815,133</w:t>
            </w:r>
          </w:p>
        </w:tc>
        <w:tc>
          <w:tcPr>
            <w:tcW w:w="0" w:type="dxa"/>
            <w:vAlign w:val="bottom"/>
          </w:tcPr>
          <w:p>
            <w:pPr>
              <w:spacing w:after="0"/>
              <w:rPr>
                <w:sz w:val="1"/>
                <w:szCs w:val="1"/>
                <w:color w:val="auto"/>
              </w:rPr>
            </w:pPr>
          </w:p>
        </w:tc>
      </w:tr>
      <w:tr>
        <w:trPr>
          <w:trHeight w:val="167"/>
        </w:trPr>
        <w:tc>
          <w:tcPr>
            <w:tcW w:w="430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4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2"/>
              </w:rPr>
              <w:t>and Childcare</w:t>
            </w:r>
          </w:p>
        </w:tc>
        <w:tc>
          <w:tcPr>
            <w:tcW w:w="8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4300" w:type="dxa"/>
            <w:vAlign w:val="bottom"/>
          </w:tcPr>
          <w:p>
            <w:pPr>
              <w:spacing w:after="0" w:line="149" w:lineRule="exact"/>
              <w:rPr>
                <w:sz w:val="20"/>
                <w:szCs w:val="20"/>
                <w:color w:val="auto"/>
              </w:rPr>
            </w:pPr>
            <w:r>
              <w:rPr>
                <w:rFonts w:ascii="Arial" w:cs="Arial" w:eastAsia="Arial" w:hAnsi="Arial"/>
                <w:sz w:val="14"/>
                <w:szCs w:val="14"/>
                <w:color w:val="auto"/>
              </w:rPr>
              <w:t>AHC Mezzanine, LLC</w:t>
            </w:r>
          </w:p>
        </w:tc>
        <w:tc>
          <w:tcPr>
            <w:tcW w:w="760" w:type="dxa"/>
            <w:vAlign w:val="bottom"/>
          </w:tcPr>
          <w:p>
            <w:pPr>
              <w:ind w:left="300"/>
              <w:spacing w:after="0" w:line="149" w:lineRule="exact"/>
              <w:rPr>
                <w:sz w:val="20"/>
                <w:szCs w:val="20"/>
                <w:color w:val="auto"/>
              </w:rPr>
            </w:pPr>
            <w:r>
              <w:rPr>
                <w:rFonts w:ascii="Arial" w:cs="Arial" w:eastAsia="Arial" w:hAnsi="Arial"/>
                <w:sz w:val="14"/>
                <w:szCs w:val="14"/>
                <w:color w:val="auto"/>
              </w:rPr>
              <w:t>—</w:t>
            </w:r>
          </w:p>
        </w:tc>
        <w:tc>
          <w:tcPr>
            <w:tcW w:w="1460" w:type="dxa"/>
            <w:vAlign w:val="bottom"/>
          </w:tcPr>
          <w:p>
            <w:pPr>
              <w:jc w:val="center"/>
              <w:spacing w:after="0" w:line="149" w:lineRule="exact"/>
              <w:rPr>
                <w:sz w:val="20"/>
                <w:szCs w:val="20"/>
                <w:color w:val="auto"/>
              </w:rPr>
            </w:pPr>
            <w:r>
              <w:rPr>
                <w:rFonts w:ascii="Arial" w:cs="Arial" w:eastAsia="Arial" w:hAnsi="Arial"/>
                <w:sz w:val="14"/>
                <w:szCs w:val="14"/>
                <w:color w:val="auto"/>
                <w:w w:val="93"/>
              </w:rPr>
              <w:t>Other Media</w:t>
            </w:r>
          </w:p>
        </w:tc>
        <w:tc>
          <w:tcPr>
            <w:tcW w:w="840" w:type="dxa"/>
            <w:vAlign w:val="bottom"/>
          </w:tcPr>
          <w:p>
            <w:pPr>
              <w:jc w:val="right"/>
              <w:ind w:right="148"/>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840" w:type="dxa"/>
            <w:vAlign w:val="bottom"/>
          </w:tcPr>
          <w:p>
            <w:pPr>
              <w:ind w:left="540"/>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7,505</w:t>
            </w:r>
          </w:p>
        </w:tc>
        <w:tc>
          <w:tcPr>
            <w:tcW w:w="9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318,896</w:t>
            </w:r>
          </w:p>
        </w:tc>
        <w:tc>
          <w:tcPr>
            <w:tcW w:w="160" w:type="dxa"/>
            <w:vAlign w:val="bottom"/>
          </w:tcPr>
          <w:p>
            <w:pPr>
              <w:spacing w:after="0"/>
              <w:rPr>
                <w:sz w:val="12"/>
                <w:szCs w:val="12"/>
                <w:color w:val="auto"/>
              </w:rPr>
            </w:pPr>
          </w:p>
        </w:tc>
        <w:tc>
          <w:tcPr>
            <w:tcW w:w="900" w:type="dxa"/>
            <w:vAlign w:val="bottom"/>
            <w:gridSpan w:val="2"/>
          </w:tcPr>
          <w:p>
            <w:pPr>
              <w:ind w:left="6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0"/>
        </w:trPr>
        <w:tc>
          <w:tcPr>
            <w:tcW w:w="430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Alegeus Technologies Holdings Corp., Series A</w:t>
            </w:r>
          </w:p>
        </w:tc>
        <w:tc>
          <w:tcPr>
            <w:tcW w:w="760" w:type="dxa"/>
            <w:vAlign w:val="bottom"/>
            <w:shd w:val="clear" w:color="auto" w:fill="CCEEFF"/>
          </w:tcPr>
          <w:p>
            <w:pPr>
              <w:ind w:left="300"/>
              <w:spacing w:after="0" w:line="130" w:lineRule="exact"/>
              <w:rPr>
                <w:sz w:val="20"/>
                <w:szCs w:val="20"/>
                <w:color w:val="auto"/>
              </w:rPr>
            </w:pPr>
            <w:r>
              <w:rPr>
                <w:rFonts w:ascii="Arial" w:cs="Arial" w:eastAsia="Arial" w:hAnsi="Arial"/>
                <w:sz w:val="14"/>
                <w:szCs w:val="14"/>
                <w:color w:val="auto"/>
              </w:rPr>
              <w:t>—</w:t>
            </w:r>
          </w:p>
        </w:tc>
        <w:tc>
          <w:tcPr>
            <w:tcW w:w="1460" w:type="dxa"/>
            <w:vAlign w:val="bottom"/>
            <w:shd w:val="clear" w:color="auto" w:fill="CCEEFF"/>
          </w:tcPr>
          <w:p>
            <w:pPr>
              <w:jc w:val="center"/>
              <w:spacing w:after="0" w:line="130" w:lineRule="exact"/>
              <w:rPr>
                <w:sz w:val="20"/>
                <w:szCs w:val="20"/>
                <w:color w:val="auto"/>
              </w:rPr>
            </w:pPr>
            <w:r>
              <w:rPr>
                <w:rFonts w:ascii="Arial" w:cs="Arial" w:eastAsia="Arial" w:hAnsi="Arial"/>
                <w:sz w:val="14"/>
                <w:szCs w:val="14"/>
                <w:color w:val="auto"/>
                <w:w w:val="91"/>
              </w:rPr>
              <w:t>Financial Services</w:t>
            </w:r>
          </w:p>
        </w:tc>
        <w:tc>
          <w:tcPr>
            <w:tcW w:w="840" w:type="dxa"/>
            <w:vAlign w:val="bottom"/>
            <w:shd w:val="clear" w:color="auto" w:fill="CCEEFF"/>
          </w:tcPr>
          <w:p>
            <w:pPr>
              <w:jc w:val="right"/>
              <w:ind w:right="148"/>
              <w:spacing w:after="0" w:line="130"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1"/>
                <w:szCs w:val="11"/>
                <w:color w:val="auto"/>
              </w:rPr>
            </w:pPr>
          </w:p>
        </w:tc>
        <w:tc>
          <w:tcPr>
            <w:tcW w:w="840" w:type="dxa"/>
            <w:vAlign w:val="bottom"/>
            <w:shd w:val="clear" w:color="auto" w:fill="CCEEFF"/>
          </w:tcPr>
          <w:p>
            <w:pPr>
              <w:ind w:left="540"/>
              <w:spacing w:after="0" w:line="130" w:lineRule="exact"/>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jc w:val="right"/>
              <w:ind w:right="120"/>
              <w:spacing w:after="0" w:line="130" w:lineRule="exact"/>
              <w:rPr>
                <w:sz w:val="20"/>
                <w:szCs w:val="20"/>
                <w:color w:val="auto"/>
              </w:rPr>
            </w:pPr>
            <w:r>
              <w:rPr>
                <w:rFonts w:ascii="Arial" w:cs="Arial" w:eastAsia="Arial" w:hAnsi="Arial"/>
                <w:sz w:val="14"/>
                <w:szCs w:val="14"/>
                <w:color w:val="auto"/>
              </w:rPr>
              <w:t>949</w:t>
            </w:r>
          </w:p>
        </w:tc>
        <w:tc>
          <w:tcPr>
            <w:tcW w:w="920" w:type="dxa"/>
            <w:vAlign w:val="bottom"/>
            <w:gridSpan w:val="2"/>
            <w:shd w:val="clear" w:color="auto" w:fill="CCEEFF"/>
          </w:tcPr>
          <w:p>
            <w:pPr>
              <w:jc w:val="right"/>
              <w:spacing w:after="0" w:line="130" w:lineRule="exact"/>
              <w:rPr>
                <w:sz w:val="20"/>
                <w:szCs w:val="20"/>
                <w:color w:val="auto"/>
              </w:rPr>
            </w:pPr>
            <w:r>
              <w:rPr>
                <w:rFonts w:ascii="Arial" w:cs="Arial" w:eastAsia="Arial" w:hAnsi="Arial"/>
                <w:sz w:val="14"/>
                <w:szCs w:val="14"/>
                <w:color w:val="auto"/>
              </w:rPr>
              <w:t>949,050</w:t>
            </w:r>
          </w:p>
        </w:tc>
        <w:tc>
          <w:tcPr>
            <w:tcW w:w="1060" w:type="dxa"/>
            <w:vAlign w:val="bottom"/>
            <w:gridSpan w:val="3"/>
            <w:shd w:val="clear" w:color="auto" w:fill="CCEEFF"/>
          </w:tcPr>
          <w:p>
            <w:pPr>
              <w:jc w:val="right"/>
              <w:ind w:right="80"/>
              <w:spacing w:after="0" w:line="130" w:lineRule="exact"/>
              <w:rPr>
                <w:sz w:val="20"/>
                <w:szCs w:val="20"/>
                <w:color w:val="auto"/>
              </w:rPr>
            </w:pPr>
            <w:r>
              <w:rPr>
                <w:rFonts w:ascii="Arial" w:cs="Arial" w:eastAsia="Arial" w:hAnsi="Arial"/>
                <w:sz w:val="14"/>
                <w:szCs w:val="14"/>
                <w:color w:val="auto"/>
              </w:rPr>
              <w:t>805,697</w:t>
            </w:r>
          </w:p>
        </w:tc>
        <w:tc>
          <w:tcPr>
            <w:tcW w:w="0" w:type="dxa"/>
            <w:vAlign w:val="bottom"/>
          </w:tcPr>
          <w:p>
            <w:pPr>
              <w:spacing w:after="0"/>
              <w:rPr>
                <w:sz w:val="1"/>
                <w:szCs w:val="1"/>
                <w:color w:val="auto"/>
              </w:rPr>
            </w:pPr>
          </w:p>
        </w:tc>
      </w:tr>
      <w:tr>
        <w:trPr>
          <w:trHeight w:val="167"/>
        </w:trPr>
        <w:tc>
          <w:tcPr>
            <w:tcW w:w="4300" w:type="dxa"/>
            <w:vAlign w:val="bottom"/>
            <w:shd w:val="clear" w:color="auto" w:fill="CCEEFF"/>
          </w:tcPr>
          <w:p>
            <w:pPr>
              <w:ind w:left="160"/>
              <w:spacing w:after="0"/>
              <w:rPr>
                <w:sz w:val="20"/>
                <w:szCs w:val="20"/>
                <w:color w:val="auto"/>
              </w:rPr>
            </w:pPr>
            <w:r>
              <w:rPr>
                <w:rFonts w:ascii="Arial" w:cs="Arial" w:eastAsia="Arial" w:hAnsi="Arial"/>
                <w:sz w:val="14"/>
                <w:szCs w:val="14"/>
                <w:color w:val="auto"/>
              </w:rPr>
              <w:t>(Alegeus Technologies, LLC)</w:t>
            </w:r>
          </w:p>
        </w:tc>
        <w:tc>
          <w:tcPr>
            <w:tcW w:w="760" w:type="dxa"/>
            <w:vAlign w:val="bottom"/>
            <w:shd w:val="clear" w:color="auto" w:fill="CCEEFF"/>
          </w:tcPr>
          <w:p>
            <w:pPr>
              <w:spacing w:after="0"/>
              <w:rPr>
                <w:sz w:val="14"/>
                <w:szCs w:val="14"/>
                <w:color w:val="auto"/>
              </w:rPr>
            </w:pPr>
          </w:p>
        </w:tc>
        <w:tc>
          <w:tcPr>
            <w:tcW w:w="146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4300" w:type="dxa"/>
            <w:vAlign w:val="bottom"/>
          </w:tcPr>
          <w:p>
            <w:pPr>
              <w:spacing w:after="0" w:line="130" w:lineRule="exact"/>
              <w:rPr>
                <w:sz w:val="20"/>
                <w:szCs w:val="20"/>
                <w:color w:val="auto"/>
              </w:rPr>
            </w:pPr>
            <w:r>
              <w:rPr>
                <w:rFonts w:ascii="Arial" w:cs="Arial" w:eastAsia="Arial" w:hAnsi="Arial"/>
                <w:sz w:val="14"/>
                <w:szCs w:val="14"/>
                <w:color w:val="auto"/>
              </w:rPr>
              <w:t>CI (IHS) Investment Holdings, LLC</w:t>
            </w:r>
          </w:p>
        </w:tc>
        <w:tc>
          <w:tcPr>
            <w:tcW w:w="760" w:type="dxa"/>
            <w:vAlign w:val="bottom"/>
          </w:tcPr>
          <w:p>
            <w:pPr>
              <w:ind w:left="300"/>
              <w:spacing w:after="0" w:line="130" w:lineRule="exact"/>
              <w:rPr>
                <w:sz w:val="20"/>
                <w:szCs w:val="20"/>
                <w:color w:val="auto"/>
              </w:rPr>
            </w:pPr>
            <w:r>
              <w:rPr>
                <w:rFonts w:ascii="Arial" w:cs="Arial" w:eastAsia="Arial" w:hAnsi="Arial"/>
                <w:sz w:val="14"/>
                <w:szCs w:val="14"/>
                <w:color w:val="auto"/>
              </w:rPr>
              <w:t>—</w:t>
            </w:r>
          </w:p>
        </w:tc>
        <w:tc>
          <w:tcPr>
            <w:tcW w:w="1460" w:type="dxa"/>
            <w:vAlign w:val="bottom"/>
          </w:tcPr>
          <w:p>
            <w:pPr>
              <w:jc w:val="center"/>
              <w:spacing w:after="0" w:line="130" w:lineRule="exact"/>
              <w:rPr>
                <w:sz w:val="20"/>
                <w:szCs w:val="20"/>
                <w:color w:val="auto"/>
              </w:rPr>
            </w:pPr>
            <w:r>
              <w:rPr>
                <w:rFonts w:ascii="Arial" w:cs="Arial" w:eastAsia="Arial" w:hAnsi="Arial"/>
                <w:sz w:val="14"/>
                <w:szCs w:val="14"/>
                <w:color w:val="auto"/>
                <w:w w:val="92"/>
              </w:rPr>
              <w:t>Healthcare, Education</w:t>
            </w:r>
          </w:p>
        </w:tc>
        <w:tc>
          <w:tcPr>
            <w:tcW w:w="840" w:type="dxa"/>
            <w:vAlign w:val="bottom"/>
          </w:tcPr>
          <w:p>
            <w:pPr>
              <w:jc w:val="right"/>
              <w:spacing w:after="0" w:line="130" w:lineRule="exact"/>
              <w:rPr>
                <w:sz w:val="20"/>
                <w:szCs w:val="20"/>
                <w:color w:val="auto"/>
              </w:rPr>
            </w:pPr>
            <w:r>
              <w:rPr>
                <w:rFonts w:ascii="Arial" w:cs="Arial" w:eastAsia="Arial" w:hAnsi="Arial"/>
                <w:sz w:val="14"/>
                <w:szCs w:val="14"/>
                <w:color w:val="auto"/>
              </w:rPr>
              <w:t>8.00%</w:t>
            </w:r>
          </w:p>
        </w:tc>
        <w:tc>
          <w:tcPr>
            <w:tcW w:w="200" w:type="dxa"/>
            <w:vAlign w:val="bottom"/>
          </w:tcPr>
          <w:p>
            <w:pPr>
              <w:spacing w:after="0"/>
              <w:rPr>
                <w:sz w:val="11"/>
                <w:szCs w:val="11"/>
                <w:color w:val="auto"/>
              </w:rPr>
            </w:pPr>
          </w:p>
        </w:tc>
        <w:tc>
          <w:tcPr>
            <w:tcW w:w="840" w:type="dxa"/>
            <w:vAlign w:val="bottom"/>
          </w:tcPr>
          <w:p>
            <w:pPr>
              <w:ind w:left="540"/>
              <w:spacing w:after="0" w:line="130" w:lineRule="exact"/>
              <w:rPr>
                <w:sz w:val="20"/>
                <w:szCs w:val="20"/>
                <w:color w:val="auto"/>
              </w:rPr>
            </w:pPr>
            <w:r>
              <w:rPr>
                <w:rFonts w:ascii="Arial" w:cs="Arial" w:eastAsia="Arial" w:hAnsi="Arial"/>
                <w:sz w:val="14"/>
                <w:szCs w:val="14"/>
                <w:color w:val="auto"/>
              </w:rPr>
              <w:t>—</w:t>
            </w:r>
          </w:p>
        </w:tc>
        <w:tc>
          <w:tcPr>
            <w:tcW w:w="860" w:type="dxa"/>
            <w:vAlign w:val="bottom"/>
            <w:gridSpan w:val="2"/>
          </w:tcPr>
          <w:p>
            <w:pPr>
              <w:jc w:val="right"/>
              <w:ind w:right="120"/>
              <w:spacing w:after="0" w:line="130" w:lineRule="exact"/>
              <w:rPr>
                <w:sz w:val="20"/>
                <w:szCs w:val="20"/>
                <w:color w:val="auto"/>
              </w:rPr>
            </w:pPr>
            <w:r>
              <w:rPr>
                <w:rFonts w:ascii="Arial" w:cs="Arial" w:eastAsia="Arial" w:hAnsi="Arial"/>
                <w:sz w:val="14"/>
                <w:szCs w:val="14"/>
                <w:color w:val="auto"/>
              </w:rPr>
              <w:t>76,357</w:t>
            </w:r>
          </w:p>
        </w:tc>
        <w:tc>
          <w:tcPr>
            <w:tcW w:w="920" w:type="dxa"/>
            <w:vAlign w:val="bottom"/>
            <w:gridSpan w:val="2"/>
          </w:tcPr>
          <w:p>
            <w:pPr>
              <w:jc w:val="right"/>
              <w:spacing w:after="0" w:line="130" w:lineRule="exact"/>
              <w:rPr>
                <w:sz w:val="20"/>
                <w:szCs w:val="20"/>
                <w:color w:val="auto"/>
              </w:rPr>
            </w:pPr>
            <w:r>
              <w:rPr>
                <w:rFonts w:ascii="Arial" w:cs="Arial" w:eastAsia="Arial" w:hAnsi="Arial"/>
                <w:sz w:val="14"/>
                <w:szCs w:val="14"/>
                <w:color w:val="auto"/>
              </w:rPr>
              <w:t>765,307</w:t>
            </w:r>
          </w:p>
        </w:tc>
        <w:tc>
          <w:tcPr>
            <w:tcW w:w="1060" w:type="dxa"/>
            <w:vAlign w:val="bottom"/>
            <w:gridSpan w:val="3"/>
          </w:tcPr>
          <w:p>
            <w:pPr>
              <w:jc w:val="right"/>
              <w:ind w:right="80"/>
              <w:spacing w:after="0" w:line="130" w:lineRule="exact"/>
              <w:rPr>
                <w:sz w:val="20"/>
                <w:szCs w:val="20"/>
                <w:color w:val="auto"/>
              </w:rPr>
            </w:pPr>
            <w:r>
              <w:rPr>
                <w:rFonts w:ascii="Arial" w:cs="Arial" w:eastAsia="Arial" w:hAnsi="Arial"/>
                <w:sz w:val="14"/>
                <w:szCs w:val="14"/>
                <w:color w:val="auto"/>
              </w:rPr>
              <w:t>1,187,410</w:t>
            </w:r>
          </w:p>
        </w:tc>
        <w:tc>
          <w:tcPr>
            <w:tcW w:w="0" w:type="dxa"/>
            <w:vAlign w:val="bottom"/>
          </w:tcPr>
          <w:p>
            <w:pPr>
              <w:spacing w:after="0"/>
              <w:rPr>
                <w:sz w:val="1"/>
                <w:szCs w:val="1"/>
                <w:color w:val="auto"/>
              </w:rPr>
            </w:pPr>
          </w:p>
        </w:tc>
      </w:tr>
      <w:tr>
        <w:trPr>
          <w:trHeight w:val="167"/>
        </w:trPr>
        <w:tc>
          <w:tcPr>
            <w:tcW w:w="4300" w:type="dxa"/>
            <w:vAlign w:val="bottom"/>
          </w:tcPr>
          <w:p>
            <w:pPr>
              <w:ind w:left="160"/>
              <w:spacing w:after="0"/>
              <w:rPr>
                <w:sz w:val="20"/>
                <w:szCs w:val="20"/>
                <w:color w:val="auto"/>
              </w:rPr>
            </w:pPr>
            <w:r>
              <w:rPr>
                <w:rFonts w:ascii="Arial" w:cs="Arial" w:eastAsia="Arial" w:hAnsi="Arial"/>
                <w:sz w:val="14"/>
                <w:szCs w:val="14"/>
                <w:color w:val="auto"/>
              </w:rPr>
              <w:t>(Interactive Health Solutions, Inc.)</w:t>
            </w:r>
          </w:p>
        </w:tc>
        <w:tc>
          <w:tcPr>
            <w:tcW w:w="760" w:type="dxa"/>
            <w:vAlign w:val="bottom"/>
          </w:tcPr>
          <w:p>
            <w:pPr>
              <w:spacing w:after="0"/>
              <w:rPr>
                <w:sz w:val="14"/>
                <w:szCs w:val="14"/>
                <w:color w:val="auto"/>
              </w:rPr>
            </w:pPr>
          </w:p>
        </w:tc>
        <w:tc>
          <w:tcPr>
            <w:tcW w:w="1460" w:type="dxa"/>
            <w:vAlign w:val="bottom"/>
          </w:tcPr>
          <w:p>
            <w:pPr>
              <w:jc w:val="center"/>
              <w:spacing w:after="0"/>
              <w:rPr>
                <w:sz w:val="20"/>
                <w:szCs w:val="20"/>
                <w:color w:val="auto"/>
              </w:rPr>
            </w:pPr>
            <w:r>
              <w:rPr>
                <w:rFonts w:ascii="Arial" w:cs="Arial" w:eastAsia="Arial" w:hAnsi="Arial"/>
                <w:sz w:val="14"/>
                <w:szCs w:val="14"/>
                <w:color w:val="auto"/>
                <w:w w:val="92"/>
              </w:rPr>
              <w:t>and Childcare</w:t>
            </w:r>
          </w:p>
        </w:tc>
        <w:tc>
          <w:tcPr>
            <w:tcW w:w="8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430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 xml:space="preserve">CI (IHS) Investment Holdings, LLC </w:t>
            </w:r>
            <w:r>
              <w:rPr>
                <w:rFonts w:ascii="Arial" w:cs="Arial" w:eastAsia="Arial" w:hAnsi="Arial"/>
                <w:sz w:val="12"/>
                <w:szCs w:val="12"/>
                <w:color w:val="auto"/>
              </w:rPr>
              <w:t>(9)</w:t>
            </w:r>
          </w:p>
        </w:tc>
        <w:tc>
          <w:tcPr>
            <w:tcW w:w="760" w:type="dxa"/>
            <w:vAlign w:val="bottom"/>
            <w:shd w:val="clear" w:color="auto" w:fill="CCEEFF"/>
          </w:tcPr>
          <w:p>
            <w:pPr>
              <w:ind w:left="300"/>
              <w:spacing w:after="0" w:line="130" w:lineRule="exact"/>
              <w:rPr>
                <w:sz w:val="20"/>
                <w:szCs w:val="20"/>
                <w:color w:val="auto"/>
              </w:rPr>
            </w:pPr>
            <w:r>
              <w:rPr>
                <w:rFonts w:ascii="Arial" w:cs="Arial" w:eastAsia="Arial" w:hAnsi="Arial"/>
                <w:sz w:val="14"/>
                <w:szCs w:val="14"/>
                <w:color w:val="auto"/>
              </w:rPr>
              <w:t>—</w:t>
            </w:r>
          </w:p>
        </w:tc>
        <w:tc>
          <w:tcPr>
            <w:tcW w:w="1460" w:type="dxa"/>
            <w:vAlign w:val="bottom"/>
            <w:shd w:val="clear" w:color="auto" w:fill="CCEEFF"/>
          </w:tcPr>
          <w:p>
            <w:pPr>
              <w:jc w:val="center"/>
              <w:spacing w:after="0" w:line="130" w:lineRule="exact"/>
              <w:rPr>
                <w:sz w:val="20"/>
                <w:szCs w:val="20"/>
                <w:color w:val="auto"/>
              </w:rPr>
            </w:pPr>
            <w:r>
              <w:rPr>
                <w:rFonts w:ascii="Arial" w:cs="Arial" w:eastAsia="Arial" w:hAnsi="Arial"/>
                <w:sz w:val="14"/>
                <w:szCs w:val="14"/>
                <w:color w:val="auto"/>
                <w:w w:val="92"/>
              </w:rPr>
              <w:t>Healthcare, Education</w:t>
            </w:r>
          </w:p>
        </w:tc>
        <w:tc>
          <w:tcPr>
            <w:tcW w:w="840" w:type="dxa"/>
            <w:vAlign w:val="bottom"/>
            <w:shd w:val="clear" w:color="auto" w:fill="CCEEFF"/>
          </w:tcPr>
          <w:p>
            <w:pPr>
              <w:jc w:val="right"/>
              <w:ind w:right="148"/>
              <w:spacing w:after="0" w:line="130"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1"/>
                <w:szCs w:val="11"/>
                <w:color w:val="auto"/>
              </w:rPr>
            </w:pPr>
          </w:p>
        </w:tc>
        <w:tc>
          <w:tcPr>
            <w:tcW w:w="840" w:type="dxa"/>
            <w:vAlign w:val="bottom"/>
            <w:shd w:val="clear" w:color="auto" w:fill="CCEEFF"/>
          </w:tcPr>
          <w:p>
            <w:pPr>
              <w:ind w:left="540"/>
              <w:spacing w:after="0" w:line="130" w:lineRule="exact"/>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jc w:val="right"/>
              <w:ind w:right="120"/>
              <w:spacing w:after="0" w:line="130" w:lineRule="exact"/>
              <w:rPr>
                <w:sz w:val="20"/>
                <w:szCs w:val="20"/>
                <w:color w:val="auto"/>
              </w:rPr>
            </w:pPr>
            <w:r>
              <w:rPr>
                <w:rFonts w:ascii="Arial" w:cs="Arial" w:eastAsia="Arial" w:hAnsi="Arial"/>
                <w:sz w:val="14"/>
                <w:szCs w:val="14"/>
                <w:color w:val="auto"/>
              </w:rPr>
              <w:t>38,179</w:t>
            </w:r>
          </w:p>
        </w:tc>
        <w:tc>
          <w:tcPr>
            <w:tcW w:w="920" w:type="dxa"/>
            <w:vAlign w:val="bottom"/>
            <w:gridSpan w:val="2"/>
            <w:shd w:val="clear" w:color="auto" w:fill="CCEEFF"/>
          </w:tcPr>
          <w:p>
            <w:pPr>
              <w:jc w:val="right"/>
              <w:spacing w:after="0" w:line="130" w:lineRule="exact"/>
              <w:rPr>
                <w:sz w:val="20"/>
                <w:szCs w:val="20"/>
                <w:color w:val="auto"/>
              </w:rPr>
            </w:pPr>
            <w:r>
              <w:rPr>
                <w:rFonts w:ascii="Arial" w:cs="Arial" w:eastAsia="Arial" w:hAnsi="Arial"/>
                <w:sz w:val="14"/>
                <w:szCs w:val="14"/>
                <w:color w:val="auto"/>
              </w:rPr>
              <w:t>382,654</w:t>
            </w:r>
          </w:p>
        </w:tc>
        <w:tc>
          <w:tcPr>
            <w:tcW w:w="1060" w:type="dxa"/>
            <w:vAlign w:val="bottom"/>
            <w:gridSpan w:val="3"/>
            <w:shd w:val="clear" w:color="auto" w:fill="CCEEFF"/>
          </w:tcPr>
          <w:p>
            <w:pPr>
              <w:jc w:val="right"/>
              <w:ind w:right="80"/>
              <w:spacing w:after="0" w:line="130" w:lineRule="exact"/>
              <w:rPr>
                <w:sz w:val="20"/>
                <w:szCs w:val="20"/>
                <w:color w:val="auto"/>
              </w:rPr>
            </w:pPr>
            <w:r>
              <w:rPr>
                <w:rFonts w:ascii="Arial" w:cs="Arial" w:eastAsia="Arial" w:hAnsi="Arial"/>
                <w:sz w:val="14"/>
                <w:szCs w:val="14"/>
                <w:color w:val="auto"/>
              </w:rPr>
              <w:t>593,705</w:t>
            </w:r>
          </w:p>
        </w:tc>
        <w:tc>
          <w:tcPr>
            <w:tcW w:w="0" w:type="dxa"/>
            <w:vAlign w:val="bottom"/>
          </w:tcPr>
          <w:p>
            <w:pPr>
              <w:spacing w:after="0"/>
              <w:rPr>
                <w:sz w:val="1"/>
                <w:szCs w:val="1"/>
                <w:color w:val="auto"/>
              </w:rPr>
            </w:pPr>
          </w:p>
        </w:tc>
      </w:tr>
      <w:tr>
        <w:trPr>
          <w:trHeight w:val="167"/>
        </w:trPr>
        <w:tc>
          <w:tcPr>
            <w:tcW w:w="4300" w:type="dxa"/>
            <w:vAlign w:val="bottom"/>
            <w:shd w:val="clear" w:color="auto" w:fill="CCEEFF"/>
          </w:tcPr>
          <w:p>
            <w:pPr>
              <w:ind w:left="160"/>
              <w:spacing w:after="0"/>
              <w:rPr>
                <w:sz w:val="20"/>
                <w:szCs w:val="20"/>
                <w:color w:val="auto"/>
              </w:rPr>
            </w:pPr>
            <w:r>
              <w:rPr>
                <w:rFonts w:ascii="Arial" w:cs="Arial" w:eastAsia="Arial" w:hAnsi="Arial"/>
                <w:sz w:val="14"/>
                <w:szCs w:val="14"/>
                <w:color w:val="auto"/>
              </w:rPr>
              <w:t>(Interactive Health Solutions, Inc.)</w:t>
            </w:r>
          </w:p>
        </w:tc>
        <w:tc>
          <w:tcPr>
            <w:tcW w:w="760" w:type="dxa"/>
            <w:vAlign w:val="bottom"/>
            <w:shd w:val="clear" w:color="auto" w:fill="CCEEFF"/>
          </w:tcPr>
          <w:p>
            <w:pPr>
              <w:spacing w:after="0"/>
              <w:rPr>
                <w:sz w:val="14"/>
                <w:szCs w:val="14"/>
                <w:color w:val="auto"/>
              </w:rPr>
            </w:pPr>
          </w:p>
        </w:tc>
        <w:tc>
          <w:tcPr>
            <w:tcW w:w="14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2"/>
              </w:rPr>
              <w:t>and Childcare</w:t>
            </w:r>
          </w:p>
        </w:tc>
        <w:tc>
          <w:tcPr>
            <w:tcW w:w="8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300" w:type="dxa"/>
            <w:vAlign w:val="bottom"/>
          </w:tcPr>
          <w:p>
            <w:pPr>
              <w:spacing w:after="0" w:line="149" w:lineRule="exact"/>
              <w:rPr>
                <w:sz w:val="20"/>
                <w:szCs w:val="20"/>
                <w:color w:val="auto"/>
              </w:rPr>
            </w:pPr>
            <w:r>
              <w:rPr>
                <w:rFonts w:ascii="Arial" w:cs="Arial" w:eastAsia="Arial" w:hAnsi="Arial"/>
                <w:sz w:val="14"/>
                <w:szCs w:val="14"/>
                <w:color w:val="auto"/>
                <w:w w:val="96"/>
              </w:rPr>
              <w:t>Convergint Technologies Holdings, LLC (Convergint Technologies LLC)</w:t>
            </w:r>
          </w:p>
        </w:tc>
        <w:tc>
          <w:tcPr>
            <w:tcW w:w="760" w:type="dxa"/>
            <w:vAlign w:val="bottom"/>
          </w:tcPr>
          <w:p>
            <w:pPr>
              <w:ind w:left="300"/>
              <w:spacing w:after="0" w:line="149" w:lineRule="exact"/>
              <w:rPr>
                <w:sz w:val="20"/>
                <w:szCs w:val="20"/>
                <w:color w:val="auto"/>
              </w:rPr>
            </w:pPr>
            <w:r>
              <w:rPr>
                <w:rFonts w:ascii="Arial" w:cs="Arial" w:eastAsia="Arial" w:hAnsi="Arial"/>
                <w:sz w:val="14"/>
                <w:szCs w:val="14"/>
                <w:color w:val="auto"/>
              </w:rPr>
              <w:t>—</w:t>
            </w:r>
          </w:p>
        </w:tc>
        <w:tc>
          <w:tcPr>
            <w:tcW w:w="1460" w:type="dxa"/>
            <w:vAlign w:val="bottom"/>
          </w:tcPr>
          <w:p>
            <w:pPr>
              <w:jc w:val="center"/>
              <w:spacing w:after="0" w:line="149" w:lineRule="exact"/>
              <w:rPr>
                <w:sz w:val="20"/>
                <w:szCs w:val="20"/>
                <w:color w:val="auto"/>
              </w:rPr>
            </w:pPr>
            <w:r>
              <w:rPr>
                <w:rFonts w:ascii="Arial" w:cs="Arial" w:eastAsia="Arial" w:hAnsi="Arial"/>
                <w:sz w:val="14"/>
                <w:szCs w:val="14"/>
                <w:color w:val="auto"/>
                <w:w w:val="93"/>
              </w:rPr>
              <w:t>Electronics</w:t>
            </w: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8.00%</w:t>
            </w:r>
          </w:p>
        </w:tc>
        <w:tc>
          <w:tcPr>
            <w:tcW w:w="200" w:type="dxa"/>
            <w:vAlign w:val="bottom"/>
          </w:tcPr>
          <w:p>
            <w:pPr>
              <w:spacing w:after="0"/>
              <w:rPr>
                <w:sz w:val="12"/>
                <w:szCs w:val="12"/>
                <w:color w:val="auto"/>
              </w:rPr>
            </w:pPr>
          </w:p>
        </w:tc>
        <w:tc>
          <w:tcPr>
            <w:tcW w:w="840" w:type="dxa"/>
            <w:vAlign w:val="bottom"/>
          </w:tcPr>
          <w:p>
            <w:pPr>
              <w:ind w:left="540"/>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2,375</w:t>
            </w:r>
          </w:p>
        </w:tc>
        <w:tc>
          <w:tcPr>
            <w:tcW w:w="9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2,375,000</w:t>
            </w:r>
          </w:p>
        </w:tc>
        <w:tc>
          <w:tcPr>
            <w:tcW w:w="106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rPr>
              <w:t>2,584,106</w:t>
            </w:r>
          </w:p>
        </w:tc>
        <w:tc>
          <w:tcPr>
            <w:tcW w:w="0" w:type="dxa"/>
            <w:vAlign w:val="bottom"/>
          </w:tcPr>
          <w:p>
            <w:pPr>
              <w:spacing w:after="0"/>
              <w:rPr>
                <w:sz w:val="1"/>
                <w:szCs w:val="1"/>
                <w:color w:val="auto"/>
              </w:rPr>
            </w:pPr>
          </w:p>
        </w:tc>
      </w:tr>
      <w:tr>
        <w:trPr>
          <w:trHeight w:val="148"/>
        </w:trPr>
        <w:tc>
          <w:tcPr>
            <w:tcW w:w="43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CT Technologies Holdings, LLC</w:t>
            </w:r>
          </w:p>
        </w:tc>
        <w:tc>
          <w:tcPr>
            <w:tcW w:w="760" w:type="dxa"/>
            <w:vAlign w:val="bottom"/>
            <w:shd w:val="clear" w:color="auto" w:fill="CCEEFF"/>
          </w:tcPr>
          <w:p>
            <w:pPr>
              <w:ind w:left="300"/>
              <w:spacing w:after="0" w:line="149" w:lineRule="exact"/>
              <w:rPr>
                <w:sz w:val="20"/>
                <w:szCs w:val="20"/>
                <w:color w:val="auto"/>
              </w:rPr>
            </w:pPr>
            <w:r>
              <w:rPr>
                <w:rFonts w:ascii="Arial" w:cs="Arial" w:eastAsia="Arial" w:hAnsi="Arial"/>
                <w:sz w:val="14"/>
                <w:szCs w:val="14"/>
                <w:color w:val="auto"/>
              </w:rPr>
              <w:t>—</w:t>
            </w:r>
          </w:p>
        </w:tc>
        <w:tc>
          <w:tcPr>
            <w:tcW w:w="146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0"/>
              </w:rPr>
              <w:t>Business Services</w:t>
            </w: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9.00%</w:t>
            </w:r>
          </w:p>
        </w:tc>
        <w:tc>
          <w:tcPr>
            <w:tcW w:w="200" w:type="dxa"/>
            <w:vAlign w:val="bottom"/>
            <w:shd w:val="clear" w:color="auto" w:fill="CCEEFF"/>
          </w:tcPr>
          <w:p>
            <w:pPr>
              <w:spacing w:after="0"/>
              <w:rPr>
                <w:sz w:val="12"/>
                <w:szCs w:val="12"/>
                <w:color w:val="auto"/>
              </w:rPr>
            </w:pPr>
          </w:p>
        </w:tc>
        <w:tc>
          <w:tcPr>
            <w:tcW w:w="840" w:type="dxa"/>
            <w:vAlign w:val="bottom"/>
            <w:shd w:val="clear" w:color="auto" w:fill="CCEEFF"/>
          </w:tcPr>
          <w:p>
            <w:pPr>
              <w:ind w:left="540"/>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326,215</w:t>
            </w:r>
          </w:p>
        </w:tc>
        <w:tc>
          <w:tcPr>
            <w:tcW w:w="9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326,215</w:t>
            </w:r>
          </w:p>
        </w:tc>
        <w:tc>
          <w:tcPr>
            <w:tcW w:w="106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326,215</w:t>
            </w:r>
          </w:p>
        </w:tc>
        <w:tc>
          <w:tcPr>
            <w:tcW w:w="0" w:type="dxa"/>
            <w:vAlign w:val="bottom"/>
          </w:tcPr>
          <w:p>
            <w:pPr>
              <w:spacing w:after="0"/>
              <w:rPr>
                <w:sz w:val="1"/>
                <w:szCs w:val="1"/>
                <w:color w:val="auto"/>
              </w:rPr>
            </w:pPr>
          </w:p>
        </w:tc>
      </w:tr>
      <w:tr>
        <w:trPr>
          <w:trHeight w:val="149"/>
        </w:trPr>
        <w:tc>
          <w:tcPr>
            <w:tcW w:w="4300" w:type="dxa"/>
            <w:vAlign w:val="bottom"/>
          </w:tcPr>
          <w:p>
            <w:pPr>
              <w:spacing w:after="0" w:line="149" w:lineRule="exact"/>
              <w:rPr>
                <w:sz w:val="20"/>
                <w:szCs w:val="20"/>
                <w:color w:val="auto"/>
              </w:rPr>
            </w:pPr>
            <w:r>
              <w:rPr>
                <w:rFonts w:ascii="Arial" w:cs="Arial" w:eastAsia="Arial" w:hAnsi="Arial"/>
                <w:sz w:val="14"/>
                <w:szCs w:val="14"/>
                <w:color w:val="auto"/>
              </w:rPr>
              <w:t>HW Topco, Inc.</w:t>
            </w:r>
          </w:p>
        </w:tc>
        <w:tc>
          <w:tcPr>
            <w:tcW w:w="760" w:type="dxa"/>
            <w:vAlign w:val="bottom"/>
          </w:tcPr>
          <w:p>
            <w:pPr>
              <w:spacing w:after="0"/>
              <w:rPr>
                <w:sz w:val="12"/>
                <w:szCs w:val="12"/>
                <w:color w:val="auto"/>
              </w:rPr>
            </w:pPr>
          </w:p>
        </w:tc>
        <w:tc>
          <w:tcPr>
            <w:tcW w:w="1460" w:type="dxa"/>
            <w:vAlign w:val="bottom"/>
          </w:tcPr>
          <w:p>
            <w:pPr>
              <w:jc w:val="center"/>
              <w:spacing w:after="0" w:line="149" w:lineRule="exact"/>
              <w:rPr>
                <w:sz w:val="20"/>
                <w:szCs w:val="20"/>
                <w:color w:val="auto"/>
              </w:rPr>
            </w:pPr>
            <w:r>
              <w:rPr>
                <w:rFonts w:ascii="Arial" w:cs="Arial" w:eastAsia="Arial" w:hAnsi="Arial"/>
                <w:sz w:val="14"/>
                <w:szCs w:val="14"/>
                <w:color w:val="auto"/>
                <w:w w:val="93"/>
              </w:rPr>
              <w:t>Other Media</w:t>
            </w: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8.00%</w:t>
            </w:r>
          </w:p>
        </w:tc>
        <w:tc>
          <w:tcPr>
            <w:tcW w:w="200" w:type="dxa"/>
            <w:vAlign w:val="bottom"/>
          </w:tcPr>
          <w:p>
            <w:pPr>
              <w:spacing w:after="0"/>
              <w:rPr>
                <w:sz w:val="12"/>
                <w:szCs w:val="12"/>
                <w:color w:val="auto"/>
              </w:rPr>
            </w:pPr>
          </w:p>
        </w:tc>
        <w:tc>
          <w:tcPr>
            <w:tcW w:w="840" w:type="dxa"/>
            <w:vAlign w:val="bottom"/>
          </w:tcPr>
          <w:p>
            <w:pPr>
              <w:ind w:left="540"/>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3,591</w:t>
            </w:r>
          </w:p>
        </w:tc>
        <w:tc>
          <w:tcPr>
            <w:tcW w:w="9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24,177</w:t>
            </w:r>
          </w:p>
        </w:tc>
        <w:tc>
          <w:tcPr>
            <w:tcW w:w="106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rPr>
              <w:t>35,091</w:t>
            </w:r>
          </w:p>
        </w:tc>
        <w:tc>
          <w:tcPr>
            <w:tcW w:w="0" w:type="dxa"/>
            <w:vAlign w:val="bottom"/>
          </w:tcPr>
          <w:p>
            <w:pPr>
              <w:spacing w:after="0"/>
              <w:rPr>
                <w:sz w:val="1"/>
                <w:szCs w:val="1"/>
                <w:color w:val="auto"/>
              </w:rPr>
            </w:pPr>
          </w:p>
        </w:tc>
      </w:tr>
      <w:tr>
        <w:trPr>
          <w:trHeight w:val="148"/>
        </w:trPr>
        <w:tc>
          <w:tcPr>
            <w:tcW w:w="43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TZ Holdings, L.P., Series A</w:t>
            </w:r>
          </w:p>
        </w:tc>
        <w:tc>
          <w:tcPr>
            <w:tcW w:w="760" w:type="dxa"/>
            <w:vAlign w:val="bottom"/>
            <w:shd w:val="clear" w:color="auto" w:fill="CCEEFF"/>
          </w:tcPr>
          <w:p>
            <w:pPr>
              <w:spacing w:after="0"/>
              <w:rPr>
                <w:sz w:val="12"/>
                <w:szCs w:val="12"/>
                <w:color w:val="auto"/>
              </w:rPr>
            </w:pPr>
          </w:p>
        </w:tc>
        <w:tc>
          <w:tcPr>
            <w:tcW w:w="146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1"/>
              </w:rPr>
              <w:t>Insurance</w:t>
            </w:r>
          </w:p>
        </w:tc>
        <w:tc>
          <w:tcPr>
            <w:tcW w:w="840" w:type="dxa"/>
            <w:vAlign w:val="bottom"/>
            <w:shd w:val="clear" w:color="auto" w:fill="CCEEFF"/>
          </w:tcPr>
          <w:p>
            <w:pPr>
              <w:jc w:val="right"/>
              <w:ind w:right="148"/>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840" w:type="dxa"/>
            <w:vAlign w:val="bottom"/>
            <w:shd w:val="clear" w:color="auto" w:fill="CCEEFF"/>
          </w:tcPr>
          <w:p>
            <w:pPr>
              <w:ind w:left="540"/>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686</w:t>
            </w:r>
          </w:p>
        </w:tc>
        <w:tc>
          <w:tcPr>
            <w:tcW w:w="9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685,820</w:t>
            </w:r>
          </w:p>
        </w:tc>
        <w:tc>
          <w:tcPr>
            <w:tcW w:w="106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685,820</w:t>
            </w:r>
          </w:p>
        </w:tc>
        <w:tc>
          <w:tcPr>
            <w:tcW w:w="0" w:type="dxa"/>
            <w:vAlign w:val="bottom"/>
          </w:tcPr>
          <w:p>
            <w:pPr>
              <w:spacing w:after="0"/>
              <w:rPr>
                <w:sz w:val="1"/>
                <w:szCs w:val="1"/>
                <w:color w:val="auto"/>
              </w:rPr>
            </w:pPr>
          </w:p>
        </w:tc>
      </w:tr>
      <w:tr>
        <w:trPr>
          <w:trHeight w:val="148"/>
        </w:trPr>
        <w:tc>
          <w:tcPr>
            <w:tcW w:w="4300" w:type="dxa"/>
            <w:vAlign w:val="bottom"/>
          </w:tcPr>
          <w:p>
            <w:pPr>
              <w:spacing w:after="0" w:line="149" w:lineRule="exact"/>
              <w:rPr>
                <w:sz w:val="20"/>
                <w:szCs w:val="20"/>
                <w:color w:val="auto"/>
              </w:rPr>
            </w:pPr>
            <w:r>
              <w:rPr>
                <w:rFonts w:ascii="Arial" w:cs="Arial" w:eastAsia="Arial" w:hAnsi="Arial"/>
                <w:sz w:val="14"/>
                <w:szCs w:val="14"/>
                <w:color w:val="auto"/>
              </w:rPr>
              <w:t>TZ Holdings, L.P., Series B</w:t>
            </w:r>
          </w:p>
        </w:tc>
        <w:tc>
          <w:tcPr>
            <w:tcW w:w="760" w:type="dxa"/>
            <w:vAlign w:val="bottom"/>
          </w:tcPr>
          <w:p>
            <w:pPr>
              <w:spacing w:after="0"/>
              <w:rPr>
                <w:sz w:val="12"/>
                <w:szCs w:val="12"/>
                <w:color w:val="auto"/>
              </w:rPr>
            </w:pPr>
          </w:p>
        </w:tc>
        <w:tc>
          <w:tcPr>
            <w:tcW w:w="1460" w:type="dxa"/>
            <w:vAlign w:val="bottom"/>
          </w:tcPr>
          <w:p>
            <w:pPr>
              <w:jc w:val="center"/>
              <w:spacing w:after="0" w:line="149" w:lineRule="exact"/>
              <w:rPr>
                <w:sz w:val="20"/>
                <w:szCs w:val="20"/>
                <w:color w:val="auto"/>
              </w:rPr>
            </w:pPr>
            <w:r>
              <w:rPr>
                <w:rFonts w:ascii="Arial" w:cs="Arial" w:eastAsia="Arial" w:hAnsi="Arial"/>
                <w:sz w:val="14"/>
                <w:szCs w:val="14"/>
                <w:color w:val="auto"/>
                <w:w w:val="91"/>
              </w:rPr>
              <w:t>Insurance</w:t>
            </w: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6.50%</w:t>
            </w:r>
          </w:p>
        </w:tc>
        <w:tc>
          <w:tcPr>
            <w:tcW w:w="200" w:type="dxa"/>
            <w:vAlign w:val="bottom"/>
          </w:tcPr>
          <w:p>
            <w:pPr>
              <w:spacing w:after="0"/>
              <w:rPr>
                <w:sz w:val="12"/>
                <w:szCs w:val="12"/>
                <w:color w:val="auto"/>
              </w:rPr>
            </w:pPr>
          </w:p>
        </w:tc>
        <w:tc>
          <w:tcPr>
            <w:tcW w:w="840" w:type="dxa"/>
            <w:vAlign w:val="bottom"/>
          </w:tcPr>
          <w:p>
            <w:pPr>
              <w:ind w:left="540"/>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1,312</w:t>
            </w:r>
          </w:p>
        </w:tc>
        <w:tc>
          <w:tcPr>
            <w:tcW w:w="9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1,312,006</w:t>
            </w:r>
          </w:p>
        </w:tc>
        <w:tc>
          <w:tcPr>
            <w:tcW w:w="106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rPr>
              <w:t>862,664</w:t>
            </w:r>
          </w:p>
        </w:tc>
        <w:tc>
          <w:tcPr>
            <w:tcW w:w="0" w:type="dxa"/>
            <w:vAlign w:val="bottom"/>
          </w:tcPr>
          <w:p>
            <w:pPr>
              <w:spacing w:after="0"/>
              <w:rPr>
                <w:sz w:val="1"/>
                <w:szCs w:val="1"/>
                <w:color w:val="auto"/>
              </w:rPr>
            </w:pPr>
          </w:p>
        </w:tc>
      </w:tr>
      <w:tr>
        <w:trPr>
          <w:trHeight w:val="130"/>
        </w:trPr>
        <w:tc>
          <w:tcPr>
            <w:tcW w:w="430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VRide Holdings, Inc.</w:t>
            </w:r>
          </w:p>
        </w:tc>
        <w:tc>
          <w:tcPr>
            <w:tcW w:w="760" w:type="dxa"/>
            <w:vAlign w:val="bottom"/>
            <w:shd w:val="clear" w:color="auto" w:fill="CCEEFF"/>
          </w:tcPr>
          <w:p>
            <w:pPr>
              <w:spacing w:after="0"/>
              <w:rPr>
                <w:sz w:val="11"/>
                <w:szCs w:val="11"/>
                <w:color w:val="auto"/>
              </w:rPr>
            </w:pPr>
          </w:p>
        </w:tc>
        <w:tc>
          <w:tcPr>
            <w:tcW w:w="1460" w:type="dxa"/>
            <w:vAlign w:val="bottom"/>
            <w:shd w:val="clear" w:color="auto" w:fill="CCEEFF"/>
          </w:tcPr>
          <w:p>
            <w:pPr>
              <w:jc w:val="center"/>
              <w:spacing w:after="0" w:line="130" w:lineRule="exact"/>
              <w:rPr>
                <w:sz w:val="20"/>
                <w:szCs w:val="20"/>
                <w:color w:val="auto"/>
              </w:rPr>
            </w:pPr>
            <w:r>
              <w:rPr>
                <w:rFonts w:ascii="Arial" w:cs="Arial" w:eastAsia="Arial" w:hAnsi="Arial"/>
                <w:sz w:val="14"/>
                <w:szCs w:val="14"/>
                <w:color w:val="auto"/>
                <w:w w:val="86"/>
              </w:rPr>
              <w:t>Personal</w:t>
            </w:r>
          </w:p>
        </w:tc>
        <w:tc>
          <w:tcPr>
            <w:tcW w:w="840" w:type="dxa"/>
            <w:vAlign w:val="bottom"/>
            <w:shd w:val="clear" w:color="auto" w:fill="CCEEFF"/>
          </w:tcPr>
          <w:p>
            <w:pPr>
              <w:jc w:val="right"/>
              <w:spacing w:after="0" w:line="130" w:lineRule="exact"/>
              <w:rPr>
                <w:sz w:val="20"/>
                <w:szCs w:val="20"/>
                <w:color w:val="auto"/>
              </w:rPr>
            </w:pPr>
            <w:r>
              <w:rPr>
                <w:rFonts w:ascii="Arial" w:cs="Arial" w:eastAsia="Arial" w:hAnsi="Arial"/>
                <w:sz w:val="14"/>
                <w:szCs w:val="14"/>
                <w:color w:val="auto"/>
              </w:rPr>
              <w:t>8.00%</w:t>
            </w:r>
          </w:p>
        </w:tc>
        <w:tc>
          <w:tcPr>
            <w:tcW w:w="200" w:type="dxa"/>
            <w:vAlign w:val="bottom"/>
            <w:shd w:val="clear" w:color="auto" w:fill="CCEEFF"/>
          </w:tcPr>
          <w:p>
            <w:pPr>
              <w:spacing w:after="0"/>
              <w:rPr>
                <w:sz w:val="11"/>
                <w:szCs w:val="11"/>
                <w:color w:val="auto"/>
              </w:rPr>
            </w:pPr>
          </w:p>
        </w:tc>
        <w:tc>
          <w:tcPr>
            <w:tcW w:w="840" w:type="dxa"/>
            <w:vAlign w:val="bottom"/>
            <w:shd w:val="clear" w:color="auto" w:fill="CCEEFF"/>
          </w:tcPr>
          <w:p>
            <w:pPr>
              <w:ind w:left="540"/>
              <w:spacing w:after="0" w:line="130" w:lineRule="exact"/>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jc w:val="right"/>
              <w:ind w:right="120"/>
              <w:spacing w:after="0" w:line="130" w:lineRule="exact"/>
              <w:rPr>
                <w:sz w:val="20"/>
                <w:szCs w:val="20"/>
                <w:color w:val="auto"/>
              </w:rPr>
            </w:pPr>
            <w:r>
              <w:rPr>
                <w:rFonts w:ascii="Arial" w:cs="Arial" w:eastAsia="Arial" w:hAnsi="Arial"/>
                <w:sz w:val="14"/>
                <w:szCs w:val="14"/>
                <w:color w:val="auto"/>
              </w:rPr>
              <w:t>1,824,167</w:t>
            </w:r>
          </w:p>
        </w:tc>
        <w:tc>
          <w:tcPr>
            <w:tcW w:w="920" w:type="dxa"/>
            <w:vAlign w:val="bottom"/>
            <w:gridSpan w:val="2"/>
            <w:shd w:val="clear" w:color="auto" w:fill="CCEEFF"/>
          </w:tcPr>
          <w:p>
            <w:pPr>
              <w:jc w:val="right"/>
              <w:spacing w:after="0" w:line="130" w:lineRule="exact"/>
              <w:rPr>
                <w:sz w:val="20"/>
                <w:szCs w:val="20"/>
                <w:color w:val="auto"/>
              </w:rPr>
            </w:pPr>
            <w:r>
              <w:rPr>
                <w:rFonts w:ascii="Arial" w:cs="Arial" w:eastAsia="Arial" w:hAnsi="Arial"/>
                <w:sz w:val="14"/>
                <w:szCs w:val="14"/>
                <w:color w:val="auto"/>
              </w:rPr>
              <w:t>1,824,167</w:t>
            </w:r>
          </w:p>
        </w:tc>
        <w:tc>
          <w:tcPr>
            <w:tcW w:w="1060" w:type="dxa"/>
            <w:vAlign w:val="bottom"/>
            <w:gridSpan w:val="3"/>
            <w:shd w:val="clear" w:color="auto" w:fill="CCEEFF"/>
          </w:tcPr>
          <w:p>
            <w:pPr>
              <w:jc w:val="right"/>
              <w:ind w:right="80"/>
              <w:spacing w:after="0" w:line="130" w:lineRule="exact"/>
              <w:rPr>
                <w:sz w:val="20"/>
                <w:szCs w:val="20"/>
                <w:color w:val="auto"/>
              </w:rPr>
            </w:pPr>
            <w:r>
              <w:rPr>
                <w:rFonts w:ascii="Arial" w:cs="Arial" w:eastAsia="Arial" w:hAnsi="Arial"/>
                <w:sz w:val="14"/>
                <w:szCs w:val="14"/>
                <w:color w:val="auto"/>
              </w:rPr>
              <w:t>156,029</w:t>
            </w:r>
          </w:p>
        </w:tc>
        <w:tc>
          <w:tcPr>
            <w:tcW w:w="0" w:type="dxa"/>
            <w:vAlign w:val="bottom"/>
          </w:tcPr>
          <w:p>
            <w:pPr>
              <w:spacing w:after="0"/>
              <w:rPr>
                <w:sz w:val="1"/>
                <w:szCs w:val="1"/>
                <w:color w:val="auto"/>
              </w:rPr>
            </w:pPr>
          </w:p>
        </w:tc>
      </w:tr>
      <w:tr>
        <w:trPr>
          <w:trHeight w:val="167"/>
        </w:trPr>
        <w:tc>
          <w:tcPr>
            <w:tcW w:w="430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4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3"/>
              </w:rPr>
              <w:t>Transportation</w:t>
            </w:r>
          </w:p>
        </w:tc>
        <w:tc>
          <w:tcPr>
            <w:tcW w:w="8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tcBorders>
              <w:bottom w:val="single" w:sz="8" w:color="auto"/>
            </w:tcBorders>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20" w:type="dxa"/>
            <w:vAlign w:val="bottom"/>
            <w:tcBorders>
              <w:bottom w:val="single" w:sz="8" w:color="auto"/>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63"/>
        </w:trPr>
        <w:tc>
          <w:tcPr>
            <w:tcW w:w="4300" w:type="dxa"/>
            <w:vAlign w:val="bottom"/>
          </w:tcPr>
          <w:p>
            <w:pPr>
              <w:spacing w:after="0"/>
              <w:rPr>
                <w:sz w:val="20"/>
                <w:szCs w:val="20"/>
                <w:color w:val="auto"/>
              </w:rPr>
            </w:pPr>
            <w:r>
              <w:rPr>
                <w:rFonts w:ascii="Arial" w:cs="Arial" w:eastAsia="Arial" w:hAnsi="Arial"/>
                <w:sz w:val="14"/>
                <w:szCs w:val="14"/>
                <w:b w:val="1"/>
                <w:bCs w:val="1"/>
                <w:color w:val="auto"/>
              </w:rPr>
              <w:t>Total Preferred Equity/Partnership Interests</w:t>
            </w:r>
          </w:p>
        </w:tc>
        <w:tc>
          <w:tcPr>
            <w:tcW w:w="760" w:type="dxa"/>
            <w:vAlign w:val="bottom"/>
          </w:tcPr>
          <w:p>
            <w:pPr>
              <w:spacing w:after="0"/>
              <w:rPr>
                <w:sz w:val="22"/>
                <w:szCs w:val="22"/>
                <w:color w:val="auto"/>
              </w:rPr>
            </w:pPr>
          </w:p>
        </w:tc>
        <w:tc>
          <w:tcPr>
            <w:tcW w:w="146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9,463,292</w:t>
            </w:r>
          </w:p>
        </w:tc>
        <w:tc>
          <w:tcPr>
            <w:tcW w:w="160" w:type="dxa"/>
            <w:vAlign w:val="bottom"/>
          </w:tcPr>
          <w:p>
            <w:pPr>
              <w:spacing w:after="0"/>
              <w:rPr>
                <w:sz w:val="22"/>
                <w:szCs w:val="22"/>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8,051,870</w:t>
            </w: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240"/>
          </w:cols>
          <w:pgMar w:left="320" w:top="459" w:right="3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left="340" w:right="2720"/>
        <w:spacing w:after="0" w:line="266" w:lineRule="auto"/>
        <w:rPr>
          <w:sz w:val="20"/>
          <w:szCs w:val="20"/>
          <w:color w:val="auto"/>
        </w:rPr>
      </w:pPr>
      <w:r>
        <w:rPr>
          <w:rFonts w:ascii="Arial" w:cs="Arial" w:eastAsia="Arial" w:hAnsi="Arial"/>
          <w:sz w:val="18"/>
          <w:szCs w:val="18"/>
          <w:b w:val="1"/>
          <w:bCs w:val="1"/>
          <w:color w:val="auto"/>
        </w:rPr>
        <w:t>PENNANTPARK INVESTMENT CORPORATION AND SUBSIDIARIES CONSOLIDATED SCHEDULE OF INVESTMENTS—(Continued) SEPTEMBER 30, 2013</w:t>
      </w:r>
    </w:p>
    <w:p>
      <w:pPr>
        <w:spacing w:after="0" w:line="9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5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80" w:type="dxa"/>
            <w:vAlign w:val="bottom"/>
          </w:tcPr>
          <w:p>
            <w:pPr>
              <w:jc w:val="center"/>
              <w:spacing w:after="0"/>
              <w:rPr>
                <w:sz w:val="20"/>
                <w:szCs w:val="20"/>
                <w:color w:val="auto"/>
              </w:rPr>
            </w:pPr>
            <w:r>
              <w:rPr>
                <w:rFonts w:ascii="Arial" w:cs="Arial" w:eastAsia="Arial" w:hAnsi="Arial"/>
                <w:sz w:val="14"/>
                <w:szCs w:val="14"/>
                <w:b w:val="1"/>
                <w:bCs w:val="1"/>
                <w:color w:val="auto"/>
                <w:w w:val="89"/>
              </w:rPr>
              <w:t>Basis Point</w:t>
            </w: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45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64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Current</w:t>
            </w:r>
          </w:p>
        </w:tc>
        <w:tc>
          <w:tcPr>
            <w:tcW w:w="8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Spread</w:t>
            </w:r>
          </w:p>
        </w:tc>
        <w:tc>
          <w:tcPr>
            <w:tcW w:w="860" w:type="dxa"/>
            <w:vAlign w:val="bottom"/>
            <w:gridSpan w:val="2"/>
            <w:vMerge w:val="restart"/>
          </w:tcPr>
          <w:p>
            <w:pPr>
              <w:jc w:val="center"/>
              <w:ind w:right="80"/>
              <w:spacing w:after="0"/>
              <w:rPr>
                <w:sz w:val="20"/>
                <w:szCs w:val="20"/>
                <w:color w:val="auto"/>
              </w:rPr>
            </w:pPr>
            <w:r>
              <w:rPr>
                <w:rFonts w:ascii="Arial" w:cs="Arial" w:eastAsia="Arial" w:hAnsi="Arial"/>
                <w:sz w:val="14"/>
                <w:szCs w:val="14"/>
                <w:b w:val="1"/>
                <w:bCs w:val="1"/>
                <w:color w:val="auto"/>
                <w:w w:val="98"/>
              </w:rPr>
              <w:t>Par /</w:t>
            </w: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580" w:type="dxa"/>
            <w:vAlign w:val="bottom"/>
            <w:vMerge w:val="restart"/>
          </w:tcPr>
          <w:p>
            <w:pPr>
              <w:spacing w:after="0"/>
              <w:rPr>
                <w:sz w:val="20"/>
                <w:szCs w:val="20"/>
                <w:color w:val="auto"/>
              </w:rPr>
            </w:pPr>
            <w:r>
              <w:rPr>
                <w:rFonts w:ascii="Arial" w:cs="Arial" w:eastAsia="Arial" w:hAnsi="Arial"/>
                <w:sz w:val="14"/>
                <w:szCs w:val="14"/>
                <w:b w:val="1"/>
                <w:bCs w:val="1"/>
                <w:color w:val="auto"/>
              </w:rPr>
              <w:t>Issuer Name</w:t>
            </w:r>
          </w:p>
        </w:tc>
        <w:tc>
          <w:tcPr>
            <w:tcW w:w="760" w:type="dxa"/>
            <w:vAlign w:val="bottom"/>
            <w:vMerge w:val="restart"/>
          </w:tcPr>
          <w:p>
            <w:pPr>
              <w:ind w:left="100"/>
              <w:spacing w:after="0"/>
              <w:rPr>
                <w:sz w:val="20"/>
                <w:szCs w:val="20"/>
                <w:color w:val="auto"/>
              </w:rPr>
            </w:pPr>
            <w:r>
              <w:rPr>
                <w:rFonts w:ascii="Arial" w:cs="Arial" w:eastAsia="Arial" w:hAnsi="Arial"/>
                <w:sz w:val="14"/>
                <w:szCs w:val="14"/>
                <w:b w:val="1"/>
                <w:bCs w:val="1"/>
                <w:color w:val="auto"/>
              </w:rPr>
              <w:t>Maturity</w:t>
            </w:r>
          </w:p>
        </w:tc>
        <w:tc>
          <w:tcPr>
            <w:tcW w:w="16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7"/>
              </w:rPr>
              <w:t>Industry</w:t>
            </w:r>
          </w:p>
        </w:tc>
        <w:tc>
          <w:tcPr>
            <w:tcW w:w="640" w:type="dxa"/>
            <w:vAlign w:val="bottom"/>
            <w:vMerge w:val="continue"/>
          </w:tcPr>
          <w:p>
            <w:pPr>
              <w:spacing w:after="0"/>
              <w:rPr>
                <w:sz w:val="12"/>
                <w:szCs w:val="12"/>
                <w:color w:val="auto"/>
              </w:rPr>
            </w:pPr>
          </w:p>
        </w:tc>
        <w:tc>
          <w:tcPr>
            <w:tcW w:w="8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Above</w:t>
            </w:r>
          </w:p>
        </w:tc>
        <w:tc>
          <w:tcPr>
            <w:tcW w:w="860" w:type="dxa"/>
            <w:vAlign w:val="bottom"/>
            <w:gridSpan w:val="2"/>
            <w:vMerge w:val="continue"/>
          </w:tcPr>
          <w:p>
            <w:pPr>
              <w:spacing w:after="0"/>
              <w:rPr>
                <w:sz w:val="12"/>
                <w:szCs w:val="12"/>
                <w:color w:val="auto"/>
              </w:rPr>
            </w:pPr>
          </w:p>
        </w:tc>
        <w:tc>
          <w:tcPr>
            <w:tcW w:w="900" w:type="dxa"/>
            <w:vAlign w:val="bottom"/>
            <w:gridSpan w:val="2"/>
            <w:vMerge w:val="restart"/>
          </w:tcPr>
          <w:p>
            <w:pPr>
              <w:jc w:val="right"/>
              <w:ind w:right="340"/>
              <w:spacing w:after="0"/>
              <w:rPr>
                <w:sz w:val="20"/>
                <w:szCs w:val="20"/>
                <w:color w:val="auto"/>
              </w:rPr>
            </w:pPr>
            <w:r>
              <w:rPr>
                <w:rFonts w:ascii="Arial" w:cs="Arial" w:eastAsia="Arial" w:hAnsi="Arial"/>
                <w:sz w:val="14"/>
                <w:szCs w:val="14"/>
                <w:b w:val="1"/>
                <w:bCs w:val="1"/>
                <w:color w:val="auto"/>
              </w:rPr>
              <w:t>Cost</w:t>
            </w:r>
          </w:p>
        </w:tc>
        <w:tc>
          <w:tcPr>
            <w:tcW w:w="100" w:type="dxa"/>
            <w:vAlign w:val="bottom"/>
          </w:tcPr>
          <w:p>
            <w:pPr>
              <w:spacing w:after="0"/>
              <w:rPr>
                <w:sz w:val="12"/>
                <w:szCs w:val="12"/>
                <w:color w:val="auto"/>
              </w:rPr>
            </w:pPr>
          </w:p>
        </w:tc>
        <w:tc>
          <w:tcPr>
            <w:tcW w:w="9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 xml:space="preserve">Fair Value </w:t>
            </w:r>
            <w:r>
              <w:rPr>
                <w:rFonts w:ascii="Arial" w:cs="Arial" w:eastAsia="Arial" w:hAnsi="Arial"/>
                <w:sz w:val="12"/>
                <w:szCs w:val="12"/>
                <w:b w:val="1"/>
                <w:bCs w:val="1"/>
                <w:color w:val="auto"/>
              </w:rPr>
              <w:t>(3)</w:t>
            </w:r>
          </w:p>
        </w:tc>
        <w:tc>
          <w:tcPr>
            <w:tcW w:w="0" w:type="dxa"/>
            <w:vAlign w:val="bottom"/>
          </w:tcPr>
          <w:p>
            <w:pPr>
              <w:spacing w:after="0"/>
              <w:rPr>
                <w:sz w:val="1"/>
                <w:szCs w:val="1"/>
                <w:color w:val="auto"/>
              </w:rPr>
            </w:pPr>
          </w:p>
        </w:tc>
      </w:tr>
      <w:tr>
        <w:trPr>
          <w:trHeight w:val="171"/>
        </w:trPr>
        <w:tc>
          <w:tcPr>
            <w:tcW w:w="4580" w:type="dxa"/>
            <w:vAlign w:val="bottom"/>
            <w:vMerge w:val="continue"/>
          </w:tcPr>
          <w:p>
            <w:pPr>
              <w:spacing w:after="0"/>
              <w:rPr>
                <w:sz w:val="14"/>
                <w:szCs w:val="14"/>
                <w:color w:val="auto"/>
              </w:rPr>
            </w:pPr>
          </w:p>
        </w:tc>
        <w:tc>
          <w:tcPr>
            <w:tcW w:w="760" w:type="dxa"/>
            <w:vAlign w:val="bottom"/>
            <w:vMerge w:val="continue"/>
          </w:tcPr>
          <w:p>
            <w:pPr>
              <w:spacing w:after="0"/>
              <w:rPr>
                <w:sz w:val="14"/>
                <w:szCs w:val="14"/>
                <w:color w:val="auto"/>
              </w:rPr>
            </w:pPr>
          </w:p>
        </w:tc>
        <w:tc>
          <w:tcPr>
            <w:tcW w:w="1620" w:type="dxa"/>
            <w:vAlign w:val="bottom"/>
            <w:vMerge w:val="continue"/>
          </w:tcPr>
          <w:p>
            <w:pPr>
              <w:spacing w:after="0"/>
              <w:rPr>
                <w:sz w:val="14"/>
                <w:szCs w:val="14"/>
                <w:color w:val="auto"/>
              </w:rPr>
            </w:pPr>
          </w:p>
        </w:tc>
        <w:tc>
          <w:tcPr>
            <w:tcW w:w="640" w:type="dxa"/>
            <w:vAlign w:val="bottom"/>
          </w:tcPr>
          <w:p>
            <w:pPr>
              <w:ind w:left="60"/>
              <w:spacing w:after="0"/>
              <w:rPr>
                <w:sz w:val="20"/>
                <w:szCs w:val="20"/>
                <w:color w:val="auto"/>
              </w:rPr>
            </w:pPr>
            <w:r>
              <w:rPr>
                <w:rFonts w:ascii="Arial" w:cs="Arial" w:eastAsia="Arial" w:hAnsi="Arial"/>
                <w:sz w:val="14"/>
                <w:szCs w:val="14"/>
                <w:b w:val="1"/>
                <w:bCs w:val="1"/>
                <w:color w:val="auto"/>
              </w:rPr>
              <w:t>Coupon</w:t>
            </w:r>
          </w:p>
        </w:tc>
        <w:tc>
          <w:tcPr>
            <w:tcW w:w="880" w:type="dxa"/>
            <w:vAlign w:val="bottom"/>
          </w:tcPr>
          <w:p>
            <w:pPr>
              <w:jc w:val="center"/>
              <w:spacing w:after="0"/>
              <w:rPr>
                <w:sz w:val="20"/>
                <w:szCs w:val="20"/>
                <w:color w:val="auto"/>
              </w:rPr>
            </w:pPr>
            <w:r>
              <w:rPr>
                <w:rFonts w:ascii="Arial" w:cs="Arial" w:eastAsia="Arial" w:hAnsi="Arial"/>
                <w:sz w:val="14"/>
                <w:szCs w:val="14"/>
                <w:b w:val="1"/>
                <w:bCs w:val="1"/>
                <w:color w:val="auto"/>
                <w:w w:val="97"/>
              </w:rPr>
              <w:t xml:space="preserve">Index </w:t>
            </w:r>
            <w:r>
              <w:rPr>
                <w:rFonts w:ascii="Arial" w:cs="Arial" w:eastAsia="Arial" w:hAnsi="Arial"/>
                <w:sz w:val="12"/>
                <w:szCs w:val="12"/>
                <w:b w:val="1"/>
                <w:bCs w:val="1"/>
                <w:color w:val="auto"/>
                <w:w w:val="97"/>
              </w:rPr>
              <w:t>(4)</w:t>
            </w:r>
          </w:p>
        </w:tc>
        <w:tc>
          <w:tcPr>
            <w:tcW w:w="86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89"/>
              </w:rPr>
              <w:t>Shares</w:t>
            </w:r>
          </w:p>
        </w:tc>
        <w:tc>
          <w:tcPr>
            <w:tcW w:w="90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58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Common Equity/Warrants/Partnership Interests—10.1%</w:t>
            </w:r>
            <w:r>
              <w:rPr>
                <w:rFonts w:ascii="Arial" w:cs="Arial" w:eastAsia="Arial" w:hAnsi="Arial"/>
                <w:sz w:val="12"/>
                <w:szCs w:val="12"/>
                <w:b w:val="1"/>
                <w:bCs w:val="1"/>
                <w:color w:val="auto"/>
              </w:rPr>
              <w:t>(6)</w:t>
            </w:r>
          </w:p>
        </w:tc>
        <w:tc>
          <w:tcPr>
            <w:tcW w:w="760" w:type="dxa"/>
            <w:vAlign w:val="bottom"/>
            <w:tcBorders>
              <w:top w:val="single" w:sz="8" w:color="auto"/>
            </w:tcBorders>
            <w:shd w:val="clear" w:color="auto" w:fill="CCEEFF"/>
          </w:tcPr>
          <w:p>
            <w:pPr>
              <w:spacing w:after="0"/>
              <w:rPr>
                <w:sz w:val="12"/>
                <w:szCs w:val="12"/>
                <w:color w:val="auto"/>
              </w:rPr>
            </w:pPr>
          </w:p>
        </w:tc>
        <w:tc>
          <w:tcPr>
            <w:tcW w:w="1620" w:type="dxa"/>
            <w:vAlign w:val="bottom"/>
            <w:tcBorders>
              <w:top w:val="single" w:sz="8" w:color="auto"/>
            </w:tcBorders>
            <w:shd w:val="clear" w:color="auto" w:fill="CCEEFF"/>
          </w:tcPr>
          <w:p>
            <w:pPr>
              <w:spacing w:after="0"/>
              <w:rPr>
                <w:sz w:val="12"/>
                <w:szCs w:val="12"/>
                <w:color w:val="auto"/>
              </w:rPr>
            </w:pPr>
          </w:p>
        </w:tc>
        <w:tc>
          <w:tcPr>
            <w:tcW w:w="640" w:type="dxa"/>
            <w:vAlign w:val="bottom"/>
            <w:tcBorders>
              <w:top w:val="single" w:sz="8" w:color="auto"/>
            </w:tcBorders>
            <w:shd w:val="clear" w:color="auto" w:fill="CCEEFF"/>
          </w:tcPr>
          <w:p>
            <w:pPr>
              <w:spacing w:after="0"/>
              <w:rPr>
                <w:sz w:val="12"/>
                <w:szCs w:val="12"/>
                <w:color w:val="auto"/>
              </w:rPr>
            </w:pPr>
          </w:p>
        </w:tc>
        <w:tc>
          <w:tcPr>
            <w:tcW w:w="880" w:type="dxa"/>
            <w:vAlign w:val="bottom"/>
            <w:tcBorders>
              <w:top w:val="single" w:sz="8" w:color="auto"/>
            </w:tcBorders>
            <w:shd w:val="clear" w:color="auto" w:fill="CCEEFF"/>
          </w:tcPr>
          <w:p>
            <w:pPr>
              <w:spacing w:after="0"/>
              <w:rPr>
                <w:sz w:val="12"/>
                <w:szCs w:val="12"/>
                <w:color w:val="auto"/>
              </w:rPr>
            </w:pPr>
          </w:p>
        </w:tc>
        <w:tc>
          <w:tcPr>
            <w:tcW w:w="700" w:type="dxa"/>
            <w:vAlign w:val="bottom"/>
            <w:tcBorders>
              <w:top w:val="single" w:sz="8" w:color="auto"/>
            </w:tcBorders>
            <w:shd w:val="clear" w:color="auto" w:fill="CCEEFF"/>
          </w:tcPr>
          <w:p>
            <w:pPr>
              <w:spacing w:after="0"/>
              <w:rPr>
                <w:sz w:val="12"/>
                <w:szCs w:val="12"/>
                <w:color w:val="auto"/>
              </w:rPr>
            </w:pPr>
          </w:p>
        </w:tc>
        <w:tc>
          <w:tcPr>
            <w:tcW w:w="160" w:type="dxa"/>
            <w:vAlign w:val="bottom"/>
            <w:tcBorders>
              <w:top w:val="single" w:sz="8" w:color="CCEEFF"/>
            </w:tcBorders>
            <w:shd w:val="clear" w:color="auto" w:fill="CCEEFF"/>
          </w:tcPr>
          <w:p>
            <w:pPr>
              <w:spacing w:after="0"/>
              <w:rPr>
                <w:sz w:val="12"/>
                <w:szCs w:val="12"/>
                <w:color w:val="auto"/>
              </w:rPr>
            </w:pPr>
          </w:p>
        </w:tc>
        <w:tc>
          <w:tcPr>
            <w:tcW w:w="82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82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580" w:type="dxa"/>
            <w:vAlign w:val="bottom"/>
          </w:tcPr>
          <w:p>
            <w:pPr>
              <w:spacing w:after="0" w:line="149" w:lineRule="exact"/>
              <w:rPr>
                <w:sz w:val="20"/>
                <w:szCs w:val="20"/>
                <w:color w:val="auto"/>
              </w:rPr>
            </w:pPr>
            <w:r>
              <w:rPr>
                <w:rFonts w:ascii="Arial" w:cs="Arial" w:eastAsia="Arial" w:hAnsi="Arial"/>
                <w:sz w:val="14"/>
                <w:szCs w:val="14"/>
                <w:color w:val="auto"/>
              </w:rPr>
              <w:t xml:space="preserve">Acentia, LLC, Class A Units </w:t>
            </w:r>
            <w:r>
              <w:rPr>
                <w:rFonts w:ascii="Arial" w:cs="Arial" w:eastAsia="Arial" w:hAnsi="Arial"/>
                <w:sz w:val="12"/>
                <w:szCs w:val="12"/>
                <w:color w:val="auto"/>
              </w:rPr>
              <w:t>(12)</w:t>
            </w:r>
          </w:p>
        </w:tc>
        <w:tc>
          <w:tcPr>
            <w:tcW w:w="760" w:type="dxa"/>
            <w:vAlign w:val="bottom"/>
          </w:tcPr>
          <w:p>
            <w:pPr>
              <w:ind w:left="260"/>
              <w:spacing w:after="0" w:line="149" w:lineRule="exact"/>
              <w:rPr>
                <w:sz w:val="20"/>
                <w:szCs w:val="20"/>
                <w:color w:val="auto"/>
              </w:rPr>
            </w:pPr>
            <w:r>
              <w:rPr>
                <w:rFonts w:ascii="Arial" w:cs="Arial" w:eastAsia="Arial" w:hAnsi="Arial"/>
                <w:sz w:val="14"/>
                <w:szCs w:val="14"/>
                <w:color w:val="auto"/>
              </w:rPr>
              <w:t>—</w:t>
            </w:r>
          </w:p>
        </w:tc>
        <w:tc>
          <w:tcPr>
            <w:tcW w:w="1620" w:type="dxa"/>
            <w:vAlign w:val="bottom"/>
          </w:tcPr>
          <w:p>
            <w:pPr>
              <w:jc w:val="center"/>
              <w:spacing w:after="0" w:line="149" w:lineRule="exact"/>
              <w:rPr>
                <w:sz w:val="20"/>
                <w:szCs w:val="20"/>
                <w:color w:val="auto"/>
              </w:rPr>
            </w:pPr>
            <w:r>
              <w:rPr>
                <w:rFonts w:ascii="Arial" w:cs="Arial" w:eastAsia="Arial" w:hAnsi="Arial"/>
                <w:sz w:val="14"/>
                <w:szCs w:val="14"/>
                <w:color w:val="auto"/>
                <w:w w:val="93"/>
              </w:rPr>
              <w:t>Electronics</w:t>
            </w:r>
          </w:p>
        </w:tc>
        <w:tc>
          <w:tcPr>
            <w:tcW w:w="640" w:type="dxa"/>
            <w:vAlign w:val="bottom"/>
          </w:tcPr>
          <w:p>
            <w:pPr>
              <w:ind w:left="340"/>
              <w:spacing w:after="0" w:line="149" w:lineRule="exact"/>
              <w:rPr>
                <w:sz w:val="20"/>
                <w:szCs w:val="20"/>
                <w:color w:val="auto"/>
              </w:rPr>
            </w:pPr>
            <w:r>
              <w:rPr>
                <w:rFonts w:ascii="Arial" w:cs="Arial" w:eastAsia="Arial" w:hAnsi="Arial"/>
                <w:sz w:val="14"/>
                <w:szCs w:val="14"/>
                <w:color w:val="auto"/>
              </w:rPr>
              <w:t>—</w:t>
            </w:r>
          </w:p>
        </w:tc>
        <w:tc>
          <w:tcPr>
            <w:tcW w:w="880" w:type="dxa"/>
            <w:vAlign w:val="bottom"/>
          </w:tcPr>
          <w:p>
            <w:pPr>
              <w:ind w:left="560"/>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1,998</w:t>
            </w:r>
          </w:p>
        </w:tc>
        <w:tc>
          <w:tcPr>
            <w:tcW w:w="9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  2,000,000</w:t>
            </w:r>
          </w:p>
        </w:tc>
        <w:tc>
          <w:tcPr>
            <w:tcW w:w="100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rPr>
              <w:t>$   1,572,603</w:t>
            </w:r>
          </w:p>
        </w:tc>
        <w:tc>
          <w:tcPr>
            <w:tcW w:w="0" w:type="dxa"/>
            <w:vAlign w:val="bottom"/>
          </w:tcPr>
          <w:p>
            <w:pPr>
              <w:spacing w:after="0"/>
              <w:rPr>
                <w:sz w:val="1"/>
                <w:szCs w:val="1"/>
                <w:color w:val="auto"/>
              </w:rPr>
            </w:pPr>
          </w:p>
        </w:tc>
      </w:tr>
      <w:tr>
        <w:trPr>
          <w:trHeight w:val="130"/>
        </w:trPr>
        <w:tc>
          <w:tcPr>
            <w:tcW w:w="458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AH Holdings, Inc. (Warrants)</w:t>
            </w:r>
          </w:p>
        </w:tc>
        <w:tc>
          <w:tcPr>
            <w:tcW w:w="760" w:type="dxa"/>
            <w:vAlign w:val="bottom"/>
            <w:shd w:val="clear" w:color="auto" w:fill="CCEEFF"/>
          </w:tcPr>
          <w:p>
            <w:pPr>
              <w:ind w:left="40"/>
              <w:spacing w:after="0" w:line="130" w:lineRule="exact"/>
              <w:rPr>
                <w:sz w:val="20"/>
                <w:szCs w:val="20"/>
                <w:color w:val="auto"/>
              </w:rPr>
            </w:pPr>
            <w:r>
              <w:rPr>
                <w:rFonts w:ascii="Arial" w:cs="Arial" w:eastAsia="Arial" w:hAnsi="Arial"/>
                <w:sz w:val="14"/>
                <w:szCs w:val="14"/>
                <w:color w:val="auto"/>
                <w:w w:val="99"/>
              </w:rPr>
              <w:t>03/23/2021</w:t>
            </w:r>
          </w:p>
        </w:tc>
        <w:tc>
          <w:tcPr>
            <w:tcW w:w="1620" w:type="dxa"/>
            <w:vAlign w:val="bottom"/>
            <w:shd w:val="clear" w:color="auto" w:fill="CCEEFF"/>
          </w:tcPr>
          <w:p>
            <w:pPr>
              <w:jc w:val="center"/>
              <w:spacing w:after="0" w:line="130" w:lineRule="exact"/>
              <w:rPr>
                <w:sz w:val="20"/>
                <w:szCs w:val="20"/>
                <w:color w:val="auto"/>
              </w:rPr>
            </w:pPr>
            <w:r>
              <w:rPr>
                <w:rFonts w:ascii="Arial" w:cs="Arial" w:eastAsia="Arial" w:hAnsi="Arial"/>
                <w:sz w:val="14"/>
                <w:szCs w:val="14"/>
                <w:color w:val="auto"/>
                <w:w w:val="92"/>
              </w:rPr>
              <w:t>Healthcare, Education and</w:t>
            </w:r>
          </w:p>
        </w:tc>
        <w:tc>
          <w:tcPr>
            <w:tcW w:w="640" w:type="dxa"/>
            <w:vAlign w:val="bottom"/>
            <w:shd w:val="clear" w:color="auto" w:fill="CCEEFF"/>
          </w:tcPr>
          <w:p>
            <w:pPr>
              <w:ind w:left="340"/>
              <w:spacing w:after="0" w:line="130" w:lineRule="exact"/>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ind w:left="560"/>
              <w:spacing w:after="0" w:line="130" w:lineRule="exact"/>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jc w:val="right"/>
              <w:ind w:right="160"/>
              <w:spacing w:after="0" w:line="130" w:lineRule="exact"/>
              <w:rPr>
                <w:sz w:val="20"/>
                <w:szCs w:val="20"/>
                <w:color w:val="auto"/>
              </w:rPr>
            </w:pPr>
            <w:r>
              <w:rPr>
                <w:rFonts w:ascii="Arial" w:cs="Arial" w:eastAsia="Arial" w:hAnsi="Arial"/>
                <w:sz w:val="14"/>
                <w:szCs w:val="14"/>
                <w:color w:val="auto"/>
              </w:rPr>
              <w:t>753</w:t>
            </w:r>
          </w:p>
        </w:tc>
        <w:tc>
          <w:tcPr>
            <w:tcW w:w="900" w:type="dxa"/>
            <w:vAlign w:val="bottom"/>
            <w:gridSpan w:val="2"/>
            <w:shd w:val="clear" w:color="auto" w:fill="CCEEFF"/>
          </w:tcPr>
          <w:p>
            <w:pPr>
              <w:jc w:val="right"/>
              <w:ind w:right="160"/>
              <w:spacing w:after="0" w:line="130" w:lineRule="exact"/>
              <w:rPr>
                <w:sz w:val="20"/>
                <w:szCs w:val="20"/>
                <w:color w:val="auto"/>
              </w:rPr>
            </w:pPr>
            <w:r>
              <w:rPr>
                <w:rFonts w:ascii="Arial" w:cs="Arial" w:eastAsia="Arial" w:hAnsi="Arial"/>
                <w:sz w:val="14"/>
                <w:szCs w:val="14"/>
                <w:color w:val="auto"/>
              </w:rPr>
              <w:t>—</w:t>
            </w:r>
          </w:p>
        </w:tc>
        <w:tc>
          <w:tcPr>
            <w:tcW w:w="1000" w:type="dxa"/>
            <w:vAlign w:val="bottom"/>
            <w:gridSpan w:val="3"/>
            <w:shd w:val="clear" w:color="auto" w:fill="CCEEFF"/>
          </w:tcPr>
          <w:p>
            <w:pPr>
              <w:jc w:val="right"/>
              <w:ind w:right="80"/>
              <w:spacing w:after="0" w:line="130" w:lineRule="exact"/>
              <w:rPr>
                <w:sz w:val="20"/>
                <w:szCs w:val="20"/>
                <w:color w:val="auto"/>
              </w:rPr>
            </w:pPr>
            <w:r>
              <w:rPr>
                <w:rFonts w:ascii="Arial" w:cs="Arial" w:eastAsia="Arial" w:hAnsi="Arial"/>
                <w:sz w:val="14"/>
                <w:szCs w:val="14"/>
                <w:color w:val="auto"/>
              </w:rPr>
              <w:t>2,499,319</w:t>
            </w:r>
          </w:p>
        </w:tc>
        <w:tc>
          <w:tcPr>
            <w:tcW w:w="0" w:type="dxa"/>
            <w:vAlign w:val="bottom"/>
          </w:tcPr>
          <w:p>
            <w:pPr>
              <w:spacing w:after="0"/>
              <w:rPr>
                <w:sz w:val="1"/>
                <w:szCs w:val="1"/>
                <w:color w:val="auto"/>
              </w:rPr>
            </w:pPr>
          </w:p>
        </w:tc>
      </w:tr>
      <w:tr>
        <w:trPr>
          <w:trHeight w:val="167"/>
        </w:trPr>
        <w:tc>
          <w:tcPr>
            <w:tcW w:w="458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6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4"/>
              </w:rPr>
              <w:t>Childcare</w:t>
            </w:r>
          </w:p>
        </w:tc>
        <w:tc>
          <w:tcPr>
            <w:tcW w:w="64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4580" w:type="dxa"/>
            <w:vAlign w:val="bottom"/>
          </w:tcPr>
          <w:p>
            <w:pPr>
              <w:spacing w:after="0" w:line="130" w:lineRule="exact"/>
              <w:rPr>
                <w:sz w:val="20"/>
                <w:szCs w:val="20"/>
                <w:color w:val="auto"/>
              </w:rPr>
            </w:pPr>
            <w:r>
              <w:rPr>
                <w:rFonts w:ascii="Arial" w:cs="Arial" w:eastAsia="Arial" w:hAnsi="Arial"/>
                <w:sz w:val="14"/>
                <w:szCs w:val="14"/>
                <w:color w:val="auto"/>
              </w:rPr>
              <w:t>Alegeus Technologies Holding Corp., Class A</w:t>
            </w:r>
          </w:p>
        </w:tc>
        <w:tc>
          <w:tcPr>
            <w:tcW w:w="760" w:type="dxa"/>
            <w:vAlign w:val="bottom"/>
          </w:tcPr>
          <w:p>
            <w:pPr>
              <w:ind w:left="260"/>
              <w:spacing w:after="0" w:line="130" w:lineRule="exact"/>
              <w:rPr>
                <w:sz w:val="20"/>
                <w:szCs w:val="20"/>
                <w:color w:val="auto"/>
              </w:rPr>
            </w:pPr>
            <w:r>
              <w:rPr>
                <w:rFonts w:ascii="Arial" w:cs="Arial" w:eastAsia="Arial" w:hAnsi="Arial"/>
                <w:sz w:val="14"/>
                <w:szCs w:val="14"/>
                <w:color w:val="auto"/>
              </w:rPr>
              <w:t>—</w:t>
            </w:r>
          </w:p>
        </w:tc>
        <w:tc>
          <w:tcPr>
            <w:tcW w:w="1620" w:type="dxa"/>
            <w:vAlign w:val="bottom"/>
          </w:tcPr>
          <w:p>
            <w:pPr>
              <w:jc w:val="center"/>
              <w:spacing w:after="0" w:line="130" w:lineRule="exact"/>
              <w:rPr>
                <w:sz w:val="20"/>
                <w:szCs w:val="20"/>
                <w:color w:val="auto"/>
              </w:rPr>
            </w:pPr>
            <w:r>
              <w:rPr>
                <w:rFonts w:ascii="Arial" w:cs="Arial" w:eastAsia="Arial" w:hAnsi="Arial"/>
                <w:sz w:val="14"/>
                <w:szCs w:val="14"/>
                <w:color w:val="auto"/>
                <w:w w:val="93"/>
              </w:rPr>
              <w:t>Financial Services</w:t>
            </w:r>
          </w:p>
        </w:tc>
        <w:tc>
          <w:tcPr>
            <w:tcW w:w="640" w:type="dxa"/>
            <w:vAlign w:val="bottom"/>
          </w:tcPr>
          <w:p>
            <w:pPr>
              <w:ind w:left="340"/>
              <w:spacing w:after="0" w:line="130" w:lineRule="exact"/>
              <w:rPr>
                <w:sz w:val="20"/>
                <w:szCs w:val="20"/>
                <w:color w:val="auto"/>
              </w:rPr>
            </w:pPr>
            <w:r>
              <w:rPr>
                <w:rFonts w:ascii="Arial" w:cs="Arial" w:eastAsia="Arial" w:hAnsi="Arial"/>
                <w:sz w:val="14"/>
                <w:szCs w:val="14"/>
                <w:color w:val="auto"/>
              </w:rPr>
              <w:t>—</w:t>
            </w:r>
          </w:p>
        </w:tc>
        <w:tc>
          <w:tcPr>
            <w:tcW w:w="880" w:type="dxa"/>
            <w:vAlign w:val="bottom"/>
          </w:tcPr>
          <w:p>
            <w:pPr>
              <w:ind w:left="560"/>
              <w:spacing w:after="0" w:line="130" w:lineRule="exact"/>
              <w:rPr>
                <w:sz w:val="20"/>
                <w:szCs w:val="20"/>
                <w:color w:val="auto"/>
              </w:rPr>
            </w:pPr>
            <w:r>
              <w:rPr>
                <w:rFonts w:ascii="Arial" w:cs="Arial" w:eastAsia="Arial" w:hAnsi="Arial"/>
                <w:sz w:val="14"/>
                <w:szCs w:val="14"/>
                <w:color w:val="auto"/>
              </w:rPr>
              <w:t>—</w:t>
            </w:r>
          </w:p>
        </w:tc>
        <w:tc>
          <w:tcPr>
            <w:tcW w:w="860" w:type="dxa"/>
            <w:vAlign w:val="bottom"/>
            <w:gridSpan w:val="2"/>
          </w:tcPr>
          <w:p>
            <w:pPr>
              <w:jc w:val="right"/>
              <w:ind w:right="160"/>
              <w:spacing w:after="0" w:line="130" w:lineRule="exact"/>
              <w:rPr>
                <w:sz w:val="20"/>
                <w:szCs w:val="20"/>
                <w:color w:val="auto"/>
              </w:rPr>
            </w:pPr>
            <w:r>
              <w:rPr>
                <w:rFonts w:ascii="Arial" w:cs="Arial" w:eastAsia="Arial" w:hAnsi="Arial"/>
                <w:sz w:val="14"/>
                <w:szCs w:val="14"/>
                <w:color w:val="auto"/>
              </w:rPr>
              <w:t>1</w:t>
            </w:r>
          </w:p>
        </w:tc>
        <w:tc>
          <w:tcPr>
            <w:tcW w:w="900" w:type="dxa"/>
            <w:vAlign w:val="bottom"/>
            <w:gridSpan w:val="2"/>
          </w:tcPr>
          <w:p>
            <w:pPr>
              <w:jc w:val="right"/>
              <w:ind w:right="80"/>
              <w:spacing w:after="0" w:line="130" w:lineRule="exact"/>
              <w:rPr>
                <w:sz w:val="20"/>
                <w:szCs w:val="20"/>
                <w:color w:val="auto"/>
              </w:rPr>
            </w:pPr>
            <w:r>
              <w:rPr>
                <w:rFonts w:ascii="Arial" w:cs="Arial" w:eastAsia="Arial" w:hAnsi="Arial"/>
                <w:sz w:val="14"/>
                <w:szCs w:val="14"/>
                <w:color w:val="auto"/>
              </w:rPr>
              <w:t>950</w:t>
            </w:r>
          </w:p>
        </w:tc>
        <w:tc>
          <w:tcPr>
            <w:tcW w:w="1000" w:type="dxa"/>
            <w:vAlign w:val="bottom"/>
            <w:gridSpan w:val="3"/>
          </w:tcPr>
          <w:p>
            <w:pPr>
              <w:jc w:val="right"/>
              <w:ind w:right="80"/>
              <w:spacing w:after="0" w:line="130" w:lineRule="exact"/>
              <w:rPr>
                <w:sz w:val="20"/>
                <w:szCs w:val="20"/>
                <w:color w:val="auto"/>
              </w:rPr>
            </w:pPr>
            <w:r>
              <w:rPr>
                <w:rFonts w:ascii="Arial" w:cs="Arial" w:eastAsia="Arial" w:hAnsi="Arial"/>
                <w:sz w:val="14"/>
                <w:szCs w:val="14"/>
                <w:color w:val="auto"/>
              </w:rPr>
              <w:t>807</w:t>
            </w:r>
          </w:p>
        </w:tc>
        <w:tc>
          <w:tcPr>
            <w:tcW w:w="0" w:type="dxa"/>
            <w:vAlign w:val="bottom"/>
          </w:tcPr>
          <w:p>
            <w:pPr>
              <w:spacing w:after="0"/>
              <w:rPr>
                <w:sz w:val="1"/>
                <w:szCs w:val="1"/>
                <w:color w:val="auto"/>
              </w:rPr>
            </w:pPr>
          </w:p>
        </w:tc>
      </w:tr>
      <w:tr>
        <w:trPr>
          <w:trHeight w:val="167"/>
        </w:trPr>
        <w:tc>
          <w:tcPr>
            <w:tcW w:w="4580" w:type="dxa"/>
            <w:vAlign w:val="bottom"/>
          </w:tcPr>
          <w:p>
            <w:pPr>
              <w:ind w:left="160"/>
              <w:spacing w:after="0"/>
              <w:rPr>
                <w:sz w:val="20"/>
                <w:szCs w:val="20"/>
                <w:color w:val="auto"/>
              </w:rPr>
            </w:pPr>
            <w:r>
              <w:rPr>
                <w:rFonts w:ascii="Arial" w:cs="Arial" w:eastAsia="Arial" w:hAnsi="Arial"/>
                <w:sz w:val="14"/>
                <w:szCs w:val="14"/>
                <w:color w:val="auto"/>
              </w:rPr>
              <w:t>(Alegeus Technologies, LLC)</w:t>
            </w:r>
          </w:p>
        </w:tc>
        <w:tc>
          <w:tcPr>
            <w:tcW w:w="76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458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Autumn Games, LLC</w:t>
            </w:r>
          </w:p>
        </w:tc>
        <w:tc>
          <w:tcPr>
            <w:tcW w:w="760" w:type="dxa"/>
            <w:vAlign w:val="bottom"/>
            <w:shd w:val="clear" w:color="auto" w:fill="CCEEFF"/>
          </w:tcPr>
          <w:p>
            <w:pPr>
              <w:ind w:left="260"/>
              <w:spacing w:after="0" w:line="130" w:lineRule="exact"/>
              <w:rPr>
                <w:sz w:val="20"/>
                <w:szCs w:val="20"/>
                <w:color w:val="auto"/>
              </w:rPr>
            </w:pPr>
            <w:r>
              <w:rPr>
                <w:rFonts w:ascii="Arial" w:cs="Arial" w:eastAsia="Arial" w:hAnsi="Arial"/>
                <w:sz w:val="14"/>
                <w:szCs w:val="14"/>
                <w:color w:val="auto"/>
              </w:rPr>
              <w:t>—</w:t>
            </w:r>
          </w:p>
        </w:tc>
        <w:tc>
          <w:tcPr>
            <w:tcW w:w="1620" w:type="dxa"/>
            <w:vAlign w:val="bottom"/>
            <w:shd w:val="clear" w:color="auto" w:fill="CCEEFF"/>
          </w:tcPr>
          <w:p>
            <w:pPr>
              <w:jc w:val="center"/>
              <w:spacing w:after="0" w:line="130" w:lineRule="exact"/>
              <w:rPr>
                <w:sz w:val="20"/>
                <w:szCs w:val="20"/>
                <w:color w:val="auto"/>
              </w:rPr>
            </w:pPr>
            <w:r>
              <w:rPr>
                <w:rFonts w:ascii="Arial" w:cs="Arial" w:eastAsia="Arial" w:hAnsi="Arial"/>
                <w:sz w:val="14"/>
                <w:szCs w:val="14"/>
                <w:color w:val="auto"/>
                <w:w w:val="91"/>
              </w:rPr>
              <w:t>Broadcasting and</w:t>
            </w:r>
          </w:p>
        </w:tc>
        <w:tc>
          <w:tcPr>
            <w:tcW w:w="640" w:type="dxa"/>
            <w:vAlign w:val="bottom"/>
            <w:shd w:val="clear" w:color="auto" w:fill="CCEEFF"/>
          </w:tcPr>
          <w:p>
            <w:pPr>
              <w:ind w:left="340"/>
              <w:spacing w:after="0" w:line="130" w:lineRule="exact"/>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ind w:left="560"/>
              <w:spacing w:after="0" w:line="130" w:lineRule="exact"/>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jc w:val="right"/>
              <w:ind w:right="160"/>
              <w:spacing w:after="0" w:line="130" w:lineRule="exact"/>
              <w:rPr>
                <w:sz w:val="20"/>
                <w:szCs w:val="20"/>
                <w:color w:val="auto"/>
              </w:rPr>
            </w:pPr>
            <w:r>
              <w:rPr>
                <w:rFonts w:ascii="Arial" w:cs="Arial" w:eastAsia="Arial" w:hAnsi="Arial"/>
                <w:sz w:val="14"/>
                <w:szCs w:val="14"/>
                <w:color w:val="auto"/>
              </w:rPr>
              <w:t>1,333,330</w:t>
            </w:r>
          </w:p>
        </w:tc>
        <w:tc>
          <w:tcPr>
            <w:tcW w:w="900" w:type="dxa"/>
            <w:vAlign w:val="bottom"/>
            <w:gridSpan w:val="2"/>
            <w:shd w:val="clear" w:color="auto" w:fill="CCEEFF"/>
          </w:tcPr>
          <w:p>
            <w:pPr>
              <w:jc w:val="right"/>
              <w:ind w:right="80"/>
              <w:spacing w:after="0" w:line="130" w:lineRule="exact"/>
              <w:rPr>
                <w:sz w:val="20"/>
                <w:szCs w:val="20"/>
                <w:color w:val="auto"/>
              </w:rPr>
            </w:pPr>
            <w:r>
              <w:rPr>
                <w:rFonts w:ascii="Arial" w:cs="Arial" w:eastAsia="Arial" w:hAnsi="Arial"/>
                <w:sz w:val="14"/>
                <w:szCs w:val="14"/>
                <w:color w:val="auto"/>
              </w:rPr>
              <w:t>3,000,000</w:t>
            </w:r>
          </w:p>
        </w:tc>
        <w:tc>
          <w:tcPr>
            <w:tcW w:w="100" w:type="dxa"/>
            <w:vAlign w:val="bottom"/>
            <w:shd w:val="clear" w:color="auto" w:fill="CCEEFF"/>
          </w:tcPr>
          <w:p>
            <w:pPr>
              <w:spacing w:after="0"/>
              <w:rPr>
                <w:sz w:val="11"/>
                <w:szCs w:val="11"/>
                <w:color w:val="auto"/>
              </w:rPr>
            </w:pPr>
          </w:p>
        </w:tc>
        <w:tc>
          <w:tcPr>
            <w:tcW w:w="900" w:type="dxa"/>
            <w:vAlign w:val="bottom"/>
            <w:gridSpan w:val="2"/>
            <w:shd w:val="clear" w:color="auto" w:fill="CCEEFF"/>
          </w:tcPr>
          <w:p>
            <w:pPr>
              <w:ind w:left="600"/>
              <w:spacing w:after="0" w:line="130"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1"/>
        </w:trPr>
        <w:tc>
          <w:tcPr>
            <w:tcW w:w="458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6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4"/>
              </w:rPr>
              <w:t>Entertainment</w:t>
            </w:r>
          </w:p>
        </w:tc>
        <w:tc>
          <w:tcPr>
            <w:tcW w:w="64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4580" w:type="dxa"/>
            <w:vAlign w:val="bottom"/>
          </w:tcPr>
          <w:p>
            <w:pPr>
              <w:spacing w:after="0" w:line="149" w:lineRule="exact"/>
              <w:rPr>
                <w:sz w:val="20"/>
                <w:szCs w:val="20"/>
                <w:color w:val="auto"/>
              </w:rPr>
            </w:pPr>
            <w:r>
              <w:rPr>
                <w:rFonts w:ascii="Arial" w:cs="Arial" w:eastAsia="Arial" w:hAnsi="Arial"/>
                <w:sz w:val="14"/>
                <w:szCs w:val="14"/>
                <w:color w:val="auto"/>
              </w:rPr>
              <w:t xml:space="preserve">CI (Galls) Prime Investment Holdings, LLC </w:t>
            </w:r>
            <w:r>
              <w:rPr>
                <w:rFonts w:ascii="Arial" w:cs="Arial" w:eastAsia="Arial" w:hAnsi="Arial"/>
                <w:sz w:val="12"/>
                <w:szCs w:val="12"/>
                <w:color w:val="auto"/>
              </w:rPr>
              <w:t>(11)</w:t>
            </w:r>
          </w:p>
        </w:tc>
        <w:tc>
          <w:tcPr>
            <w:tcW w:w="760" w:type="dxa"/>
            <w:vAlign w:val="bottom"/>
          </w:tcPr>
          <w:p>
            <w:pPr>
              <w:ind w:left="260"/>
              <w:spacing w:after="0" w:line="149" w:lineRule="exact"/>
              <w:rPr>
                <w:sz w:val="20"/>
                <w:szCs w:val="20"/>
                <w:color w:val="auto"/>
              </w:rPr>
            </w:pPr>
            <w:r>
              <w:rPr>
                <w:rFonts w:ascii="Arial" w:cs="Arial" w:eastAsia="Arial" w:hAnsi="Arial"/>
                <w:sz w:val="14"/>
                <w:szCs w:val="14"/>
                <w:color w:val="auto"/>
              </w:rPr>
              <w:t>—</w:t>
            </w:r>
          </w:p>
        </w:tc>
        <w:tc>
          <w:tcPr>
            <w:tcW w:w="1620" w:type="dxa"/>
            <w:vAlign w:val="bottom"/>
          </w:tcPr>
          <w:p>
            <w:pPr>
              <w:jc w:val="center"/>
              <w:spacing w:after="0" w:line="149" w:lineRule="exact"/>
              <w:rPr>
                <w:sz w:val="20"/>
                <w:szCs w:val="20"/>
                <w:color w:val="auto"/>
              </w:rPr>
            </w:pPr>
            <w:r>
              <w:rPr>
                <w:rFonts w:ascii="Arial" w:cs="Arial" w:eastAsia="Arial" w:hAnsi="Arial"/>
                <w:sz w:val="14"/>
                <w:szCs w:val="14"/>
                <w:color w:val="auto"/>
                <w:w w:val="99"/>
              </w:rPr>
              <w:t>Distribution</w:t>
            </w:r>
          </w:p>
        </w:tc>
        <w:tc>
          <w:tcPr>
            <w:tcW w:w="640" w:type="dxa"/>
            <w:vAlign w:val="bottom"/>
          </w:tcPr>
          <w:p>
            <w:pPr>
              <w:ind w:left="340"/>
              <w:spacing w:after="0" w:line="149" w:lineRule="exact"/>
              <w:rPr>
                <w:sz w:val="20"/>
                <w:szCs w:val="20"/>
                <w:color w:val="auto"/>
              </w:rPr>
            </w:pPr>
            <w:r>
              <w:rPr>
                <w:rFonts w:ascii="Arial" w:cs="Arial" w:eastAsia="Arial" w:hAnsi="Arial"/>
                <w:sz w:val="14"/>
                <w:szCs w:val="14"/>
                <w:color w:val="auto"/>
              </w:rPr>
              <w:t>—</w:t>
            </w:r>
          </w:p>
        </w:tc>
        <w:tc>
          <w:tcPr>
            <w:tcW w:w="880" w:type="dxa"/>
            <w:vAlign w:val="bottom"/>
          </w:tcPr>
          <w:p>
            <w:pPr>
              <w:ind w:left="560"/>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1,505,000</w:t>
            </w:r>
          </w:p>
        </w:tc>
        <w:tc>
          <w:tcPr>
            <w:tcW w:w="9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1,505,000</w:t>
            </w:r>
          </w:p>
        </w:tc>
        <w:tc>
          <w:tcPr>
            <w:tcW w:w="100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rPr>
              <w:t>2,308,777</w:t>
            </w:r>
          </w:p>
        </w:tc>
        <w:tc>
          <w:tcPr>
            <w:tcW w:w="0" w:type="dxa"/>
            <w:vAlign w:val="bottom"/>
          </w:tcPr>
          <w:p>
            <w:pPr>
              <w:spacing w:after="0"/>
              <w:rPr>
                <w:sz w:val="1"/>
                <w:szCs w:val="1"/>
                <w:color w:val="auto"/>
              </w:rPr>
            </w:pPr>
          </w:p>
        </w:tc>
      </w:tr>
      <w:tr>
        <w:trPr>
          <w:trHeight w:val="130"/>
        </w:trPr>
        <w:tc>
          <w:tcPr>
            <w:tcW w:w="458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CI (IHS) Investment Holdings, LLC</w:t>
            </w:r>
          </w:p>
        </w:tc>
        <w:tc>
          <w:tcPr>
            <w:tcW w:w="760" w:type="dxa"/>
            <w:vAlign w:val="bottom"/>
            <w:shd w:val="clear" w:color="auto" w:fill="CCEEFF"/>
          </w:tcPr>
          <w:p>
            <w:pPr>
              <w:ind w:left="260"/>
              <w:spacing w:after="0" w:line="130" w:lineRule="exact"/>
              <w:rPr>
                <w:sz w:val="20"/>
                <w:szCs w:val="20"/>
                <w:color w:val="auto"/>
              </w:rPr>
            </w:pPr>
            <w:r>
              <w:rPr>
                <w:rFonts w:ascii="Arial" w:cs="Arial" w:eastAsia="Arial" w:hAnsi="Arial"/>
                <w:sz w:val="14"/>
                <w:szCs w:val="14"/>
                <w:color w:val="auto"/>
              </w:rPr>
              <w:t>—</w:t>
            </w:r>
          </w:p>
        </w:tc>
        <w:tc>
          <w:tcPr>
            <w:tcW w:w="1620" w:type="dxa"/>
            <w:vAlign w:val="bottom"/>
            <w:shd w:val="clear" w:color="auto" w:fill="CCEEFF"/>
          </w:tcPr>
          <w:p>
            <w:pPr>
              <w:jc w:val="center"/>
              <w:spacing w:after="0" w:line="130" w:lineRule="exact"/>
              <w:rPr>
                <w:sz w:val="20"/>
                <w:szCs w:val="20"/>
                <w:color w:val="auto"/>
              </w:rPr>
            </w:pPr>
            <w:r>
              <w:rPr>
                <w:rFonts w:ascii="Arial" w:cs="Arial" w:eastAsia="Arial" w:hAnsi="Arial"/>
                <w:sz w:val="14"/>
                <w:szCs w:val="14"/>
                <w:color w:val="auto"/>
                <w:w w:val="92"/>
              </w:rPr>
              <w:t>Healthcare, Education and</w:t>
            </w:r>
          </w:p>
        </w:tc>
        <w:tc>
          <w:tcPr>
            <w:tcW w:w="640" w:type="dxa"/>
            <w:vAlign w:val="bottom"/>
            <w:shd w:val="clear" w:color="auto" w:fill="CCEEFF"/>
          </w:tcPr>
          <w:p>
            <w:pPr>
              <w:ind w:left="340"/>
              <w:spacing w:after="0" w:line="130" w:lineRule="exact"/>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ind w:left="560"/>
              <w:spacing w:after="0" w:line="130" w:lineRule="exact"/>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jc w:val="right"/>
              <w:ind w:right="160"/>
              <w:spacing w:after="0" w:line="130" w:lineRule="exact"/>
              <w:rPr>
                <w:sz w:val="20"/>
                <w:szCs w:val="20"/>
                <w:color w:val="auto"/>
              </w:rPr>
            </w:pPr>
            <w:r>
              <w:rPr>
                <w:rFonts w:ascii="Arial" w:cs="Arial" w:eastAsia="Arial" w:hAnsi="Arial"/>
                <w:sz w:val="14"/>
                <w:szCs w:val="14"/>
                <w:color w:val="auto"/>
              </w:rPr>
              <w:t>23,416</w:t>
            </w:r>
          </w:p>
        </w:tc>
        <w:tc>
          <w:tcPr>
            <w:tcW w:w="900" w:type="dxa"/>
            <w:vAlign w:val="bottom"/>
            <w:gridSpan w:val="2"/>
            <w:shd w:val="clear" w:color="auto" w:fill="CCEEFF"/>
          </w:tcPr>
          <w:p>
            <w:pPr>
              <w:jc w:val="right"/>
              <w:ind w:right="80"/>
              <w:spacing w:after="0" w:line="130" w:lineRule="exact"/>
              <w:rPr>
                <w:sz w:val="20"/>
                <w:szCs w:val="20"/>
                <w:color w:val="auto"/>
              </w:rPr>
            </w:pPr>
            <w:r>
              <w:rPr>
                <w:rFonts w:ascii="Arial" w:cs="Arial" w:eastAsia="Arial" w:hAnsi="Arial"/>
                <w:sz w:val="14"/>
                <w:szCs w:val="14"/>
                <w:color w:val="auto"/>
              </w:rPr>
              <w:t>234,693</w:t>
            </w:r>
          </w:p>
        </w:tc>
        <w:tc>
          <w:tcPr>
            <w:tcW w:w="1000" w:type="dxa"/>
            <w:vAlign w:val="bottom"/>
            <w:gridSpan w:val="3"/>
            <w:shd w:val="clear" w:color="auto" w:fill="CCEEFF"/>
          </w:tcPr>
          <w:p>
            <w:pPr>
              <w:jc w:val="right"/>
              <w:ind w:right="80"/>
              <w:spacing w:after="0" w:line="130" w:lineRule="exact"/>
              <w:rPr>
                <w:sz w:val="20"/>
                <w:szCs w:val="20"/>
                <w:color w:val="auto"/>
              </w:rPr>
            </w:pPr>
            <w:r>
              <w:rPr>
                <w:rFonts w:ascii="Arial" w:cs="Arial" w:eastAsia="Arial" w:hAnsi="Arial"/>
                <w:sz w:val="14"/>
                <w:szCs w:val="14"/>
                <w:color w:val="auto"/>
              </w:rPr>
              <w:t>364,156</w:t>
            </w:r>
          </w:p>
        </w:tc>
        <w:tc>
          <w:tcPr>
            <w:tcW w:w="0" w:type="dxa"/>
            <w:vAlign w:val="bottom"/>
          </w:tcPr>
          <w:p>
            <w:pPr>
              <w:spacing w:after="0"/>
              <w:rPr>
                <w:sz w:val="1"/>
                <w:szCs w:val="1"/>
                <w:color w:val="auto"/>
              </w:rPr>
            </w:pPr>
          </w:p>
        </w:tc>
      </w:tr>
      <w:tr>
        <w:trPr>
          <w:trHeight w:val="167"/>
        </w:trPr>
        <w:tc>
          <w:tcPr>
            <w:tcW w:w="4580" w:type="dxa"/>
            <w:vAlign w:val="bottom"/>
            <w:shd w:val="clear" w:color="auto" w:fill="CCEEFF"/>
          </w:tcPr>
          <w:p>
            <w:pPr>
              <w:ind w:left="160"/>
              <w:spacing w:after="0"/>
              <w:rPr>
                <w:sz w:val="20"/>
                <w:szCs w:val="20"/>
                <w:color w:val="auto"/>
              </w:rPr>
            </w:pPr>
            <w:r>
              <w:rPr>
                <w:rFonts w:ascii="Arial" w:cs="Arial" w:eastAsia="Arial" w:hAnsi="Arial"/>
                <w:sz w:val="14"/>
                <w:szCs w:val="14"/>
                <w:color w:val="auto"/>
              </w:rPr>
              <w:t>(Interactive Health Solutions, Inc.)</w:t>
            </w:r>
          </w:p>
        </w:tc>
        <w:tc>
          <w:tcPr>
            <w:tcW w:w="760" w:type="dxa"/>
            <w:vAlign w:val="bottom"/>
            <w:shd w:val="clear" w:color="auto" w:fill="CCEEFF"/>
          </w:tcPr>
          <w:p>
            <w:pPr>
              <w:spacing w:after="0"/>
              <w:rPr>
                <w:sz w:val="14"/>
                <w:szCs w:val="14"/>
                <w:color w:val="auto"/>
              </w:rPr>
            </w:pPr>
          </w:p>
        </w:tc>
        <w:tc>
          <w:tcPr>
            <w:tcW w:w="16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4"/>
              </w:rPr>
              <w:t>Childcare</w:t>
            </w:r>
          </w:p>
        </w:tc>
        <w:tc>
          <w:tcPr>
            <w:tcW w:w="64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4580" w:type="dxa"/>
            <w:vAlign w:val="bottom"/>
          </w:tcPr>
          <w:p>
            <w:pPr>
              <w:spacing w:after="0" w:line="130" w:lineRule="exact"/>
              <w:rPr>
                <w:sz w:val="20"/>
                <w:szCs w:val="20"/>
                <w:color w:val="auto"/>
              </w:rPr>
            </w:pPr>
            <w:r>
              <w:rPr>
                <w:rFonts w:ascii="Arial" w:cs="Arial" w:eastAsia="Arial" w:hAnsi="Arial"/>
                <w:sz w:val="14"/>
                <w:szCs w:val="14"/>
                <w:color w:val="auto"/>
              </w:rPr>
              <w:t xml:space="preserve">CI (IHS) Investment Holdings, LLC </w:t>
            </w:r>
            <w:r>
              <w:rPr>
                <w:rFonts w:ascii="Arial" w:cs="Arial" w:eastAsia="Arial" w:hAnsi="Arial"/>
                <w:sz w:val="12"/>
                <w:szCs w:val="12"/>
                <w:color w:val="auto"/>
              </w:rPr>
              <w:t>(9)</w:t>
            </w:r>
          </w:p>
        </w:tc>
        <w:tc>
          <w:tcPr>
            <w:tcW w:w="760" w:type="dxa"/>
            <w:vAlign w:val="bottom"/>
          </w:tcPr>
          <w:p>
            <w:pPr>
              <w:ind w:left="260"/>
              <w:spacing w:after="0" w:line="130" w:lineRule="exact"/>
              <w:rPr>
                <w:sz w:val="20"/>
                <w:szCs w:val="20"/>
                <w:color w:val="auto"/>
              </w:rPr>
            </w:pPr>
            <w:r>
              <w:rPr>
                <w:rFonts w:ascii="Arial" w:cs="Arial" w:eastAsia="Arial" w:hAnsi="Arial"/>
                <w:sz w:val="14"/>
                <w:szCs w:val="14"/>
                <w:color w:val="auto"/>
              </w:rPr>
              <w:t>—</w:t>
            </w:r>
          </w:p>
        </w:tc>
        <w:tc>
          <w:tcPr>
            <w:tcW w:w="1620" w:type="dxa"/>
            <w:vAlign w:val="bottom"/>
          </w:tcPr>
          <w:p>
            <w:pPr>
              <w:jc w:val="center"/>
              <w:spacing w:after="0" w:line="130" w:lineRule="exact"/>
              <w:rPr>
                <w:sz w:val="20"/>
                <w:szCs w:val="20"/>
                <w:color w:val="auto"/>
              </w:rPr>
            </w:pPr>
            <w:r>
              <w:rPr>
                <w:rFonts w:ascii="Arial" w:cs="Arial" w:eastAsia="Arial" w:hAnsi="Arial"/>
                <w:sz w:val="14"/>
                <w:szCs w:val="14"/>
                <w:color w:val="auto"/>
                <w:w w:val="92"/>
              </w:rPr>
              <w:t>Healthcare, Education and</w:t>
            </w:r>
          </w:p>
        </w:tc>
        <w:tc>
          <w:tcPr>
            <w:tcW w:w="640" w:type="dxa"/>
            <w:vAlign w:val="bottom"/>
          </w:tcPr>
          <w:p>
            <w:pPr>
              <w:ind w:left="340"/>
              <w:spacing w:after="0" w:line="130" w:lineRule="exact"/>
              <w:rPr>
                <w:sz w:val="20"/>
                <w:szCs w:val="20"/>
                <w:color w:val="auto"/>
              </w:rPr>
            </w:pPr>
            <w:r>
              <w:rPr>
                <w:rFonts w:ascii="Arial" w:cs="Arial" w:eastAsia="Arial" w:hAnsi="Arial"/>
                <w:sz w:val="14"/>
                <w:szCs w:val="14"/>
                <w:color w:val="auto"/>
              </w:rPr>
              <w:t>—</w:t>
            </w:r>
          </w:p>
        </w:tc>
        <w:tc>
          <w:tcPr>
            <w:tcW w:w="880" w:type="dxa"/>
            <w:vAlign w:val="bottom"/>
          </w:tcPr>
          <w:p>
            <w:pPr>
              <w:ind w:left="560"/>
              <w:spacing w:after="0" w:line="130" w:lineRule="exact"/>
              <w:rPr>
                <w:sz w:val="20"/>
                <w:szCs w:val="20"/>
                <w:color w:val="auto"/>
              </w:rPr>
            </w:pPr>
            <w:r>
              <w:rPr>
                <w:rFonts w:ascii="Arial" w:cs="Arial" w:eastAsia="Arial" w:hAnsi="Arial"/>
                <w:sz w:val="14"/>
                <w:szCs w:val="14"/>
                <w:color w:val="auto"/>
              </w:rPr>
              <w:t>—</w:t>
            </w:r>
          </w:p>
        </w:tc>
        <w:tc>
          <w:tcPr>
            <w:tcW w:w="860" w:type="dxa"/>
            <w:vAlign w:val="bottom"/>
            <w:gridSpan w:val="2"/>
          </w:tcPr>
          <w:p>
            <w:pPr>
              <w:jc w:val="right"/>
              <w:ind w:right="160"/>
              <w:spacing w:after="0" w:line="130" w:lineRule="exact"/>
              <w:rPr>
                <w:sz w:val="20"/>
                <w:szCs w:val="20"/>
                <w:color w:val="auto"/>
              </w:rPr>
            </w:pPr>
            <w:r>
              <w:rPr>
                <w:rFonts w:ascii="Arial" w:cs="Arial" w:eastAsia="Arial" w:hAnsi="Arial"/>
                <w:sz w:val="14"/>
                <w:szCs w:val="14"/>
                <w:color w:val="auto"/>
              </w:rPr>
              <w:t>11,708</w:t>
            </w:r>
          </w:p>
        </w:tc>
        <w:tc>
          <w:tcPr>
            <w:tcW w:w="900" w:type="dxa"/>
            <w:vAlign w:val="bottom"/>
            <w:gridSpan w:val="2"/>
          </w:tcPr>
          <w:p>
            <w:pPr>
              <w:jc w:val="right"/>
              <w:ind w:right="80"/>
              <w:spacing w:after="0" w:line="130" w:lineRule="exact"/>
              <w:rPr>
                <w:sz w:val="20"/>
                <w:szCs w:val="20"/>
                <w:color w:val="auto"/>
              </w:rPr>
            </w:pPr>
            <w:r>
              <w:rPr>
                <w:rFonts w:ascii="Arial" w:cs="Arial" w:eastAsia="Arial" w:hAnsi="Arial"/>
                <w:sz w:val="14"/>
                <w:szCs w:val="14"/>
                <w:color w:val="auto"/>
              </w:rPr>
              <w:t>117,346</w:t>
            </w:r>
          </w:p>
        </w:tc>
        <w:tc>
          <w:tcPr>
            <w:tcW w:w="1000" w:type="dxa"/>
            <w:vAlign w:val="bottom"/>
            <w:gridSpan w:val="3"/>
          </w:tcPr>
          <w:p>
            <w:pPr>
              <w:jc w:val="right"/>
              <w:ind w:right="80"/>
              <w:spacing w:after="0" w:line="130" w:lineRule="exact"/>
              <w:rPr>
                <w:sz w:val="20"/>
                <w:szCs w:val="20"/>
                <w:color w:val="auto"/>
              </w:rPr>
            </w:pPr>
            <w:r>
              <w:rPr>
                <w:rFonts w:ascii="Arial" w:cs="Arial" w:eastAsia="Arial" w:hAnsi="Arial"/>
                <w:sz w:val="14"/>
                <w:szCs w:val="14"/>
                <w:color w:val="auto"/>
              </w:rPr>
              <w:t>182,078</w:t>
            </w:r>
          </w:p>
        </w:tc>
        <w:tc>
          <w:tcPr>
            <w:tcW w:w="0" w:type="dxa"/>
            <w:vAlign w:val="bottom"/>
          </w:tcPr>
          <w:p>
            <w:pPr>
              <w:spacing w:after="0"/>
              <w:rPr>
                <w:sz w:val="1"/>
                <w:szCs w:val="1"/>
                <w:color w:val="auto"/>
              </w:rPr>
            </w:pPr>
          </w:p>
        </w:tc>
      </w:tr>
      <w:tr>
        <w:trPr>
          <w:trHeight w:val="167"/>
        </w:trPr>
        <w:tc>
          <w:tcPr>
            <w:tcW w:w="4580" w:type="dxa"/>
            <w:vAlign w:val="bottom"/>
          </w:tcPr>
          <w:p>
            <w:pPr>
              <w:ind w:left="160"/>
              <w:spacing w:after="0"/>
              <w:rPr>
                <w:sz w:val="20"/>
                <w:szCs w:val="20"/>
                <w:color w:val="auto"/>
              </w:rPr>
            </w:pPr>
            <w:r>
              <w:rPr>
                <w:rFonts w:ascii="Arial" w:cs="Arial" w:eastAsia="Arial" w:hAnsi="Arial"/>
                <w:sz w:val="14"/>
                <w:szCs w:val="14"/>
                <w:color w:val="auto"/>
              </w:rPr>
              <w:t>(Interactive Health Solutions, Inc.)</w:t>
            </w:r>
          </w:p>
        </w:tc>
        <w:tc>
          <w:tcPr>
            <w:tcW w:w="760" w:type="dxa"/>
            <w:vAlign w:val="bottom"/>
          </w:tcPr>
          <w:p>
            <w:pPr>
              <w:spacing w:after="0"/>
              <w:rPr>
                <w:sz w:val="14"/>
                <w:szCs w:val="14"/>
                <w:color w:val="auto"/>
              </w:rPr>
            </w:pPr>
          </w:p>
        </w:tc>
        <w:tc>
          <w:tcPr>
            <w:tcW w:w="1620" w:type="dxa"/>
            <w:vAlign w:val="bottom"/>
          </w:tcPr>
          <w:p>
            <w:pPr>
              <w:jc w:val="center"/>
              <w:spacing w:after="0"/>
              <w:rPr>
                <w:sz w:val="20"/>
                <w:szCs w:val="20"/>
                <w:color w:val="auto"/>
              </w:rPr>
            </w:pPr>
            <w:r>
              <w:rPr>
                <w:rFonts w:ascii="Arial" w:cs="Arial" w:eastAsia="Arial" w:hAnsi="Arial"/>
                <w:sz w:val="14"/>
                <w:szCs w:val="14"/>
                <w:color w:val="auto"/>
                <w:w w:val="94"/>
              </w:rPr>
              <w:t>Childcare</w:t>
            </w:r>
          </w:p>
        </w:tc>
        <w:tc>
          <w:tcPr>
            <w:tcW w:w="6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458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Convergint Technologies Holdings, LLC</w:t>
            </w:r>
          </w:p>
        </w:tc>
        <w:tc>
          <w:tcPr>
            <w:tcW w:w="760" w:type="dxa"/>
            <w:vAlign w:val="bottom"/>
            <w:shd w:val="clear" w:color="auto" w:fill="CCEEFF"/>
          </w:tcPr>
          <w:p>
            <w:pPr>
              <w:ind w:left="260"/>
              <w:spacing w:after="0" w:line="130" w:lineRule="exact"/>
              <w:rPr>
                <w:sz w:val="20"/>
                <w:szCs w:val="20"/>
                <w:color w:val="auto"/>
              </w:rPr>
            </w:pPr>
            <w:r>
              <w:rPr>
                <w:rFonts w:ascii="Arial" w:cs="Arial" w:eastAsia="Arial" w:hAnsi="Arial"/>
                <w:sz w:val="14"/>
                <w:szCs w:val="14"/>
                <w:color w:val="auto"/>
              </w:rPr>
              <w:t>—</w:t>
            </w:r>
          </w:p>
        </w:tc>
        <w:tc>
          <w:tcPr>
            <w:tcW w:w="1620" w:type="dxa"/>
            <w:vAlign w:val="bottom"/>
            <w:shd w:val="clear" w:color="auto" w:fill="CCEEFF"/>
          </w:tcPr>
          <w:p>
            <w:pPr>
              <w:jc w:val="center"/>
              <w:spacing w:after="0" w:line="130" w:lineRule="exact"/>
              <w:rPr>
                <w:sz w:val="20"/>
                <w:szCs w:val="20"/>
                <w:color w:val="auto"/>
              </w:rPr>
            </w:pPr>
            <w:r>
              <w:rPr>
                <w:rFonts w:ascii="Arial" w:cs="Arial" w:eastAsia="Arial" w:hAnsi="Arial"/>
                <w:sz w:val="14"/>
                <w:szCs w:val="14"/>
                <w:color w:val="auto"/>
                <w:w w:val="93"/>
              </w:rPr>
              <w:t>Electronics</w:t>
            </w:r>
          </w:p>
        </w:tc>
        <w:tc>
          <w:tcPr>
            <w:tcW w:w="640" w:type="dxa"/>
            <w:vAlign w:val="bottom"/>
            <w:shd w:val="clear" w:color="auto" w:fill="CCEEFF"/>
          </w:tcPr>
          <w:p>
            <w:pPr>
              <w:ind w:left="340"/>
              <w:spacing w:after="0" w:line="130" w:lineRule="exact"/>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ind w:left="560"/>
              <w:spacing w:after="0" w:line="130" w:lineRule="exact"/>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jc w:val="right"/>
              <w:ind w:right="160"/>
              <w:spacing w:after="0" w:line="130" w:lineRule="exact"/>
              <w:rPr>
                <w:sz w:val="20"/>
                <w:szCs w:val="20"/>
                <w:color w:val="auto"/>
              </w:rPr>
            </w:pPr>
            <w:r>
              <w:rPr>
                <w:rFonts w:ascii="Arial" w:cs="Arial" w:eastAsia="Arial" w:hAnsi="Arial"/>
                <w:sz w:val="14"/>
                <w:szCs w:val="14"/>
                <w:color w:val="auto"/>
              </w:rPr>
              <w:t>2,375</w:t>
            </w:r>
          </w:p>
        </w:tc>
        <w:tc>
          <w:tcPr>
            <w:tcW w:w="900" w:type="dxa"/>
            <w:vAlign w:val="bottom"/>
            <w:gridSpan w:val="2"/>
            <w:shd w:val="clear" w:color="auto" w:fill="CCEEFF"/>
          </w:tcPr>
          <w:p>
            <w:pPr>
              <w:jc w:val="right"/>
              <w:ind w:right="160"/>
              <w:spacing w:after="0" w:line="130" w:lineRule="exact"/>
              <w:rPr>
                <w:sz w:val="20"/>
                <w:szCs w:val="20"/>
                <w:color w:val="auto"/>
              </w:rPr>
            </w:pPr>
            <w:r>
              <w:rPr>
                <w:rFonts w:ascii="Arial" w:cs="Arial" w:eastAsia="Arial" w:hAnsi="Arial"/>
                <w:sz w:val="14"/>
                <w:szCs w:val="14"/>
                <w:color w:val="auto"/>
              </w:rPr>
              <w:t>—</w:t>
            </w:r>
          </w:p>
        </w:tc>
        <w:tc>
          <w:tcPr>
            <w:tcW w:w="1000" w:type="dxa"/>
            <w:vAlign w:val="bottom"/>
            <w:gridSpan w:val="3"/>
            <w:shd w:val="clear" w:color="auto" w:fill="CCEEFF"/>
          </w:tcPr>
          <w:p>
            <w:pPr>
              <w:jc w:val="right"/>
              <w:ind w:right="80"/>
              <w:spacing w:after="0" w:line="130" w:lineRule="exact"/>
              <w:rPr>
                <w:sz w:val="20"/>
                <w:szCs w:val="20"/>
                <w:color w:val="auto"/>
              </w:rPr>
            </w:pPr>
            <w:r>
              <w:rPr>
                <w:rFonts w:ascii="Arial" w:cs="Arial" w:eastAsia="Arial" w:hAnsi="Arial"/>
                <w:sz w:val="14"/>
                <w:szCs w:val="14"/>
                <w:color w:val="auto"/>
              </w:rPr>
              <w:t>212,881</w:t>
            </w:r>
          </w:p>
        </w:tc>
        <w:tc>
          <w:tcPr>
            <w:tcW w:w="0" w:type="dxa"/>
            <w:vAlign w:val="bottom"/>
          </w:tcPr>
          <w:p>
            <w:pPr>
              <w:spacing w:after="0"/>
              <w:rPr>
                <w:sz w:val="1"/>
                <w:szCs w:val="1"/>
                <w:color w:val="auto"/>
              </w:rPr>
            </w:pPr>
          </w:p>
        </w:tc>
      </w:tr>
      <w:tr>
        <w:trPr>
          <w:trHeight w:val="167"/>
        </w:trPr>
        <w:tc>
          <w:tcPr>
            <w:tcW w:w="4580" w:type="dxa"/>
            <w:vAlign w:val="bottom"/>
            <w:shd w:val="clear" w:color="auto" w:fill="CCEEFF"/>
          </w:tcPr>
          <w:p>
            <w:pPr>
              <w:ind w:left="160"/>
              <w:spacing w:after="0"/>
              <w:rPr>
                <w:sz w:val="20"/>
                <w:szCs w:val="20"/>
                <w:color w:val="auto"/>
              </w:rPr>
            </w:pPr>
            <w:r>
              <w:rPr>
                <w:rFonts w:ascii="Arial" w:cs="Arial" w:eastAsia="Arial" w:hAnsi="Arial"/>
                <w:sz w:val="14"/>
                <w:szCs w:val="14"/>
                <w:color w:val="auto"/>
              </w:rPr>
              <w:t>(Convergint Technologies LLC)</w:t>
            </w:r>
          </w:p>
        </w:tc>
        <w:tc>
          <w:tcPr>
            <w:tcW w:w="760" w:type="dxa"/>
            <w:vAlign w:val="bottom"/>
            <w:shd w:val="clear" w:color="auto" w:fill="CCEEFF"/>
          </w:tcPr>
          <w:p>
            <w:pPr>
              <w:spacing w:after="0"/>
              <w:rPr>
                <w:sz w:val="14"/>
                <w:szCs w:val="14"/>
                <w:color w:val="auto"/>
              </w:rPr>
            </w:pPr>
          </w:p>
        </w:tc>
        <w:tc>
          <w:tcPr>
            <w:tcW w:w="162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4580" w:type="dxa"/>
            <w:vAlign w:val="bottom"/>
          </w:tcPr>
          <w:p>
            <w:pPr>
              <w:spacing w:after="0" w:line="149" w:lineRule="exact"/>
              <w:rPr>
                <w:sz w:val="20"/>
                <w:szCs w:val="20"/>
                <w:color w:val="auto"/>
              </w:rPr>
            </w:pPr>
            <w:r>
              <w:rPr>
                <w:rFonts w:ascii="Arial" w:cs="Arial" w:eastAsia="Arial" w:hAnsi="Arial"/>
                <w:sz w:val="14"/>
                <w:szCs w:val="14"/>
                <w:color w:val="auto"/>
              </w:rPr>
              <w:t>CT Technologies Holdings, LLC</w:t>
            </w:r>
          </w:p>
        </w:tc>
        <w:tc>
          <w:tcPr>
            <w:tcW w:w="760" w:type="dxa"/>
            <w:vAlign w:val="bottom"/>
          </w:tcPr>
          <w:p>
            <w:pPr>
              <w:ind w:left="260"/>
              <w:spacing w:after="0" w:line="149" w:lineRule="exact"/>
              <w:rPr>
                <w:sz w:val="20"/>
                <w:szCs w:val="20"/>
                <w:color w:val="auto"/>
              </w:rPr>
            </w:pPr>
            <w:r>
              <w:rPr>
                <w:rFonts w:ascii="Arial" w:cs="Arial" w:eastAsia="Arial" w:hAnsi="Arial"/>
                <w:sz w:val="14"/>
                <w:szCs w:val="14"/>
                <w:color w:val="auto"/>
              </w:rPr>
              <w:t>—</w:t>
            </w:r>
          </w:p>
        </w:tc>
        <w:tc>
          <w:tcPr>
            <w:tcW w:w="1620" w:type="dxa"/>
            <w:vAlign w:val="bottom"/>
          </w:tcPr>
          <w:p>
            <w:pPr>
              <w:jc w:val="center"/>
              <w:spacing w:after="0" w:line="149" w:lineRule="exact"/>
              <w:rPr>
                <w:sz w:val="20"/>
                <w:szCs w:val="20"/>
                <w:color w:val="auto"/>
              </w:rPr>
            </w:pPr>
            <w:r>
              <w:rPr>
                <w:rFonts w:ascii="Arial" w:cs="Arial" w:eastAsia="Arial" w:hAnsi="Arial"/>
                <w:sz w:val="14"/>
                <w:szCs w:val="14"/>
                <w:color w:val="auto"/>
                <w:w w:val="90"/>
              </w:rPr>
              <w:t>Business Services</w:t>
            </w:r>
          </w:p>
        </w:tc>
        <w:tc>
          <w:tcPr>
            <w:tcW w:w="640" w:type="dxa"/>
            <w:vAlign w:val="bottom"/>
          </w:tcPr>
          <w:p>
            <w:pPr>
              <w:ind w:left="340"/>
              <w:spacing w:after="0" w:line="149" w:lineRule="exact"/>
              <w:rPr>
                <w:sz w:val="20"/>
                <w:szCs w:val="20"/>
                <w:color w:val="auto"/>
              </w:rPr>
            </w:pPr>
            <w:r>
              <w:rPr>
                <w:rFonts w:ascii="Arial" w:cs="Arial" w:eastAsia="Arial" w:hAnsi="Arial"/>
                <w:sz w:val="14"/>
                <w:szCs w:val="14"/>
                <w:color w:val="auto"/>
              </w:rPr>
              <w:t>—</w:t>
            </w:r>
          </w:p>
        </w:tc>
        <w:tc>
          <w:tcPr>
            <w:tcW w:w="880" w:type="dxa"/>
            <w:vAlign w:val="bottom"/>
          </w:tcPr>
          <w:p>
            <w:pPr>
              <w:ind w:left="560"/>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5,556</w:t>
            </w:r>
          </w:p>
        </w:tc>
        <w:tc>
          <w:tcPr>
            <w:tcW w:w="9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1,918,346</w:t>
            </w:r>
          </w:p>
        </w:tc>
        <w:tc>
          <w:tcPr>
            <w:tcW w:w="100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rPr>
              <w:t>7,285,399</w:t>
            </w:r>
          </w:p>
        </w:tc>
        <w:tc>
          <w:tcPr>
            <w:tcW w:w="0" w:type="dxa"/>
            <w:vAlign w:val="bottom"/>
          </w:tcPr>
          <w:p>
            <w:pPr>
              <w:spacing w:after="0"/>
              <w:rPr>
                <w:sz w:val="1"/>
                <w:szCs w:val="1"/>
                <w:color w:val="auto"/>
              </w:rPr>
            </w:pPr>
          </w:p>
        </w:tc>
      </w:tr>
      <w:tr>
        <w:trPr>
          <w:trHeight w:val="148"/>
        </w:trPr>
        <w:tc>
          <w:tcPr>
            <w:tcW w:w="45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HW Topco, Inc.</w:t>
            </w:r>
          </w:p>
        </w:tc>
        <w:tc>
          <w:tcPr>
            <w:tcW w:w="760" w:type="dxa"/>
            <w:vAlign w:val="bottom"/>
            <w:shd w:val="clear" w:color="auto" w:fill="CCEEFF"/>
          </w:tcPr>
          <w:p>
            <w:pPr>
              <w:ind w:left="260"/>
              <w:spacing w:after="0" w:line="149" w:lineRule="exact"/>
              <w:rPr>
                <w:sz w:val="20"/>
                <w:szCs w:val="20"/>
                <w:color w:val="auto"/>
              </w:rPr>
            </w:pPr>
            <w:r>
              <w:rPr>
                <w:rFonts w:ascii="Arial" w:cs="Arial" w:eastAsia="Arial" w:hAnsi="Arial"/>
                <w:sz w:val="14"/>
                <w:szCs w:val="14"/>
                <w:color w:val="auto"/>
              </w:rPr>
              <w:t>—</w:t>
            </w:r>
          </w:p>
        </w:tc>
        <w:tc>
          <w:tcPr>
            <w:tcW w:w="162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3"/>
              </w:rPr>
              <w:t>Other Media</w:t>
            </w:r>
          </w:p>
        </w:tc>
        <w:tc>
          <w:tcPr>
            <w:tcW w:w="640" w:type="dxa"/>
            <w:vAlign w:val="bottom"/>
            <w:shd w:val="clear" w:color="auto" w:fill="CCEEFF"/>
          </w:tcPr>
          <w:p>
            <w:pPr>
              <w:ind w:left="340"/>
              <w:spacing w:after="0" w:line="149" w:lineRule="exact"/>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ind w:left="560"/>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386,770</w:t>
            </w:r>
          </w:p>
        </w:tc>
        <w:tc>
          <w:tcPr>
            <w:tcW w:w="9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2,697,835</w:t>
            </w:r>
          </w:p>
        </w:tc>
        <w:tc>
          <w:tcPr>
            <w:tcW w:w="100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3,400,855</w:t>
            </w:r>
          </w:p>
        </w:tc>
        <w:tc>
          <w:tcPr>
            <w:tcW w:w="0" w:type="dxa"/>
            <w:vAlign w:val="bottom"/>
          </w:tcPr>
          <w:p>
            <w:pPr>
              <w:spacing w:after="0"/>
              <w:rPr>
                <w:sz w:val="1"/>
                <w:szCs w:val="1"/>
                <w:color w:val="auto"/>
              </w:rPr>
            </w:pPr>
          </w:p>
        </w:tc>
      </w:tr>
      <w:tr>
        <w:trPr>
          <w:trHeight w:val="130"/>
        </w:trPr>
        <w:tc>
          <w:tcPr>
            <w:tcW w:w="4580" w:type="dxa"/>
            <w:vAlign w:val="bottom"/>
          </w:tcPr>
          <w:p>
            <w:pPr>
              <w:spacing w:after="0" w:line="130" w:lineRule="exact"/>
              <w:rPr>
                <w:sz w:val="20"/>
                <w:szCs w:val="20"/>
                <w:color w:val="auto"/>
              </w:rPr>
            </w:pPr>
            <w:r>
              <w:rPr>
                <w:rFonts w:ascii="Arial" w:cs="Arial" w:eastAsia="Arial" w:hAnsi="Arial"/>
                <w:sz w:val="14"/>
                <w:szCs w:val="14"/>
                <w:color w:val="auto"/>
              </w:rPr>
              <w:t>Kadmon Holdings, LLC, Class A</w:t>
            </w:r>
          </w:p>
        </w:tc>
        <w:tc>
          <w:tcPr>
            <w:tcW w:w="760" w:type="dxa"/>
            <w:vAlign w:val="bottom"/>
          </w:tcPr>
          <w:p>
            <w:pPr>
              <w:ind w:left="260"/>
              <w:spacing w:after="0" w:line="130" w:lineRule="exact"/>
              <w:rPr>
                <w:sz w:val="20"/>
                <w:szCs w:val="20"/>
                <w:color w:val="auto"/>
              </w:rPr>
            </w:pPr>
            <w:r>
              <w:rPr>
                <w:rFonts w:ascii="Arial" w:cs="Arial" w:eastAsia="Arial" w:hAnsi="Arial"/>
                <w:sz w:val="14"/>
                <w:szCs w:val="14"/>
                <w:color w:val="auto"/>
              </w:rPr>
              <w:t>—</w:t>
            </w:r>
          </w:p>
        </w:tc>
        <w:tc>
          <w:tcPr>
            <w:tcW w:w="1620" w:type="dxa"/>
            <w:vAlign w:val="bottom"/>
          </w:tcPr>
          <w:p>
            <w:pPr>
              <w:jc w:val="center"/>
              <w:spacing w:after="0" w:line="130" w:lineRule="exact"/>
              <w:rPr>
                <w:sz w:val="20"/>
                <w:szCs w:val="20"/>
                <w:color w:val="auto"/>
              </w:rPr>
            </w:pPr>
            <w:r>
              <w:rPr>
                <w:rFonts w:ascii="Arial" w:cs="Arial" w:eastAsia="Arial" w:hAnsi="Arial"/>
                <w:sz w:val="14"/>
                <w:szCs w:val="14"/>
                <w:color w:val="auto"/>
                <w:w w:val="92"/>
              </w:rPr>
              <w:t>Healthcare, Education</w:t>
            </w:r>
          </w:p>
        </w:tc>
        <w:tc>
          <w:tcPr>
            <w:tcW w:w="640" w:type="dxa"/>
            <w:vAlign w:val="bottom"/>
          </w:tcPr>
          <w:p>
            <w:pPr>
              <w:ind w:left="340"/>
              <w:spacing w:after="0" w:line="130" w:lineRule="exact"/>
              <w:rPr>
                <w:sz w:val="20"/>
                <w:szCs w:val="20"/>
                <w:color w:val="auto"/>
              </w:rPr>
            </w:pPr>
            <w:r>
              <w:rPr>
                <w:rFonts w:ascii="Arial" w:cs="Arial" w:eastAsia="Arial" w:hAnsi="Arial"/>
                <w:sz w:val="14"/>
                <w:szCs w:val="14"/>
                <w:color w:val="auto"/>
              </w:rPr>
              <w:t>—</w:t>
            </w:r>
          </w:p>
        </w:tc>
        <w:tc>
          <w:tcPr>
            <w:tcW w:w="880" w:type="dxa"/>
            <w:vAlign w:val="bottom"/>
          </w:tcPr>
          <w:p>
            <w:pPr>
              <w:ind w:left="560"/>
              <w:spacing w:after="0" w:line="130" w:lineRule="exact"/>
              <w:rPr>
                <w:sz w:val="20"/>
                <w:szCs w:val="20"/>
                <w:color w:val="auto"/>
              </w:rPr>
            </w:pPr>
            <w:r>
              <w:rPr>
                <w:rFonts w:ascii="Arial" w:cs="Arial" w:eastAsia="Arial" w:hAnsi="Arial"/>
                <w:sz w:val="14"/>
                <w:szCs w:val="14"/>
                <w:color w:val="auto"/>
              </w:rPr>
              <w:t>—</w:t>
            </w:r>
          </w:p>
        </w:tc>
        <w:tc>
          <w:tcPr>
            <w:tcW w:w="860" w:type="dxa"/>
            <w:vAlign w:val="bottom"/>
            <w:gridSpan w:val="2"/>
          </w:tcPr>
          <w:p>
            <w:pPr>
              <w:jc w:val="right"/>
              <w:ind w:right="160"/>
              <w:spacing w:after="0" w:line="130" w:lineRule="exact"/>
              <w:rPr>
                <w:sz w:val="20"/>
                <w:szCs w:val="20"/>
                <w:color w:val="auto"/>
              </w:rPr>
            </w:pPr>
            <w:r>
              <w:rPr>
                <w:rFonts w:ascii="Arial" w:cs="Arial" w:eastAsia="Arial" w:hAnsi="Arial"/>
                <w:sz w:val="14"/>
                <w:szCs w:val="14"/>
                <w:color w:val="auto"/>
              </w:rPr>
              <w:t>1,079,920</w:t>
            </w:r>
          </w:p>
        </w:tc>
        <w:tc>
          <w:tcPr>
            <w:tcW w:w="900" w:type="dxa"/>
            <w:vAlign w:val="bottom"/>
            <w:gridSpan w:val="2"/>
          </w:tcPr>
          <w:p>
            <w:pPr>
              <w:jc w:val="right"/>
              <w:ind w:right="80"/>
              <w:spacing w:after="0" w:line="130" w:lineRule="exact"/>
              <w:rPr>
                <w:sz w:val="20"/>
                <w:szCs w:val="20"/>
                <w:color w:val="auto"/>
              </w:rPr>
            </w:pPr>
            <w:r>
              <w:rPr>
                <w:rFonts w:ascii="Arial" w:cs="Arial" w:eastAsia="Arial" w:hAnsi="Arial"/>
                <w:sz w:val="14"/>
                <w:szCs w:val="14"/>
                <w:color w:val="auto"/>
              </w:rPr>
              <w:t>1,236,832</w:t>
            </w:r>
          </w:p>
        </w:tc>
        <w:tc>
          <w:tcPr>
            <w:tcW w:w="1000" w:type="dxa"/>
            <w:vAlign w:val="bottom"/>
            <w:gridSpan w:val="3"/>
          </w:tcPr>
          <w:p>
            <w:pPr>
              <w:jc w:val="right"/>
              <w:ind w:right="80"/>
              <w:spacing w:after="0" w:line="130" w:lineRule="exact"/>
              <w:rPr>
                <w:sz w:val="20"/>
                <w:szCs w:val="20"/>
                <w:color w:val="auto"/>
              </w:rPr>
            </w:pPr>
            <w:r>
              <w:rPr>
                <w:rFonts w:ascii="Arial" w:cs="Arial" w:eastAsia="Arial" w:hAnsi="Arial"/>
                <w:sz w:val="14"/>
                <w:szCs w:val="14"/>
                <w:color w:val="auto"/>
              </w:rPr>
              <w:t>11,085,403</w:t>
            </w:r>
          </w:p>
        </w:tc>
        <w:tc>
          <w:tcPr>
            <w:tcW w:w="0" w:type="dxa"/>
            <w:vAlign w:val="bottom"/>
          </w:tcPr>
          <w:p>
            <w:pPr>
              <w:spacing w:after="0"/>
              <w:rPr>
                <w:sz w:val="1"/>
                <w:szCs w:val="1"/>
                <w:color w:val="auto"/>
              </w:rPr>
            </w:pPr>
          </w:p>
        </w:tc>
      </w:tr>
      <w:tr>
        <w:trPr>
          <w:trHeight w:val="181"/>
        </w:trPr>
        <w:tc>
          <w:tcPr>
            <w:tcW w:w="45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620" w:type="dxa"/>
            <w:vAlign w:val="bottom"/>
          </w:tcPr>
          <w:p>
            <w:pPr>
              <w:jc w:val="center"/>
              <w:spacing w:after="0"/>
              <w:rPr>
                <w:sz w:val="20"/>
                <w:szCs w:val="20"/>
                <w:color w:val="auto"/>
              </w:rPr>
            </w:pPr>
            <w:r>
              <w:rPr>
                <w:rFonts w:ascii="Arial" w:cs="Arial" w:eastAsia="Arial" w:hAnsi="Arial"/>
                <w:sz w:val="14"/>
                <w:szCs w:val="14"/>
                <w:color w:val="auto"/>
                <w:w w:val="92"/>
              </w:rPr>
              <w:t>and Childcare</w:t>
            </w:r>
          </w:p>
        </w:tc>
        <w:tc>
          <w:tcPr>
            <w:tcW w:w="6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0"/>
        </w:trPr>
        <w:tc>
          <w:tcPr>
            <w:tcW w:w="458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Kadmon Holdings, LLC, Class D</w:t>
            </w:r>
          </w:p>
        </w:tc>
        <w:tc>
          <w:tcPr>
            <w:tcW w:w="760" w:type="dxa"/>
            <w:vAlign w:val="bottom"/>
            <w:shd w:val="clear" w:color="auto" w:fill="CCEEFF"/>
          </w:tcPr>
          <w:p>
            <w:pPr>
              <w:ind w:left="260"/>
              <w:spacing w:after="0" w:line="130" w:lineRule="exact"/>
              <w:rPr>
                <w:sz w:val="20"/>
                <w:szCs w:val="20"/>
                <w:color w:val="auto"/>
              </w:rPr>
            </w:pPr>
            <w:r>
              <w:rPr>
                <w:rFonts w:ascii="Arial" w:cs="Arial" w:eastAsia="Arial" w:hAnsi="Arial"/>
                <w:sz w:val="14"/>
                <w:szCs w:val="14"/>
                <w:color w:val="auto"/>
              </w:rPr>
              <w:t>—</w:t>
            </w:r>
          </w:p>
        </w:tc>
        <w:tc>
          <w:tcPr>
            <w:tcW w:w="1620" w:type="dxa"/>
            <w:vAlign w:val="bottom"/>
            <w:shd w:val="clear" w:color="auto" w:fill="CCEEFF"/>
          </w:tcPr>
          <w:p>
            <w:pPr>
              <w:jc w:val="center"/>
              <w:spacing w:after="0" w:line="130" w:lineRule="exact"/>
              <w:rPr>
                <w:sz w:val="20"/>
                <w:szCs w:val="20"/>
                <w:color w:val="auto"/>
              </w:rPr>
            </w:pPr>
            <w:r>
              <w:rPr>
                <w:rFonts w:ascii="Arial" w:cs="Arial" w:eastAsia="Arial" w:hAnsi="Arial"/>
                <w:sz w:val="14"/>
                <w:szCs w:val="14"/>
                <w:color w:val="auto"/>
                <w:w w:val="92"/>
              </w:rPr>
              <w:t>Healthcare, Education</w:t>
            </w:r>
          </w:p>
        </w:tc>
        <w:tc>
          <w:tcPr>
            <w:tcW w:w="640" w:type="dxa"/>
            <w:vAlign w:val="bottom"/>
            <w:shd w:val="clear" w:color="auto" w:fill="CCEEFF"/>
          </w:tcPr>
          <w:p>
            <w:pPr>
              <w:ind w:left="340"/>
              <w:spacing w:after="0" w:line="130" w:lineRule="exact"/>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ind w:left="560"/>
              <w:spacing w:after="0" w:line="130" w:lineRule="exact"/>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jc w:val="right"/>
              <w:ind w:right="160"/>
              <w:spacing w:after="0" w:line="130" w:lineRule="exact"/>
              <w:rPr>
                <w:sz w:val="20"/>
                <w:szCs w:val="20"/>
                <w:color w:val="auto"/>
              </w:rPr>
            </w:pPr>
            <w:r>
              <w:rPr>
                <w:rFonts w:ascii="Arial" w:cs="Arial" w:eastAsia="Arial" w:hAnsi="Arial"/>
                <w:sz w:val="14"/>
                <w:szCs w:val="14"/>
                <w:color w:val="auto"/>
              </w:rPr>
              <w:t>1,079,920</w:t>
            </w:r>
          </w:p>
        </w:tc>
        <w:tc>
          <w:tcPr>
            <w:tcW w:w="900" w:type="dxa"/>
            <w:vAlign w:val="bottom"/>
            <w:gridSpan w:val="2"/>
            <w:shd w:val="clear" w:color="auto" w:fill="CCEEFF"/>
          </w:tcPr>
          <w:p>
            <w:pPr>
              <w:jc w:val="right"/>
              <w:ind w:right="80"/>
              <w:spacing w:after="0" w:line="130" w:lineRule="exact"/>
              <w:rPr>
                <w:sz w:val="20"/>
                <w:szCs w:val="20"/>
                <w:color w:val="auto"/>
              </w:rPr>
            </w:pPr>
            <w:r>
              <w:rPr>
                <w:rFonts w:ascii="Arial" w:cs="Arial" w:eastAsia="Arial" w:hAnsi="Arial"/>
                <w:sz w:val="14"/>
                <w:szCs w:val="14"/>
                <w:color w:val="auto"/>
              </w:rPr>
              <w:t>1,028,807</w:t>
            </w:r>
          </w:p>
        </w:tc>
        <w:tc>
          <w:tcPr>
            <w:tcW w:w="1000" w:type="dxa"/>
            <w:vAlign w:val="bottom"/>
            <w:gridSpan w:val="3"/>
            <w:shd w:val="clear" w:color="auto" w:fill="CCEEFF"/>
          </w:tcPr>
          <w:p>
            <w:pPr>
              <w:jc w:val="right"/>
              <w:ind w:right="80"/>
              <w:spacing w:after="0" w:line="130" w:lineRule="exact"/>
              <w:rPr>
                <w:sz w:val="20"/>
                <w:szCs w:val="20"/>
                <w:color w:val="auto"/>
              </w:rPr>
            </w:pPr>
            <w:r>
              <w:rPr>
                <w:rFonts w:ascii="Arial" w:cs="Arial" w:eastAsia="Arial" w:hAnsi="Arial"/>
                <w:sz w:val="14"/>
                <w:szCs w:val="14"/>
                <w:color w:val="auto"/>
              </w:rPr>
              <w:t>1,028,807</w:t>
            </w:r>
          </w:p>
        </w:tc>
        <w:tc>
          <w:tcPr>
            <w:tcW w:w="0" w:type="dxa"/>
            <w:vAlign w:val="bottom"/>
          </w:tcPr>
          <w:p>
            <w:pPr>
              <w:spacing w:after="0"/>
              <w:rPr>
                <w:sz w:val="1"/>
                <w:szCs w:val="1"/>
                <w:color w:val="auto"/>
              </w:rPr>
            </w:pPr>
          </w:p>
        </w:tc>
      </w:tr>
      <w:tr>
        <w:trPr>
          <w:trHeight w:val="181"/>
        </w:trPr>
        <w:tc>
          <w:tcPr>
            <w:tcW w:w="458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6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2"/>
              </w:rPr>
              <w:t>and Childcare</w:t>
            </w:r>
          </w:p>
        </w:tc>
        <w:tc>
          <w:tcPr>
            <w:tcW w:w="64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48"/>
        </w:trPr>
        <w:tc>
          <w:tcPr>
            <w:tcW w:w="4580" w:type="dxa"/>
            <w:vAlign w:val="bottom"/>
          </w:tcPr>
          <w:p>
            <w:pPr>
              <w:spacing w:after="0" w:line="149" w:lineRule="exact"/>
              <w:rPr>
                <w:sz w:val="20"/>
                <w:szCs w:val="20"/>
                <w:color w:val="auto"/>
              </w:rPr>
            </w:pPr>
            <w:r>
              <w:rPr>
                <w:rFonts w:ascii="Arial" w:cs="Arial" w:eastAsia="Arial" w:hAnsi="Arial"/>
                <w:sz w:val="14"/>
                <w:szCs w:val="14"/>
                <w:color w:val="auto"/>
              </w:rPr>
              <w:t>Learning Care Group (US) Inc. (Warrants)</w:t>
            </w:r>
          </w:p>
        </w:tc>
        <w:tc>
          <w:tcPr>
            <w:tcW w:w="760" w:type="dxa"/>
            <w:vAlign w:val="bottom"/>
          </w:tcPr>
          <w:p>
            <w:pPr>
              <w:ind w:left="40"/>
              <w:spacing w:after="0" w:line="149" w:lineRule="exact"/>
              <w:rPr>
                <w:sz w:val="20"/>
                <w:szCs w:val="20"/>
                <w:color w:val="auto"/>
              </w:rPr>
            </w:pPr>
            <w:r>
              <w:rPr>
                <w:rFonts w:ascii="Arial" w:cs="Arial" w:eastAsia="Arial" w:hAnsi="Arial"/>
                <w:sz w:val="14"/>
                <w:szCs w:val="14"/>
                <w:color w:val="auto"/>
                <w:w w:val="99"/>
              </w:rPr>
              <w:t>04/27/2020</w:t>
            </w:r>
          </w:p>
        </w:tc>
        <w:tc>
          <w:tcPr>
            <w:tcW w:w="1620" w:type="dxa"/>
            <w:vAlign w:val="bottom"/>
          </w:tcPr>
          <w:p>
            <w:pPr>
              <w:jc w:val="center"/>
              <w:spacing w:after="0" w:line="149" w:lineRule="exact"/>
              <w:rPr>
                <w:sz w:val="20"/>
                <w:szCs w:val="20"/>
                <w:color w:val="auto"/>
              </w:rPr>
            </w:pPr>
            <w:r>
              <w:rPr>
                <w:rFonts w:ascii="Arial" w:cs="Arial" w:eastAsia="Arial" w:hAnsi="Arial"/>
                <w:sz w:val="14"/>
                <w:szCs w:val="14"/>
                <w:color w:val="auto"/>
                <w:w w:val="93"/>
              </w:rPr>
              <w:t>Education</w:t>
            </w:r>
          </w:p>
        </w:tc>
        <w:tc>
          <w:tcPr>
            <w:tcW w:w="640" w:type="dxa"/>
            <w:vAlign w:val="bottom"/>
          </w:tcPr>
          <w:p>
            <w:pPr>
              <w:ind w:left="340"/>
              <w:spacing w:after="0" w:line="149" w:lineRule="exact"/>
              <w:rPr>
                <w:sz w:val="20"/>
                <w:szCs w:val="20"/>
                <w:color w:val="auto"/>
              </w:rPr>
            </w:pPr>
            <w:r>
              <w:rPr>
                <w:rFonts w:ascii="Arial" w:cs="Arial" w:eastAsia="Arial" w:hAnsi="Arial"/>
                <w:sz w:val="14"/>
                <w:szCs w:val="14"/>
                <w:color w:val="auto"/>
              </w:rPr>
              <w:t>—</w:t>
            </w:r>
          </w:p>
        </w:tc>
        <w:tc>
          <w:tcPr>
            <w:tcW w:w="880" w:type="dxa"/>
            <w:vAlign w:val="bottom"/>
          </w:tcPr>
          <w:p>
            <w:pPr>
              <w:ind w:left="560"/>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6,649</w:t>
            </w:r>
          </w:p>
        </w:tc>
        <w:tc>
          <w:tcPr>
            <w:tcW w:w="9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779,920</w:t>
            </w:r>
          </w:p>
        </w:tc>
        <w:tc>
          <w:tcPr>
            <w:tcW w:w="100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rPr>
              <w:t>4,300,696</w:t>
            </w:r>
          </w:p>
        </w:tc>
        <w:tc>
          <w:tcPr>
            <w:tcW w:w="0" w:type="dxa"/>
            <w:vAlign w:val="bottom"/>
          </w:tcPr>
          <w:p>
            <w:pPr>
              <w:spacing w:after="0"/>
              <w:rPr>
                <w:sz w:val="1"/>
                <w:szCs w:val="1"/>
                <w:color w:val="auto"/>
              </w:rPr>
            </w:pPr>
          </w:p>
        </w:tc>
      </w:tr>
      <w:tr>
        <w:trPr>
          <w:trHeight w:val="130"/>
        </w:trPr>
        <w:tc>
          <w:tcPr>
            <w:tcW w:w="458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Magnum Hunter Resources Corporation</w:t>
            </w:r>
          </w:p>
        </w:tc>
        <w:tc>
          <w:tcPr>
            <w:tcW w:w="760" w:type="dxa"/>
            <w:vAlign w:val="bottom"/>
            <w:shd w:val="clear" w:color="auto" w:fill="CCEEFF"/>
          </w:tcPr>
          <w:p>
            <w:pPr>
              <w:ind w:left="260"/>
              <w:spacing w:after="0" w:line="130" w:lineRule="exact"/>
              <w:rPr>
                <w:sz w:val="20"/>
                <w:szCs w:val="20"/>
                <w:color w:val="auto"/>
              </w:rPr>
            </w:pPr>
            <w:r>
              <w:rPr>
                <w:rFonts w:ascii="Arial" w:cs="Arial" w:eastAsia="Arial" w:hAnsi="Arial"/>
                <w:sz w:val="14"/>
                <w:szCs w:val="14"/>
                <w:color w:val="auto"/>
              </w:rPr>
              <w:t>—</w:t>
            </w:r>
          </w:p>
        </w:tc>
        <w:tc>
          <w:tcPr>
            <w:tcW w:w="1620" w:type="dxa"/>
            <w:vAlign w:val="bottom"/>
            <w:shd w:val="clear" w:color="auto" w:fill="CCEEFF"/>
          </w:tcPr>
          <w:p>
            <w:pPr>
              <w:jc w:val="center"/>
              <w:spacing w:after="0" w:line="130" w:lineRule="exact"/>
              <w:rPr>
                <w:sz w:val="20"/>
                <w:szCs w:val="20"/>
                <w:color w:val="auto"/>
              </w:rPr>
            </w:pPr>
            <w:r>
              <w:rPr>
                <w:rFonts w:ascii="Arial" w:cs="Arial" w:eastAsia="Arial" w:hAnsi="Arial"/>
                <w:sz w:val="14"/>
                <w:szCs w:val="14"/>
                <w:color w:val="auto"/>
                <w:w w:val="91"/>
              </w:rPr>
              <w:t>Oil and Gas</w:t>
            </w:r>
          </w:p>
        </w:tc>
        <w:tc>
          <w:tcPr>
            <w:tcW w:w="640" w:type="dxa"/>
            <w:vAlign w:val="bottom"/>
            <w:shd w:val="clear" w:color="auto" w:fill="CCEEFF"/>
          </w:tcPr>
          <w:p>
            <w:pPr>
              <w:ind w:left="340"/>
              <w:spacing w:after="0" w:line="130" w:lineRule="exact"/>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ind w:left="560"/>
              <w:spacing w:after="0" w:line="130" w:lineRule="exact"/>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jc w:val="right"/>
              <w:ind w:right="160"/>
              <w:spacing w:after="0" w:line="130" w:lineRule="exact"/>
              <w:rPr>
                <w:sz w:val="20"/>
                <w:szCs w:val="20"/>
                <w:color w:val="auto"/>
              </w:rPr>
            </w:pPr>
            <w:r>
              <w:rPr>
                <w:rFonts w:ascii="Arial" w:cs="Arial" w:eastAsia="Arial" w:hAnsi="Arial"/>
                <w:sz w:val="14"/>
                <w:szCs w:val="14"/>
                <w:color w:val="auto"/>
              </w:rPr>
              <w:t>1,221,932</w:t>
            </w:r>
          </w:p>
        </w:tc>
        <w:tc>
          <w:tcPr>
            <w:tcW w:w="900" w:type="dxa"/>
            <w:vAlign w:val="bottom"/>
            <w:gridSpan w:val="2"/>
            <w:shd w:val="clear" w:color="auto" w:fill="CCEEFF"/>
          </w:tcPr>
          <w:p>
            <w:pPr>
              <w:jc w:val="right"/>
              <w:ind w:right="80"/>
              <w:spacing w:after="0" w:line="130" w:lineRule="exact"/>
              <w:rPr>
                <w:sz w:val="20"/>
                <w:szCs w:val="20"/>
                <w:color w:val="auto"/>
              </w:rPr>
            </w:pPr>
            <w:r>
              <w:rPr>
                <w:rFonts w:ascii="Arial" w:cs="Arial" w:eastAsia="Arial" w:hAnsi="Arial"/>
                <w:sz w:val="14"/>
                <w:szCs w:val="14"/>
                <w:color w:val="auto"/>
              </w:rPr>
              <w:t>3,057,500</w:t>
            </w:r>
          </w:p>
        </w:tc>
        <w:tc>
          <w:tcPr>
            <w:tcW w:w="1000" w:type="dxa"/>
            <w:vAlign w:val="bottom"/>
            <w:gridSpan w:val="3"/>
            <w:shd w:val="clear" w:color="auto" w:fill="CCEEFF"/>
          </w:tcPr>
          <w:p>
            <w:pPr>
              <w:jc w:val="right"/>
              <w:ind w:right="80"/>
              <w:spacing w:after="0" w:line="130" w:lineRule="exact"/>
              <w:rPr>
                <w:sz w:val="20"/>
                <w:szCs w:val="20"/>
                <w:color w:val="auto"/>
              </w:rPr>
            </w:pPr>
            <w:r>
              <w:rPr>
                <w:rFonts w:ascii="Arial" w:cs="Arial" w:eastAsia="Arial" w:hAnsi="Arial"/>
                <w:sz w:val="14"/>
                <w:szCs w:val="14"/>
                <w:color w:val="auto"/>
              </w:rPr>
              <w:t>7,539,320</w:t>
            </w:r>
          </w:p>
        </w:tc>
        <w:tc>
          <w:tcPr>
            <w:tcW w:w="0" w:type="dxa"/>
            <w:vAlign w:val="bottom"/>
          </w:tcPr>
          <w:p>
            <w:pPr>
              <w:spacing w:after="0"/>
              <w:rPr>
                <w:sz w:val="1"/>
                <w:szCs w:val="1"/>
                <w:color w:val="auto"/>
              </w:rPr>
            </w:pPr>
          </w:p>
        </w:tc>
      </w:tr>
      <w:tr>
        <w:trPr>
          <w:trHeight w:val="167"/>
        </w:trPr>
        <w:tc>
          <w:tcPr>
            <w:tcW w:w="4580" w:type="dxa"/>
            <w:vAlign w:val="bottom"/>
            <w:shd w:val="clear" w:color="auto" w:fill="CCEEFF"/>
          </w:tcPr>
          <w:p>
            <w:pPr>
              <w:ind w:left="160"/>
              <w:spacing w:after="0"/>
              <w:rPr>
                <w:sz w:val="20"/>
                <w:szCs w:val="20"/>
                <w:color w:val="auto"/>
              </w:rPr>
            </w:pPr>
            <w:r>
              <w:rPr>
                <w:rFonts w:ascii="Arial" w:cs="Arial" w:eastAsia="Arial" w:hAnsi="Arial"/>
                <w:sz w:val="14"/>
                <w:szCs w:val="14"/>
                <w:color w:val="auto"/>
              </w:rPr>
              <w:t>(Eureka Hunter Pipeline, LLC)</w:t>
            </w:r>
          </w:p>
        </w:tc>
        <w:tc>
          <w:tcPr>
            <w:tcW w:w="760" w:type="dxa"/>
            <w:vAlign w:val="bottom"/>
            <w:shd w:val="clear" w:color="auto" w:fill="CCEEFF"/>
          </w:tcPr>
          <w:p>
            <w:pPr>
              <w:spacing w:after="0"/>
              <w:rPr>
                <w:sz w:val="14"/>
                <w:szCs w:val="14"/>
                <w:color w:val="auto"/>
              </w:rPr>
            </w:pPr>
          </w:p>
        </w:tc>
        <w:tc>
          <w:tcPr>
            <w:tcW w:w="162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4580" w:type="dxa"/>
            <w:vAlign w:val="bottom"/>
          </w:tcPr>
          <w:p>
            <w:pPr>
              <w:spacing w:after="0" w:line="130" w:lineRule="exact"/>
              <w:rPr>
                <w:sz w:val="20"/>
                <w:szCs w:val="20"/>
                <w:color w:val="auto"/>
              </w:rPr>
            </w:pPr>
            <w:r>
              <w:rPr>
                <w:rFonts w:ascii="Arial" w:cs="Arial" w:eastAsia="Arial" w:hAnsi="Arial"/>
                <w:sz w:val="14"/>
                <w:szCs w:val="14"/>
                <w:color w:val="auto"/>
              </w:rPr>
              <w:t>Magnum Hunter Resources Corporation</w:t>
            </w:r>
          </w:p>
        </w:tc>
        <w:tc>
          <w:tcPr>
            <w:tcW w:w="760" w:type="dxa"/>
            <w:vAlign w:val="bottom"/>
          </w:tcPr>
          <w:p>
            <w:pPr>
              <w:ind w:left="40"/>
              <w:spacing w:after="0" w:line="130" w:lineRule="exact"/>
              <w:rPr>
                <w:sz w:val="20"/>
                <w:szCs w:val="20"/>
                <w:color w:val="auto"/>
              </w:rPr>
            </w:pPr>
            <w:r>
              <w:rPr>
                <w:rFonts w:ascii="Arial" w:cs="Arial" w:eastAsia="Arial" w:hAnsi="Arial"/>
                <w:sz w:val="14"/>
                <w:szCs w:val="14"/>
                <w:color w:val="auto"/>
                <w:w w:val="99"/>
              </w:rPr>
              <w:t>10/14/2013</w:t>
            </w:r>
          </w:p>
        </w:tc>
        <w:tc>
          <w:tcPr>
            <w:tcW w:w="1620" w:type="dxa"/>
            <w:vAlign w:val="bottom"/>
          </w:tcPr>
          <w:p>
            <w:pPr>
              <w:jc w:val="center"/>
              <w:spacing w:after="0" w:line="130" w:lineRule="exact"/>
              <w:rPr>
                <w:sz w:val="20"/>
                <w:szCs w:val="20"/>
                <w:color w:val="auto"/>
              </w:rPr>
            </w:pPr>
            <w:r>
              <w:rPr>
                <w:rFonts w:ascii="Arial" w:cs="Arial" w:eastAsia="Arial" w:hAnsi="Arial"/>
                <w:sz w:val="14"/>
                <w:szCs w:val="14"/>
                <w:color w:val="auto"/>
                <w:w w:val="91"/>
              </w:rPr>
              <w:t>Oil and Gas</w:t>
            </w:r>
          </w:p>
        </w:tc>
        <w:tc>
          <w:tcPr>
            <w:tcW w:w="640" w:type="dxa"/>
            <w:vAlign w:val="bottom"/>
          </w:tcPr>
          <w:p>
            <w:pPr>
              <w:ind w:left="340"/>
              <w:spacing w:after="0" w:line="130" w:lineRule="exact"/>
              <w:rPr>
                <w:sz w:val="20"/>
                <w:szCs w:val="20"/>
                <w:color w:val="auto"/>
              </w:rPr>
            </w:pPr>
            <w:r>
              <w:rPr>
                <w:rFonts w:ascii="Arial" w:cs="Arial" w:eastAsia="Arial" w:hAnsi="Arial"/>
                <w:sz w:val="14"/>
                <w:szCs w:val="14"/>
                <w:color w:val="auto"/>
              </w:rPr>
              <w:t>—</w:t>
            </w:r>
          </w:p>
        </w:tc>
        <w:tc>
          <w:tcPr>
            <w:tcW w:w="880" w:type="dxa"/>
            <w:vAlign w:val="bottom"/>
          </w:tcPr>
          <w:p>
            <w:pPr>
              <w:ind w:left="560"/>
              <w:spacing w:after="0" w:line="130" w:lineRule="exact"/>
              <w:rPr>
                <w:sz w:val="20"/>
                <w:szCs w:val="20"/>
                <w:color w:val="auto"/>
              </w:rPr>
            </w:pPr>
            <w:r>
              <w:rPr>
                <w:rFonts w:ascii="Arial" w:cs="Arial" w:eastAsia="Arial" w:hAnsi="Arial"/>
                <w:sz w:val="14"/>
                <w:szCs w:val="14"/>
                <w:color w:val="auto"/>
              </w:rPr>
              <w:t>—</w:t>
            </w:r>
          </w:p>
        </w:tc>
        <w:tc>
          <w:tcPr>
            <w:tcW w:w="860" w:type="dxa"/>
            <w:vAlign w:val="bottom"/>
            <w:gridSpan w:val="2"/>
          </w:tcPr>
          <w:p>
            <w:pPr>
              <w:jc w:val="right"/>
              <w:ind w:right="160"/>
              <w:spacing w:after="0" w:line="130" w:lineRule="exact"/>
              <w:rPr>
                <w:sz w:val="20"/>
                <w:szCs w:val="20"/>
                <w:color w:val="auto"/>
              </w:rPr>
            </w:pPr>
            <w:r>
              <w:rPr>
                <w:rFonts w:ascii="Arial" w:cs="Arial" w:eastAsia="Arial" w:hAnsi="Arial"/>
                <w:sz w:val="14"/>
                <w:szCs w:val="14"/>
                <w:color w:val="auto"/>
              </w:rPr>
              <w:t>122,193</w:t>
            </w:r>
          </w:p>
        </w:tc>
        <w:tc>
          <w:tcPr>
            <w:tcW w:w="900" w:type="dxa"/>
            <w:vAlign w:val="bottom"/>
            <w:gridSpan w:val="2"/>
          </w:tcPr>
          <w:p>
            <w:pPr>
              <w:jc w:val="right"/>
              <w:ind w:right="80"/>
              <w:spacing w:after="0" w:line="130" w:lineRule="exact"/>
              <w:rPr>
                <w:sz w:val="20"/>
                <w:szCs w:val="20"/>
                <w:color w:val="auto"/>
              </w:rPr>
            </w:pPr>
            <w:r>
              <w:rPr>
                <w:rFonts w:ascii="Arial" w:cs="Arial" w:eastAsia="Arial" w:hAnsi="Arial"/>
                <w:sz w:val="14"/>
                <w:szCs w:val="14"/>
                <w:color w:val="auto"/>
              </w:rPr>
              <w:t>105,697</w:t>
            </w:r>
          </w:p>
        </w:tc>
        <w:tc>
          <w:tcPr>
            <w:tcW w:w="100" w:type="dxa"/>
            <w:vAlign w:val="bottom"/>
          </w:tcPr>
          <w:p>
            <w:pPr>
              <w:spacing w:after="0"/>
              <w:rPr>
                <w:sz w:val="11"/>
                <w:szCs w:val="11"/>
                <w:color w:val="auto"/>
              </w:rPr>
            </w:pPr>
          </w:p>
        </w:tc>
        <w:tc>
          <w:tcPr>
            <w:tcW w:w="900" w:type="dxa"/>
            <w:vAlign w:val="bottom"/>
            <w:gridSpan w:val="2"/>
          </w:tcPr>
          <w:p>
            <w:pPr>
              <w:ind w:left="600"/>
              <w:spacing w:after="0" w:line="130"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7"/>
        </w:trPr>
        <w:tc>
          <w:tcPr>
            <w:tcW w:w="4580" w:type="dxa"/>
            <w:vAlign w:val="bottom"/>
          </w:tcPr>
          <w:p>
            <w:pPr>
              <w:ind w:left="160"/>
              <w:spacing w:after="0"/>
              <w:rPr>
                <w:sz w:val="20"/>
                <w:szCs w:val="20"/>
                <w:color w:val="auto"/>
              </w:rPr>
            </w:pPr>
            <w:r>
              <w:rPr>
                <w:rFonts w:ascii="Arial" w:cs="Arial" w:eastAsia="Arial" w:hAnsi="Arial"/>
                <w:sz w:val="14"/>
                <w:szCs w:val="14"/>
                <w:color w:val="auto"/>
              </w:rPr>
              <w:t>(Warrants) (Eureka Hunter Pipeline, LLC)</w:t>
            </w:r>
          </w:p>
        </w:tc>
        <w:tc>
          <w:tcPr>
            <w:tcW w:w="76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458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Magnum Hunter Resources Corporation</w:t>
            </w:r>
          </w:p>
        </w:tc>
        <w:tc>
          <w:tcPr>
            <w:tcW w:w="760" w:type="dxa"/>
            <w:vAlign w:val="bottom"/>
            <w:shd w:val="clear" w:color="auto" w:fill="CCEEFF"/>
          </w:tcPr>
          <w:p>
            <w:pPr>
              <w:ind w:left="40"/>
              <w:spacing w:after="0" w:line="130" w:lineRule="exact"/>
              <w:rPr>
                <w:sz w:val="20"/>
                <w:szCs w:val="20"/>
                <w:color w:val="auto"/>
              </w:rPr>
            </w:pPr>
            <w:r>
              <w:rPr>
                <w:rFonts w:ascii="Arial" w:cs="Arial" w:eastAsia="Arial" w:hAnsi="Arial"/>
                <w:sz w:val="14"/>
                <w:szCs w:val="14"/>
                <w:color w:val="auto"/>
                <w:w w:val="99"/>
              </w:rPr>
              <w:t>04/16/2016</w:t>
            </w:r>
          </w:p>
        </w:tc>
        <w:tc>
          <w:tcPr>
            <w:tcW w:w="1620" w:type="dxa"/>
            <w:vAlign w:val="bottom"/>
            <w:shd w:val="clear" w:color="auto" w:fill="CCEEFF"/>
          </w:tcPr>
          <w:p>
            <w:pPr>
              <w:jc w:val="center"/>
              <w:spacing w:after="0" w:line="130" w:lineRule="exact"/>
              <w:rPr>
                <w:sz w:val="20"/>
                <w:szCs w:val="20"/>
                <w:color w:val="auto"/>
              </w:rPr>
            </w:pPr>
            <w:r>
              <w:rPr>
                <w:rFonts w:ascii="Arial" w:cs="Arial" w:eastAsia="Arial" w:hAnsi="Arial"/>
                <w:sz w:val="14"/>
                <w:szCs w:val="14"/>
                <w:color w:val="auto"/>
                <w:w w:val="91"/>
              </w:rPr>
              <w:t>Oil and Gas</w:t>
            </w:r>
          </w:p>
        </w:tc>
        <w:tc>
          <w:tcPr>
            <w:tcW w:w="640" w:type="dxa"/>
            <w:vAlign w:val="bottom"/>
            <w:shd w:val="clear" w:color="auto" w:fill="CCEEFF"/>
          </w:tcPr>
          <w:p>
            <w:pPr>
              <w:ind w:left="340"/>
              <w:spacing w:after="0" w:line="130" w:lineRule="exact"/>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ind w:left="560"/>
              <w:spacing w:after="0" w:line="130" w:lineRule="exact"/>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jc w:val="right"/>
              <w:ind w:right="160"/>
              <w:spacing w:after="0" w:line="130" w:lineRule="exact"/>
              <w:rPr>
                <w:sz w:val="20"/>
                <w:szCs w:val="20"/>
                <w:color w:val="auto"/>
              </w:rPr>
            </w:pPr>
            <w:r>
              <w:rPr>
                <w:rFonts w:ascii="Arial" w:cs="Arial" w:eastAsia="Arial" w:hAnsi="Arial"/>
                <w:sz w:val="14"/>
                <w:szCs w:val="14"/>
                <w:color w:val="auto"/>
              </w:rPr>
              <w:t>122,193</w:t>
            </w:r>
          </w:p>
        </w:tc>
        <w:tc>
          <w:tcPr>
            <w:tcW w:w="900" w:type="dxa"/>
            <w:vAlign w:val="bottom"/>
            <w:gridSpan w:val="2"/>
            <w:shd w:val="clear" w:color="auto" w:fill="CCEEFF"/>
          </w:tcPr>
          <w:p>
            <w:pPr>
              <w:jc w:val="right"/>
              <w:ind w:right="80"/>
              <w:spacing w:after="0" w:line="130" w:lineRule="exact"/>
              <w:rPr>
                <w:sz w:val="20"/>
                <w:szCs w:val="20"/>
                <w:color w:val="auto"/>
              </w:rPr>
            </w:pPr>
            <w:r>
              <w:rPr>
                <w:rFonts w:ascii="Arial" w:cs="Arial" w:eastAsia="Arial" w:hAnsi="Arial"/>
                <w:sz w:val="14"/>
                <w:szCs w:val="14"/>
                <w:color w:val="auto"/>
              </w:rPr>
              <w:t>182,499</w:t>
            </w:r>
          </w:p>
        </w:tc>
        <w:tc>
          <w:tcPr>
            <w:tcW w:w="1000" w:type="dxa"/>
            <w:vAlign w:val="bottom"/>
            <w:gridSpan w:val="3"/>
            <w:shd w:val="clear" w:color="auto" w:fill="CCEEFF"/>
          </w:tcPr>
          <w:p>
            <w:pPr>
              <w:jc w:val="right"/>
              <w:ind w:right="80"/>
              <w:spacing w:after="0" w:line="130" w:lineRule="exact"/>
              <w:rPr>
                <w:sz w:val="20"/>
                <w:szCs w:val="20"/>
                <w:color w:val="auto"/>
              </w:rPr>
            </w:pPr>
            <w:r>
              <w:rPr>
                <w:rFonts w:ascii="Arial" w:cs="Arial" w:eastAsia="Arial" w:hAnsi="Arial"/>
                <w:sz w:val="14"/>
                <w:szCs w:val="14"/>
                <w:color w:val="auto"/>
              </w:rPr>
              <w:t>205,667</w:t>
            </w:r>
          </w:p>
        </w:tc>
        <w:tc>
          <w:tcPr>
            <w:tcW w:w="0" w:type="dxa"/>
            <w:vAlign w:val="bottom"/>
          </w:tcPr>
          <w:p>
            <w:pPr>
              <w:spacing w:after="0"/>
              <w:rPr>
                <w:sz w:val="1"/>
                <w:szCs w:val="1"/>
                <w:color w:val="auto"/>
              </w:rPr>
            </w:pPr>
          </w:p>
        </w:tc>
      </w:tr>
      <w:tr>
        <w:trPr>
          <w:trHeight w:val="167"/>
        </w:trPr>
        <w:tc>
          <w:tcPr>
            <w:tcW w:w="4580" w:type="dxa"/>
            <w:vAlign w:val="bottom"/>
            <w:shd w:val="clear" w:color="auto" w:fill="CCEEFF"/>
          </w:tcPr>
          <w:p>
            <w:pPr>
              <w:ind w:left="160"/>
              <w:spacing w:after="0"/>
              <w:rPr>
                <w:sz w:val="20"/>
                <w:szCs w:val="20"/>
                <w:color w:val="auto"/>
              </w:rPr>
            </w:pPr>
            <w:r>
              <w:rPr>
                <w:rFonts w:ascii="Arial" w:cs="Arial" w:eastAsia="Arial" w:hAnsi="Arial"/>
                <w:sz w:val="14"/>
                <w:szCs w:val="14"/>
                <w:color w:val="auto"/>
              </w:rPr>
              <w:t>(Warrants) (Eureka Hunter Pipeline, LLC)</w:t>
            </w:r>
          </w:p>
        </w:tc>
        <w:tc>
          <w:tcPr>
            <w:tcW w:w="760" w:type="dxa"/>
            <w:vAlign w:val="bottom"/>
            <w:shd w:val="clear" w:color="auto" w:fill="CCEEFF"/>
          </w:tcPr>
          <w:p>
            <w:pPr>
              <w:spacing w:after="0"/>
              <w:rPr>
                <w:sz w:val="14"/>
                <w:szCs w:val="14"/>
                <w:color w:val="auto"/>
              </w:rPr>
            </w:pPr>
          </w:p>
        </w:tc>
        <w:tc>
          <w:tcPr>
            <w:tcW w:w="162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4580" w:type="dxa"/>
            <w:vAlign w:val="bottom"/>
          </w:tcPr>
          <w:p>
            <w:pPr>
              <w:spacing w:after="0" w:line="130" w:lineRule="exact"/>
              <w:rPr>
                <w:sz w:val="20"/>
                <w:szCs w:val="20"/>
                <w:color w:val="auto"/>
              </w:rPr>
            </w:pPr>
            <w:r>
              <w:rPr>
                <w:rFonts w:ascii="Arial" w:cs="Arial" w:eastAsia="Arial" w:hAnsi="Arial"/>
                <w:sz w:val="14"/>
                <w:szCs w:val="14"/>
                <w:color w:val="auto"/>
              </w:rPr>
              <w:t>MidOcean JF Holdings Corp.</w:t>
            </w:r>
          </w:p>
        </w:tc>
        <w:tc>
          <w:tcPr>
            <w:tcW w:w="760" w:type="dxa"/>
            <w:vAlign w:val="bottom"/>
          </w:tcPr>
          <w:p>
            <w:pPr>
              <w:ind w:left="260"/>
              <w:spacing w:after="0" w:line="130" w:lineRule="exact"/>
              <w:rPr>
                <w:sz w:val="20"/>
                <w:szCs w:val="20"/>
                <w:color w:val="auto"/>
              </w:rPr>
            </w:pPr>
            <w:r>
              <w:rPr>
                <w:rFonts w:ascii="Arial" w:cs="Arial" w:eastAsia="Arial" w:hAnsi="Arial"/>
                <w:sz w:val="14"/>
                <w:szCs w:val="14"/>
                <w:color w:val="auto"/>
              </w:rPr>
              <w:t>—</w:t>
            </w:r>
          </w:p>
        </w:tc>
        <w:tc>
          <w:tcPr>
            <w:tcW w:w="1620" w:type="dxa"/>
            <w:vAlign w:val="bottom"/>
          </w:tcPr>
          <w:p>
            <w:pPr>
              <w:jc w:val="center"/>
              <w:spacing w:after="0" w:line="130" w:lineRule="exact"/>
              <w:rPr>
                <w:sz w:val="20"/>
                <w:szCs w:val="20"/>
                <w:color w:val="auto"/>
              </w:rPr>
            </w:pPr>
            <w:r>
              <w:rPr>
                <w:rFonts w:ascii="Arial" w:cs="Arial" w:eastAsia="Arial" w:hAnsi="Arial"/>
                <w:sz w:val="14"/>
                <w:szCs w:val="14"/>
                <w:color w:val="auto"/>
                <w:w w:val="99"/>
              </w:rPr>
              <w:t>Distribution</w:t>
            </w:r>
          </w:p>
        </w:tc>
        <w:tc>
          <w:tcPr>
            <w:tcW w:w="640" w:type="dxa"/>
            <w:vAlign w:val="bottom"/>
          </w:tcPr>
          <w:p>
            <w:pPr>
              <w:ind w:left="340"/>
              <w:spacing w:after="0" w:line="130" w:lineRule="exact"/>
              <w:rPr>
                <w:sz w:val="20"/>
                <w:szCs w:val="20"/>
                <w:color w:val="auto"/>
              </w:rPr>
            </w:pPr>
            <w:r>
              <w:rPr>
                <w:rFonts w:ascii="Arial" w:cs="Arial" w:eastAsia="Arial" w:hAnsi="Arial"/>
                <w:sz w:val="14"/>
                <w:szCs w:val="14"/>
                <w:color w:val="auto"/>
              </w:rPr>
              <w:t>—</w:t>
            </w:r>
          </w:p>
        </w:tc>
        <w:tc>
          <w:tcPr>
            <w:tcW w:w="880" w:type="dxa"/>
            <w:vAlign w:val="bottom"/>
          </w:tcPr>
          <w:p>
            <w:pPr>
              <w:ind w:left="560"/>
              <w:spacing w:after="0" w:line="130" w:lineRule="exact"/>
              <w:rPr>
                <w:sz w:val="20"/>
                <w:szCs w:val="20"/>
                <w:color w:val="auto"/>
              </w:rPr>
            </w:pPr>
            <w:r>
              <w:rPr>
                <w:rFonts w:ascii="Arial" w:cs="Arial" w:eastAsia="Arial" w:hAnsi="Arial"/>
                <w:sz w:val="14"/>
                <w:szCs w:val="14"/>
                <w:color w:val="auto"/>
              </w:rPr>
              <w:t>—</w:t>
            </w:r>
          </w:p>
        </w:tc>
        <w:tc>
          <w:tcPr>
            <w:tcW w:w="860" w:type="dxa"/>
            <w:vAlign w:val="bottom"/>
            <w:gridSpan w:val="2"/>
          </w:tcPr>
          <w:p>
            <w:pPr>
              <w:jc w:val="right"/>
              <w:ind w:right="160"/>
              <w:spacing w:after="0" w:line="130" w:lineRule="exact"/>
              <w:rPr>
                <w:sz w:val="20"/>
                <w:szCs w:val="20"/>
                <w:color w:val="auto"/>
              </w:rPr>
            </w:pPr>
            <w:r>
              <w:rPr>
                <w:rFonts w:ascii="Arial" w:cs="Arial" w:eastAsia="Arial" w:hAnsi="Arial"/>
                <w:sz w:val="14"/>
                <w:szCs w:val="14"/>
                <w:color w:val="auto"/>
              </w:rPr>
              <w:t>1,850</w:t>
            </w:r>
          </w:p>
        </w:tc>
        <w:tc>
          <w:tcPr>
            <w:tcW w:w="900" w:type="dxa"/>
            <w:vAlign w:val="bottom"/>
            <w:gridSpan w:val="2"/>
          </w:tcPr>
          <w:p>
            <w:pPr>
              <w:jc w:val="right"/>
              <w:ind w:right="80"/>
              <w:spacing w:after="0" w:line="130" w:lineRule="exact"/>
              <w:rPr>
                <w:sz w:val="20"/>
                <w:szCs w:val="20"/>
                <w:color w:val="auto"/>
              </w:rPr>
            </w:pPr>
            <w:r>
              <w:rPr>
                <w:rFonts w:ascii="Arial" w:cs="Arial" w:eastAsia="Arial" w:hAnsi="Arial"/>
                <w:sz w:val="14"/>
                <w:szCs w:val="14"/>
                <w:color w:val="auto"/>
              </w:rPr>
              <w:t>1,850,294</w:t>
            </w:r>
          </w:p>
        </w:tc>
        <w:tc>
          <w:tcPr>
            <w:tcW w:w="1000" w:type="dxa"/>
            <w:vAlign w:val="bottom"/>
            <w:gridSpan w:val="3"/>
          </w:tcPr>
          <w:p>
            <w:pPr>
              <w:jc w:val="right"/>
              <w:ind w:right="80"/>
              <w:spacing w:after="0" w:line="130" w:lineRule="exact"/>
              <w:rPr>
                <w:sz w:val="20"/>
                <w:szCs w:val="20"/>
                <w:color w:val="auto"/>
              </w:rPr>
            </w:pPr>
            <w:r>
              <w:rPr>
                <w:rFonts w:ascii="Arial" w:cs="Arial" w:eastAsia="Arial" w:hAnsi="Arial"/>
                <w:sz w:val="14"/>
                <w:szCs w:val="14"/>
                <w:color w:val="auto"/>
              </w:rPr>
              <w:t>1,845,784</w:t>
            </w:r>
          </w:p>
        </w:tc>
        <w:tc>
          <w:tcPr>
            <w:tcW w:w="0" w:type="dxa"/>
            <w:vAlign w:val="bottom"/>
          </w:tcPr>
          <w:p>
            <w:pPr>
              <w:spacing w:after="0"/>
              <w:rPr>
                <w:sz w:val="1"/>
                <w:szCs w:val="1"/>
                <w:color w:val="auto"/>
              </w:rPr>
            </w:pPr>
          </w:p>
        </w:tc>
      </w:tr>
      <w:tr>
        <w:trPr>
          <w:trHeight w:val="167"/>
        </w:trPr>
        <w:tc>
          <w:tcPr>
            <w:tcW w:w="4580" w:type="dxa"/>
            <w:vAlign w:val="bottom"/>
          </w:tcPr>
          <w:p>
            <w:pPr>
              <w:ind w:left="160"/>
              <w:spacing w:after="0"/>
              <w:rPr>
                <w:sz w:val="20"/>
                <w:szCs w:val="20"/>
                <w:color w:val="auto"/>
              </w:rPr>
            </w:pPr>
            <w:r>
              <w:rPr>
                <w:rFonts w:ascii="Arial" w:cs="Arial" w:eastAsia="Arial" w:hAnsi="Arial"/>
                <w:sz w:val="14"/>
                <w:szCs w:val="14"/>
                <w:color w:val="auto"/>
              </w:rPr>
              <w:t>(JF Acquisition, LLC)</w:t>
            </w:r>
          </w:p>
        </w:tc>
        <w:tc>
          <w:tcPr>
            <w:tcW w:w="76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458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MidOcean PPL Holdings, Corp.</w:t>
            </w:r>
          </w:p>
        </w:tc>
        <w:tc>
          <w:tcPr>
            <w:tcW w:w="760" w:type="dxa"/>
            <w:vAlign w:val="bottom"/>
            <w:shd w:val="clear" w:color="auto" w:fill="CCEEFF"/>
          </w:tcPr>
          <w:p>
            <w:pPr>
              <w:ind w:left="260"/>
              <w:spacing w:after="0" w:line="130" w:lineRule="exact"/>
              <w:rPr>
                <w:sz w:val="20"/>
                <w:szCs w:val="20"/>
                <w:color w:val="auto"/>
              </w:rPr>
            </w:pPr>
            <w:r>
              <w:rPr>
                <w:rFonts w:ascii="Arial" w:cs="Arial" w:eastAsia="Arial" w:hAnsi="Arial"/>
                <w:sz w:val="14"/>
                <w:szCs w:val="14"/>
                <w:color w:val="auto"/>
              </w:rPr>
              <w:t>—</w:t>
            </w:r>
          </w:p>
        </w:tc>
        <w:tc>
          <w:tcPr>
            <w:tcW w:w="1620" w:type="dxa"/>
            <w:vAlign w:val="bottom"/>
            <w:shd w:val="clear" w:color="auto" w:fill="CCEEFF"/>
          </w:tcPr>
          <w:p>
            <w:pPr>
              <w:jc w:val="center"/>
              <w:spacing w:after="0" w:line="130" w:lineRule="exact"/>
              <w:rPr>
                <w:sz w:val="20"/>
                <w:szCs w:val="20"/>
                <w:color w:val="auto"/>
              </w:rPr>
            </w:pPr>
            <w:r>
              <w:rPr>
                <w:rFonts w:ascii="Arial" w:cs="Arial" w:eastAsia="Arial" w:hAnsi="Arial"/>
                <w:sz w:val="14"/>
                <w:szCs w:val="14"/>
                <w:color w:val="auto"/>
                <w:w w:val="89"/>
              </w:rPr>
              <w:t>Personal, Food and</w:t>
            </w:r>
          </w:p>
        </w:tc>
        <w:tc>
          <w:tcPr>
            <w:tcW w:w="640" w:type="dxa"/>
            <w:vAlign w:val="bottom"/>
            <w:shd w:val="clear" w:color="auto" w:fill="CCEEFF"/>
          </w:tcPr>
          <w:p>
            <w:pPr>
              <w:ind w:left="340"/>
              <w:spacing w:after="0" w:line="130" w:lineRule="exact"/>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ind w:left="560"/>
              <w:spacing w:after="0" w:line="130" w:lineRule="exact"/>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jc w:val="right"/>
              <w:ind w:right="160"/>
              <w:spacing w:after="0" w:line="130" w:lineRule="exact"/>
              <w:rPr>
                <w:sz w:val="20"/>
                <w:szCs w:val="20"/>
                <w:color w:val="auto"/>
              </w:rPr>
            </w:pPr>
            <w:r>
              <w:rPr>
                <w:rFonts w:ascii="Arial" w:cs="Arial" w:eastAsia="Arial" w:hAnsi="Arial"/>
                <w:sz w:val="14"/>
                <w:szCs w:val="14"/>
                <w:color w:val="auto"/>
              </w:rPr>
              <w:t>3,000</w:t>
            </w:r>
          </w:p>
        </w:tc>
        <w:tc>
          <w:tcPr>
            <w:tcW w:w="900" w:type="dxa"/>
            <w:vAlign w:val="bottom"/>
            <w:gridSpan w:val="2"/>
            <w:shd w:val="clear" w:color="auto" w:fill="CCEEFF"/>
          </w:tcPr>
          <w:p>
            <w:pPr>
              <w:jc w:val="right"/>
              <w:ind w:right="80"/>
              <w:spacing w:after="0" w:line="130" w:lineRule="exact"/>
              <w:rPr>
                <w:sz w:val="20"/>
                <w:szCs w:val="20"/>
                <w:color w:val="auto"/>
              </w:rPr>
            </w:pPr>
            <w:r>
              <w:rPr>
                <w:rFonts w:ascii="Arial" w:cs="Arial" w:eastAsia="Arial" w:hAnsi="Arial"/>
                <w:sz w:val="14"/>
                <w:szCs w:val="14"/>
                <w:color w:val="auto"/>
              </w:rPr>
              <w:t>3,000,000</w:t>
            </w:r>
          </w:p>
        </w:tc>
        <w:tc>
          <w:tcPr>
            <w:tcW w:w="1000" w:type="dxa"/>
            <w:vAlign w:val="bottom"/>
            <w:gridSpan w:val="3"/>
            <w:shd w:val="clear" w:color="auto" w:fill="CCEEFF"/>
          </w:tcPr>
          <w:p>
            <w:pPr>
              <w:jc w:val="right"/>
              <w:ind w:right="80"/>
              <w:spacing w:after="0" w:line="130" w:lineRule="exact"/>
              <w:rPr>
                <w:sz w:val="20"/>
                <w:szCs w:val="20"/>
                <w:color w:val="auto"/>
              </w:rPr>
            </w:pPr>
            <w:r>
              <w:rPr>
                <w:rFonts w:ascii="Arial" w:cs="Arial" w:eastAsia="Arial" w:hAnsi="Arial"/>
                <w:sz w:val="14"/>
                <w:szCs w:val="14"/>
                <w:color w:val="auto"/>
              </w:rPr>
              <w:t>5,441,976</w:t>
            </w:r>
          </w:p>
        </w:tc>
        <w:tc>
          <w:tcPr>
            <w:tcW w:w="0" w:type="dxa"/>
            <w:vAlign w:val="bottom"/>
          </w:tcPr>
          <w:p>
            <w:pPr>
              <w:spacing w:after="0"/>
              <w:rPr>
                <w:sz w:val="1"/>
                <w:szCs w:val="1"/>
                <w:color w:val="auto"/>
              </w:rPr>
            </w:pPr>
          </w:p>
        </w:tc>
      </w:tr>
      <w:tr>
        <w:trPr>
          <w:trHeight w:val="181"/>
        </w:trPr>
        <w:tc>
          <w:tcPr>
            <w:tcW w:w="4580" w:type="dxa"/>
            <w:vAlign w:val="bottom"/>
            <w:shd w:val="clear" w:color="auto" w:fill="CCEEFF"/>
          </w:tcPr>
          <w:p>
            <w:pPr>
              <w:ind w:left="160"/>
              <w:spacing w:after="0"/>
              <w:rPr>
                <w:sz w:val="20"/>
                <w:szCs w:val="20"/>
                <w:color w:val="auto"/>
              </w:rPr>
            </w:pPr>
            <w:r>
              <w:rPr>
                <w:rFonts w:ascii="Arial" w:cs="Arial" w:eastAsia="Arial" w:hAnsi="Arial"/>
                <w:sz w:val="14"/>
                <w:szCs w:val="14"/>
                <w:color w:val="auto"/>
              </w:rPr>
              <w:t>(Pre-Paid Legal Services, Inc.)</w:t>
            </w:r>
          </w:p>
        </w:tc>
        <w:tc>
          <w:tcPr>
            <w:tcW w:w="760" w:type="dxa"/>
            <w:vAlign w:val="bottom"/>
            <w:shd w:val="clear" w:color="auto" w:fill="CCEEFF"/>
          </w:tcPr>
          <w:p>
            <w:pPr>
              <w:spacing w:after="0"/>
              <w:rPr>
                <w:sz w:val="15"/>
                <w:szCs w:val="15"/>
                <w:color w:val="auto"/>
              </w:rPr>
            </w:pPr>
          </w:p>
        </w:tc>
        <w:tc>
          <w:tcPr>
            <w:tcW w:w="16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2"/>
              </w:rPr>
              <w:t>Miscellaneous Services</w:t>
            </w:r>
          </w:p>
        </w:tc>
        <w:tc>
          <w:tcPr>
            <w:tcW w:w="64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30"/>
        </w:trPr>
        <w:tc>
          <w:tcPr>
            <w:tcW w:w="4580" w:type="dxa"/>
            <w:vAlign w:val="bottom"/>
          </w:tcPr>
          <w:p>
            <w:pPr>
              <w:spacing w:after="0" w:line="130" w:lineRule="exact"/>
              <w:rPr>
                <w:sz w:val="20"/>
                <w:szCs w:val="20"/>
                <w:color w:val="auto"/>
              </w:rPr>
            </w:pPr>
            <w:r>
              <w:rPr>
                <w:rFonts w:ascii="Arial" w:cs="Arial" w:eastAsia="Arial" w:hAnsi="Arial"/>
                <w:sz w:val="14"/>
                <w:szCs w:val="14"/>
                <w:color w:val="auto"/>
              </w:rPr>
              <w:t>Paradigm Acquisition Corp.</w:t>
            </w:r>
          </w:p>
        </w:tc>
        <w:tc>
          <w:tcPr>
            <w:tcW w:w="760" w:type="dxa"/>
            <w:vAlign w:val="bottom"/>
          </w:tcPr>
          <w:p>
            <w:pPr>
              <w:ind w:left="260"/>
              <w:spacing w:after="0" w:line="130" w:lineRule="exact"/>
              <w:rPr>
                <w:sz w:val="20"/>
                <w:szCs w:val="20"/>
                <w:color w:val="auto"/>
              </w:rPr>
            </w:pPr>
            <w:r>
              <w:rPr>
                <w:rFonts w:ascii="Arial" w:cs="Arial" w:eastAsia="Arial" w:hAnsi="Arial"/>
                <w:sz w:val="14"/>
                <w:szCs w:val="14"/>
                <w:color w:val="auto"/>
              </w:rPr>
              <w:t>—</w:t>
            </w:r>
          </w:p>
        </w:tc>
        <w:tc>
          <w:tcPr>
            <w:tcW w:w="1620" w:type="dxa"/>
            <w:vAlign w:val="bottom"/>
          </w:tcPr>
          <w:p>
            <w:pPr>
              <w:jc w:val="center"/>
              <w:spacing w:after="0" w:line="130" w:lineRule="exact"/>
              <w:rPr>
                <w:sz w:val="20"/>
                <w:szCs w:val="20"/>
                <w:color w:val="auto"/>
              </w:rPr>
            </w:pPr>
            <w:r>
              <w:rPr>
                <w:rFonts w:ascii="Arial" w:cs="Arial" w:eastAsia="Arial" w:hAnsi="Arial"/>
                <w:sz w:val="14"/>
                <w:szCs w:val="14"/>
                <w:color w:val="auto"/>
                <w:w w:val="92"/>
              </w:rPr>
              <w:t>Healthcare, Education</w:t>
            </w:r>
          </w:p>
        </w:tc>
        <w:tc>
          <w:tcPr>
            <w:tcW w:w="640" w:type="dxa"/>
            <w:vAlign w:val="bottom"/>
          </w:tcPr>
          <w:p>
            <w:pPr>
              <w:ind w:left="340"/>
              <w:spacing w:after="0" w:line="130" w:lineRule="exact"/>
              <w:rPr>
                <w:sz w:val="20"/>
                <w:szCs w:val="20"/>
                <w:color w:val="auto"/>
              </w:rPr>
            </w:pPr>
            <w:r>
              <w:rPr>
                <w:rFonts w:ascii="Arial" w:cs="Arial" w:eastAsia="Arial" w:hAnsi="Arial"/>
                <w:sz w:val="14"/>
                <w:szCs w:val="14"/>
                <w:color w:val="auto"/>
              </w:rPr>
              <w:t>—</w:t>
            </w:r>
          </w:p>
        </w:tc>
        <w:tc>
          <w:tcPr>
            <w:tcW w:w="880" w:type="dxa"/>
            <w:vAlign w:val="bottom"/>
          </w:tcPr>
          <w:p>
            <w:pPr>
              <w:ind w:left="560"/>
              <w:spacing w:after="0" w:line="130" w:lineRule="exact"/>
              <w:rPr>
                <w:sz w:val="20"/>
                <w:szCs w:val="20"/>
                <w:color w:val="auto"/>
              </w:rPr>
            </w:pPr>
            <w:r>
              <w:rPr>
                <w:rFonts w:ascii="Arial" w:cs="Arial" w:eastAsia="Arial" w:hAnsi="Arial"/>
                <w:sz w:val="14"/>
                <w:szCs w:val="14"/>
                <w:color w:val="auto"/>
              </w:rPr>
              <w:t>—</w:t>
            </w:r>
          </w:p>
        </w:tc>
        <w:tc>
          <w:tcPr>
            <w:tcW w:w="860" w:type="dxa"/>
            <w:vAlign w:val="bottom"/>
            <w:gridSpan w:val="2"/>
          </w:tcPr>
          <w:p>
            <w:pPr>
              <w:jc w:val="right"/>
              <w:ind w:right="160"/>
              <w:spacing w:after="0" w:line="130" w:lineRule="exact"/>
              <w:rPr>
                <w:sz w:val="20"/>
                <w:szCs w:val="20"/>
                <w:color w:val="auto"/>
              </w:rPr>
            </w:pPr>
            <w:r>
              <w:rPr>
                <w:rFonts w:ascii="Arial" w:cs="Arial" w:eastAsia="Arial" w:hAnsi="Arial"/>
                <w:sz w:val="14"/>
                <w:szCs w:val="14"/>
                <w:color w:val="auto"/>
              </w:rPr>
              <w:t>20,000</w:t>
            </w:r>
          </w:p>
        </w:tc>
        <w:tc>
          <w:tcPr>
            <w:tcW w:w="900" w:type="dxa"/>
            <w:vAlign w:val="bottom"/>
            <w:gridSpan w:val="2"/>
          </w:tcPr>
          <w:p>
            <w:pPr>
              <w:jc w:val="right"/>
              <w:ind w:right="80"/>
              <w:spacing w:after="0" w:line="130" w:lineRule="exact"/>
              <w:rPr>
                <w:sz w:val="20"/>
                <w:szCs w:val="20"/>
                <w:color w:val="auto"/>
              </w:rPr>
            </w:pPr>
            <w:r>
              <w:rPr>
                <w:rFonts w:ascii="Arial" w:cs="Arial" w:eastAsia="Arial" w:hAnsi="Arial"/>
                <w:sz w:val="14"/>
                <w:szCs w:val="14"/>
                <w:color w:val="auto"/>
              </w:rPr>
              <w:t>2,000,000</w:t>
            </w:r>
          </w:p>
        </w:tc>
        <w:tc>
          <w:tcPr>
            <w:tcW w:w="1000" w:type="dxa"/>
            <w:vAlign w:val="bottom"/>
            <w:gridSpan w:val="3"/>
          </w:tcPr>
          <w:p>
            <w:pPr>
              <w:jc w:val="right"/>
              <w:ind w:right="80"/>
              <w:spacing w:after="0" w:line="130" w:lineRule="exact"/>
              <w:rPr>
                <w:sz w:val="20"/>
                <w:szCs w:val="20"/>
                <w:color w:val="auto"/>
              </w:rPr>
            </w:pPr>
            <w:r>
              <w:rPr>
                <w:rFonts w:ascii="Arial" w:cs="Arial" w:eastAsia="Arial" w:hAnsi="Arial"/>
                <w:sz w:val="14"/>
                <w:szCs w:val="14"/>
                <w:color w:val="auto"/>
              </w:rPr>
              <w:t>3,720,481</w:t>
            </w:r>
          </w:p>
        </w:tc>
        <w:tc>
          <w:tcPr>
            <w:tcW w:w="0" w:type="dxa"/>
            <w:vAlign w:val="bottom"/>
          </w:tcPr>
          <w:p>
            <w:pPr>
              <w:spacing w:after="0"/>
              <w:rPr>
                <w:sz w:val="1"/>
                <w:szCs w:val="1"/>
                <w:color w:val="auto"/>
              </w:rPr>
            </w:pPr>
          </w:p>
        </w:tc>
      </w:tr>
      <w:tr>
        <w:trPr>
          <w:trHeight w:val="181"/>
        </w:trPr>
        <w:tc>
          <w:tcPr>
            <w:tcW w:w="45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620" w:type="dxa"/>
            <w:vAlign w:val="bottom"/>
          </w:tcPr>
          <w:p>
            <w:pPr>
              <w:jc w:val="center"/>
              <w:spacing w:after="0"/>
              <w:rPr>
                <w:sz w:val="20"/>
                <w:szCs w:val="20"/>
                <w:color w:val="auto"/>
              </w:rPr>
            </w:pPr>
            <w:r>
              <w:rPr>
                <w:rFonts w:ascii="Arial" w:cs="Arial" w:eastAsia="Arial" w:hAnsi="Arial"/>
                <w:sz w:val="14"/>
                <w:szCs w:val="14"/>
                <w:color w:val="auto"/>
                <w:w w:val="92"/>
              </w:rPr>
              <w:t>and Childcare</w:t>
            </w:r>
          </w:p>
        </w:tc>
        <w:tc>
          <w:tcPr>
            <w:tcW w:w="6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0"/>
        </w:trPr>
        <w:tc>
          <w:tcPr>
            <w:tcW w:w="458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QMG HoldCo, LLC, Class A</w:t>
            </w:r>
          </w:p>
        </w:tc>
        <w:tc>
          <w:tcPr>
            <w:tcW w:w="760" w:type="dxa"/>
            <w:vAlign w:val="bottom"/>
            <w:shd w:val="clear" w:color="auto" w:fill="CCEEFF"/>
          </w:tcPr>
          <w:p>
            <w:pPr>
              <w:ind w:left="260"/>
              <w:spacing w:after="0" w:line="130" w:lineRule="exact"/>
              <w:rPr>
                <w:sz w:val="20"/>
                <w:szCs w:val="20"/>
                <w:color w:val="auto"/>
              </w:rPr>
            </w:pPr>
            <w:r>
              <w:rPr>
                <w:rFonts w:ascii="Arial" w:cs="Arial" w:eastAsia="Arial" w:hAnsi="Arial"/>
                <w:sz w:val="14"/>
                <w:szCs w:val="14"/>
                <w:color w:val="auto"/>
              </w:rPr>
              <w:t>—</w:t>
            </w:r>
          </w:p>
        </w:tc>
        <w:tc>
          <w:tcPr>
            <w:tcW w:w="1620" w:type="dxa"/>
            <w:vAlign w:val="bottom"/>
            <w:shd w:val="clear" w:color="auto" w:fill="CCEEFF"/>
          </w:tcPr>
          <w:p>
            <w:pPr>
              <w:jc w:val="center"/>
              <w:spacing w:after="0" w:line="130" w:lineRule="exact"/>
              <w:rPr>
                <w:sz w:val="20"/>
                <w:szCs w:val="20"/>
                <w:color w:val="auto"/>
              </w:rPr>
            </w:pPr>
            <w:r>
              <w:rPr>
                <w:rFonts w:ascii="Arial" w:cs="Arial" w:eastAsia="Arial" w:hAnsi="Arial"/>
                <w:sz w:val="14"/>
                <w:szCs w:val="14"/>
                <w:color w:val="auto"/>
                <w:w w:val="93"/>
              </w:rPr>
              <w:t>Other Media</w:t>
            </w:r>
          </w:p>
        </w:tc>
        <w:tc>
          <w:tcPr>
            <w:tcW w:w="640" w:type="dxa"/>
            <w:vAlign w:val="bottom"/>
            <w:shd w:val="clear" w:color="auto" w:fill="CCEEFF"/>
          </w:tcPr>
          <w:p>
            <w:pPr>
              <w:ind w:left="340"/>
              <w:spacing w:after="0" w:line="130" w:lineRule="exact"/>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ind w:left="560"/>
              <w:spacing w:after="0" w:line="130" w:lineRule="exact"/>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jc w:val="right"/>
              <w:ind w:right="160"/>
              <w:spacing w:after="0" w:line="130" w:lineRule="exact"/>
              <w:rPr>
                <w:sz w:val="20"/>
                <w:szCs w:val="20"/>
                <w:color w:val="auto"/>
              </w:rPr>
            </w:pPr>
            <w:r>
              <w:rPr>
                <w:rFonts w:ascii="Arial" w:cs="Arial" w:eastAsia="Arial" w:hAnsi="Arial"/>
                <w:sz w:val="14"/>
                <w:szCs w:val="14"/>
                <w:color w:val="auto"/>
              </w:rPr>
              <w:t>4,325</w:t>
            </w:r>
          </w:p>
        </w:tc>
        <w:tc>
          <w:tcPr>
            <w:tcW w:w="900" w:type="dxa"/>
            <w:vAlign w:val="bottom"/>
            <w:gridSpan w:val="2"/>
            <w:shd w:val="clear" w:color="auto" w:fill="CCEEFF"/>
          </w:tcPr>
          <w:p>
            <w:pPr>
              <w:jc w:val="right"/>
              <w:ind w:right="80"/>
              <w:spacing w:after="0" w:line="130" w:lineRule="exact"/>
              <w:rPr>
                <w:sz w:val="20"/>
                <w:szCs w:val="20"/>
                <w:color w:val="auto"/>
              </w:rPr>
            </w:pPr>
            <w:r>
              <w:rPr>
                <w:rFonts w:ascii="Arial" w:cs="Arial" w:eastAsia="Arial" w:hAnsi="Arial"/>
                <w:sz w:val="14"/>
                <w:szCs w:val="14"/>
                <w:color w:val="auto"/>
              </w:rPr>
              <w:t>1,306,167</w:t>
            </w:r>
          </w:p>
        </w:tc>
        <w:tc>
          <w:tcPr>
            <w:tcW w:w="1000" w:type="dxa"/>
            <w:vAlign w:val="bottom"/>
            <w:gridSpan w:val="3"/>
            <w:shd w:val="clear" w:color="auto" w:fill="CCEEFF"/>
          </w:tcPr>
          <w:p>
            <w:pPr>
              <w:jc w:val="right"/>
              <w:ind w:right="80"/>
              <w:spacing w:after="0" w:line="130" w:lineRule="exact"/>
              <w:rPr>
                <w:sz w:val="20"/>
                <w:szCs w:val="20"/>
                <w:color w:val="auto"/>
              </w:rPr>
            </w:pPr>
            <w:r>
              <w:rPr>
                <w:rFonts w:ascii="Arial" w:cs="Arial" w:eastAsia="Arial" w:hAnsi="Arial"/>
                <w:sz w:val="14"/>
                <w:szCs w:val="14"/>
                <w:color w:val="auto"/>
              </w:rPr>
              <w:t>2,073,419</w:t>
            </w:r>
          </w:p>
        </w:tc>
        <w:tc>
          <w:tcPr>
            <w:tcW w:w="0" w:type="dxa"/>
            <w:vAlign w:val="bottom"/>
          </w:tcPr>
          <w:p>
            <w:pPr>
              <w:spacing w:after="0"/>
              <w:rPr>
                <w:sz w:val="1"/>
                <w:szCs w:val="1"/>
                <w:color w:val="auto"/>
              </w:rPr>
            </w:pPr>
          </w:p>
        </w:tc>
      </w:tr>
      <w:tr>
        <w:trPr>
          <w:trHeight w:val="167"/>
        </w:trPr>
        <w:tc>
          <w:tcPr>
            <w:tcW w:w="4580" w:type="dxa"/>
            <w:vAlign w:val="bottom"/>
            <w:shd w:val="clear" w:color="auto" w:fill="CCEEFF"/>
          </w:tcPr>
          <w:p>
            <w:pPr>
              <w:ind w:left="160"/>
              <w:spacing w:after="0"/>
              <w:rPr>
                <w:sz w:val="20"/>
                <w:szCs w:val="20"/>
                <w:color w:val="auto"/>
              </w:rPr>
            </w:pPr>
            <w:r>
              <w:rPr>
                <w:rFonts w:ascii="Arial" w:cs="Arial" w:eastAsia="Arial" w:hAnsi="Arial"/>
                <w:sz w:val="14"/>
                <w:szCs w:val="14"/>
                <w:color w:val="auto"/>
              </w:rPr>
              <w:t>(Questex Media Group, LLC)</w:t>
            </w:r>
          </w:p>
        </w:tc>
        <w:tc>
          <w:tcPr>
            <w:tcW w:w="760" w:type="dxa"/>
            <w:vAlign w:val="bottom"/>
            <w:shd w:val="clear" w:color="auto" w:fill="CCEEFF"/>
          </w:tcPr>
          <w:p>
            <w:pPr>
              <w:spacing w:after="0"/>
              <w:rPr>
                <w:sz w:val="14"/>
                <w:szCs w:val="14"/>
                <w:color w:val="auto"/>
              </w:rPr>
            </w:pPr>
          </w:p>
        </w:tc>
        <w:tc>
          <w:tcPr>
            <w:tcW w:w="162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4580" w:type="dxa"/>
            <w:vAlign w:val="bottom"/>
          </w:tcPr>
          <w:p>
            <w:pPr>
              <w:spacing w:after="0" w:line="130" w:lineRule="exact"/>
              <w:rPr>
                <w:sz w:val="20"/>
                <w:szCs w:val="20"/>
                <w:color w:val="auto"/>
              </w:rPr>
            </w:pPr>
            <w:r>
              <w:rPr>
                <w:rFonts w:ascii="Arial" w:cs="Arial" w:eastAsia="Arial" w:hAnsi="Arial"/>
                <w:sz w:val="14"/>
                <w:szCs w:val="14"/>
                <w:color w:val="auto"/>
              </w:rPr>
              <w:t>QMG HoldCo, LLC, Class B</w:t>
            </w:r>
          </w:p>
        </w:tc>
        <w:tc>
          <w:tcPr>
            <w:tcW w:w="760" w:type="dxa"/>
            <w:vAlign w:val="bottom"/>
          </w:tcPr>
          <w:p>
            <w:pPr>
              <w:ind w:left="260"/>
              <w:spacing w:after="0" w:line="130" w:lineRule="exact"/>
              <w:rPr>
                <w:sz w:val="20"/>
                <w:szCs w:val="20"/>
                <w:color w:val="auto"/>
              </w:rPr>
            </w:pPr>
            <w:r>
              <w:rPr>
                <w:rFonts w:ascii="Arial" w:cs="Arial" w:eastAsia="Arial" w:hAnsi="Arial"/>
                <w:sz w:val="14"/>
                <w:szCs w:val="14"/>
                <w:color w:val="auto"/>
              </w:rPr>
              <w:t>—</w:t>
            </w:r>
          </w:p>
        </w:tc>
        <w:tc>
          <w:tcPr>
            <w:tcW w:w="1620" w:type="dxa"/>
            <w:vAlign w:val="bottom"/>
          </w:tcPr>
          <w:p>
            <w:pPr>
              <w:jc w:val="center"/>
              <w:spacing w:after="0" w:line="130" w:lineRule="exact"/>
              <w:rPr>
                <w:sz w:val="20"/>
                <w:szCs w:val="20"/>
                <w:color w:val="auto"/>
              </w:rPr>
            </w:pPr>
            <w:r>
              <w:rPr>
                <w:rFonts w:ascii="Arial" w:cs="Arial" w:eastAsia="Arial" w:hAnsi="Arial"/>
                <w:sz w:val="14"/>
                <w:szCs w:val="14"/>
                <w:color w:val="auto"/>
                <w:w w:val="93"/>
              </w:rPr>
              <w:t>Other Media</w:t>
            </w:r>
          </w:p>
        </w:tc>
        <w:tc>
          <w:tcPr>
            <w:tcW w:w="640" w:type="dxa"/>
            <w:vAlign w:val="bottom"/>
          </w:tcPr>
          <w:p>
            <w:pPr>
              <w:ind w:left="340"/>
              <w:spacing w:after="0" w:line="130" w:lineRule="exact"/>
              <w:rPr>
                <w:sz w:val="20"/>
                <w:szCs w:val="20"/>
                <w:color w:val="auto"/>
              </w:rPr>
            </w:pPr>
            <w:r>
              <w:rPr>
                <w:rFonts w:ascii="Arial" w:cs="Arial" w:eastAsia="Arial" w:hAnsi="Arial"/>
                <w:sz w:val="14"/>
                <w:szCs w:val="14"/>
                <w:color w:val="auto"/>
              </w:rPr>
              <w:t>—</w:t>
            </w:r>
          </w:p>
        </w:tc>
        <w:tc>
          <w:tcPr>
            <w:tcW w:w="880" w:type="dxa"/>
            <w:vAlign w:val="bottom"/>
          </w:tcPr>
          <w:p>
            <w:pPr>
              <w:ind w:left="560"/>
              <w:spacing w:after="0" w:line="130" w:lineRule="exact"/>
              <w:rPr>
                <w:sz w:val="20"/>
                <w:szCs w:val="20"/>
                <w:color w:val="auto"/>
              </w:rPr>
            </w:pPr>
            <w:r>
              <w:rPr>
                <w:rFonts w:ascii="Arial" w:cs="Arial" w:eastAsia="Arial" w:hAnsi="Arial"/>
                <w:sz w:val="14"/>
                <w:szCs w:val="14"/>
                <w:color w:val="auto"/>
              </w:rPr>
              <w:t>—</w:t>
            </w:r>
          </w:p>
        </w:tc>
        <w:tc>
          <w:tcPr>
            <w:tcW w:w="860" w:type="dxa"/>
            <w:vAlign w:val="bottom"/>
            <w:gridSpan w:val="2"/>
          </w:tcPr>
          <w:p>
            <w:pPr>
              <w:jc w:val="right"/>
              <w:ind w:right="160"/>
              <w:spacing w:after="0" w:line="130" w:lineRule="exact"/>
              <w:rPr>
                <w:sz w:val="20"/>
                <w:szCs w:val="20"/>
                <w:color w:val="auto"/>
              </w:rPr>
            </w:pPr>
            <w:r>
              <w:rPr>
                <w:rFonts w:ascii="Arial" w:cs="Arial" w:eastAsia="Arial" w:hAnsi="Arial"/>
                <w:sz w:val="14"/>
                <w:szCs w:val="14"/>
                <w:color w:val="auto"/>
              </w:rPr>
              <w:t>531</w:t>
            </w:r>
          </w:p>
        </w:tc>
        <w:tc>
          <w:tcPr>
            <w:tcW w:w="900" w:type="dxa"/>
            <w:vAlign w:val="bottom"/>
            <w:gridSpan w:val="2"/>
          </w:tcPr>
          <w:p>
            <w:pPr>
              <w:jc w:val="right"/>
              <w:ind w:right="160"/>
              <w:spacing w:after="0" w:line="130" w:lineRule="exact"/>
              <w:rPr>
                <w:sz w:val="20"/>
                <w:szCs w:val="20"/>
                <w:color w:val="auto"/>
              </w:rPr>
            </w:pPr>
            <w:r>
              <w:rPr>
                <w:rFonts w:ascii="Arial" w:cs="Arial" w:eastAsia="Arial" w:hAnsi="Arial"/>
                <w:sz w:val="14"/>
                <w:szCs w:val="14"/>
                <w:color w:val="auto"/>
              </w:rPr>
              <w:t>—</w:t>
            </w:r>
          </w:p>
        </w:tc>
        <w:tc>
          <w:tcPr>
            <w:tcW w:w="1000" w:type="dxa"/>
            <w:vAlign w:val="bottom"/>
            <w:gridSpan w:val="3"/>
          </w:tcPr>
          <w:p>
            <w:pPr>
              <w:jc w:val="right"/>
              <w:ind w:right="80"/>
              <w:spacing w:after="0" w:line="130" w:lineRule="exact"/>
              <w:rPr>
                <w:sz w:val="20"/>
                <w:szCs w:val="20"/>
                <w:color w:val="auto"/>
              </w:rPr>
            </w:pPr>
            <w:r>
              <w:rPr>
                <w:rFonts w:ascii="Arial" w:cs="Arial" w:eastAsia="Arial" w:hAnsi="Arial"/>
                <w:sz w:val="14"/>
                <w:szCs w:val="14"/>
                <w:color w:val="auto"/>
              </w:rPr>
              <w:t>254,563</w:t>
            </w:r>
          </w:p>
        </w:tc>
        <w:tc>
          <w:tcPr>
            <w:tcW w:w="0" w:type="dxa"/>
            <w:vAlign w:val="bottom"/>
          </w:tcPr>
          <w:p>
            <w:pPr>
              <w:spacing w:after="0"/>
              <w:rPr>
                <w:sz w:val="1"/>
                <w:szCs w:val="1"/>
                <w:color w:val="auto"/>
              </w:rPr>
            </w:pPr>
          </w:p>
        </w:tc>
      </w:tr>
      <w:tr>
        <w:trPr>
          <w:trHeight w:val="167"/>
        </w:trPr>
        <w:tc>
          <w:tcPr>
            <w:tcW w:w="4580" w:type="dxa"/>
            <w:vAlign w:val="bottom"/>
          </w:tcPr>
          <w:p>
            <w:pPr>
              <w:ind w:left="160"/>
              <w:spacing w:after="0"/>
              <w:rPr>
                <w:sz w:val="20"/>
                <w:szCs w:val="20"/>
                <w:color w:val="auto"/>
              </w:rPr>
            </w:pPr>
            <w:r>
              <w:rPr>
                <w:rFonts w:ascii="Arial" w:cs="Arial" w:eastAsia="Arial" w:hAnsi="Arial"/>
                <w:sz w:val="14"/>
                <w:szCs w:val="14"/>
                <w:color w:val="auto"/>
              </w:rPr>
              <w:t>(Questex Media Group, LLC)</w:t>
            </w:r>
          </w:p>
        </w:tc>
        <w:tc>
          <w:tcPr>
            <w:tcW w:w="76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458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SPG Boyd Holdings Corp.</w:t>
            </w:r>
          </w:p>
        </w:tc>
        <w:tc>
          <w:tcPr>
            <w:tcW w:w="760" w:type="dxa"/>
            <w:vAlign w:val="bottom"/>
            <w:shd w:val="clear" w:color="auto" w:fill="CCEEFF"/>
          </w:tcPr>
          <w:p>
            <w:pPr>
              <w:ind w:left="260"/>
              <w:spacing w:after="0" w:line="130" w:lineRule="exact"/>
              <w:rPr>
                <w:sz w:val="20"/>
                <w:szCs w:val="20"/>
                <w:color w:val="auto"/>
              </w:rPr>
            </w:pPr>
            <w:r>
              <w:rPr>
                <w:rFonts w:ascii="Arial" w:cs="Arial" w:eastAsia="Arial" w:hAnsi="Arial"/>
                <w:sz w:val="14"/>
                <w:szCs w:val="14"/>
                <w:color w:val="auto"/>
              </w:rPr>
              <w:t>—</w:t>
            </w:r>
          </w:p>
        </w:tc>
        <w:tc>
          <w:tcPr>
            <w:tcW w:w="1620" w:type="dxa"/>
            <w:vAlign w:val="bottom"/>
            <w:shd w:val="clear" w:color="auto" w:fill="CCEEFF"/>
          </w:tcPr>
          <w:p>
            <w:pPr>
              <w:jc w:val="center"/>
              <w:spacing w:after="0" w:line="130" w:lineRule="exact"/>
              <w:rPr>
                <w:sz w:val="20"/>
                <w:szCs w:val="20"/>
                <w:color w:val="auto"/>
              </w:rPr>
            </w:pPr>
            <w:r>
              <w:rPr>
                <w:rFonts w:ascii="Arial" w:cs="Arial" w:eastAsia="Arial" w:hAnsi="Arial"/>
                <w:sz w:val="14"/>
                <w:szCs w:val="14"/>
                <w:color w:val="auto"/>
                <w:w w:val="92"/>
              </w:rPr>
              <w:t>Chemical, Plastic and</w:t>
            </w:r>
          </w:p>
        </w:tc>
        <w:tc>
          <w:tcPr>
            <w:tcW w:w="640" w:type="dxa"/>
            <w:vAlign w:val="bottom"/>
            <w:shd w:val="clear" w:color="auto" w:fill="CCEEFF"/>
          </w:tcPr>
          <w:p>
            <w:pPr>
              <w:ind w:left="340"/>
              <w:spacing w:after="0" w:line="130" w:lineRule="exact"/>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ind w:left="560"/>
              <w:spacing w:after="0" w:line="130" w:lineRule="exact"/>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jc w:val="right"/>
              <w:ind w:right="160"/>
              <w:spacing w:after="0" w:line="130" w:lineRule="exact"/>
              <w:rPr>
                <w:sz w:val="20"/>
                <w:szCs w:val="20"/>
                <w:color w:val="auto"/>
              </w:rPr>
            </w:pPr>
            <w:r>
              <w:rPr>
                <w:rFonts w:ascii="Arial" w:cs="Arial" w:eastAsia="Arial" w:hAnsi="Arial"/>
                <w:sz w:val="14"/>
                <w:szCs w:val="14"/>
                <w:color w:val="auto"/>
              </w:rPr>
              <w:t>300,000</w:t>
            </w:r>
          </w:p>
        </w:tc>
        <w:tc>
          <w:tcPr>
            <w:tcW w:w="900" w:type="dxa"/>
            <w:vAlign w:val="bottom"/>
            <w:gridSpan w:val="2"/>
            <w:shd w:val="clear" w:color="auto" w:fill="CCEEFF"/>
          </w:tcPr>
          <w:p>
            <w:pPr>
              <w:jc w:val="right"/>
              <w:ind w:right="80"/>
              <w:spacing w:after="0" w:line="130" w:lineRule="exact"/>
              <w:rPr>
                <w:sz w:val="20"/>
                <w:szCs w:val="20"/>
                <w:color w:val="auto"/>
              </w:rPr>
            </w:pPr>
            <w:r>
              <w:rPr>
                <w:rFonts w:ascii="Arial" w:cs="Arial" w:eastAsia="Arial" w:hAnsi="Arial"/>
                <w:sz w:val="14"/>
                <w:szCs w:val="14"/>
                <w:color w:val="auto"/>
              </w:rPr>
              <w:t>3,000,000</w:t>
            </w:r>
          </w:p>
        </w:tc>
        <w:tc>
          <w:tcPr>
            <w:tcW w:w="1000" w:type="dxa"/>
            <w:vAlign w:val="bottom"/>
            <w:gridSpan w:val="3"/>
            <w:shd w:val="clear" w:color="auto" w:fill="CCEEFF"/>
          </w:tcPr>
          <w:p>
            <w:pPr>
              <w:jc w:val="right"/>
              <w:ind w:right="80"/>
              <w:spacing w:after="0" w:line="130" w:lineRule="exact"/>
              <w:rPr>
                <w:sz w:val="20"/>
                <w:szCs w:val="20"/>
                <w:color w:val="auto"/>
              </w:rPr>
            </w:pPr>
            <w:r>
              <w:rPr>
                <w:rFonts w:ascii="Arial" w:cs="Arial" w:eastAsia="Arial" w:hAnsi="Arial"/>
                <w:sz w:val="14"/>
                <w:szCs w:val="14"/>
                <w:color w:val="auto"/>
              </w:rPr>
              <w:t>5,571,120</w:t>
            </w:r>
          </w:p>
        </w:tc>
        <w:tc>
          <w:tcPr>
            <w:tcW w:w="0" w:type="dxa"/>
            <w:vAlign w:val="bottom"/>
          </w:tcPr>
          <w:p>
            <w:pPr>
              <w:spacing w:after="0"/>
              <w:rPr>
                <w:sz w:val="1"/>
                <w:szCs w:val="1"/>
                <w:color w:val="auto"/>
              </w:rPr>
            </w:pPr>
          </w:p>
        </w:tc>
      </w:tr>
      <w:tr>
        <w:trPr>
          <w:trHeight w:val="181"/>
        </w:trPr>
        <w:tc>
          <w:tcPr>
            <w:tcW w:w="4580" w:type="dxa"/>
            <w:vAlign w:val="bottom"/>
            <w:shd w:val="clear" w:color="auto" w:fill="CCEEFF"/>
          </w:tcPr>
          <w:p>
            <w:pPr>
              <w:ind w:left="160"/>
              <w:spacing w:after="0"/>
              <w:rPr>
                <w:sz w:val="20"/>
                <w:szCs w:val="20"/>
                <w:color w:val="auto"/>
              </w:rPr>
            </w:pPr>
            <w:r>
              <w:rPr>
                <w:rFonts w:ascii="Arial" w:cs="Arial" w:eastAsia="Arial" w:hAnsi="Arial"/>
                <w:sz w:val="14"/>
                <w:szCs w:val="14"/>
                <w:color w:val="auto"/>
              </w:rPr>
              <w:t>(LTI Flexible Products, Inc.)</w:t>
            </w:r>
          </w:p>
        </w:tc>
        <w:tc>
          <w:tcPr>
            <w:tcW w:w="760" w:type="dxa"/>
            <w:vAlign w:val="bottom"/>
            <w:shd w:val="clear" w:color="auto" w:fill="CCEEFF"/>
          </w:tcPr>
          <w:p>
            <w:pPr>
              <w:spacing w:after="0"/>
              <w:rPr>
                <w:sz w:val="15"/>
                <w:szCs w:val="15"/>
                <w:color w:val="auto"/>
              </w:rPr>
            </w:pPr>
          </w:p>
        </w:tc>
        <w:tc>
          <w:tcPr>
            <w:tcW w:w="16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1"/>
              </w:rPr>
              <w:t>Rubber</w:t>
            </w:r>
          </w:p>
        </w:tc>
        <w:tc>
          <w:tcPr>
            <w:tcW w:w="64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48"/>
        </w:trPr>
        <w:tc>
          <w:tcPr>
            <w:tcW w:w="4580" w:type="dxa"/>
            <w:vAlign w:val="bottom"/>
          </w:tcPr>
          <w:p>
            <w:pPr>
              <w:spacing w:after="0" w:line="149" w:lineRule="exact"/>
              <w:rPr>
                <w:sz w:val="20"/>
                <w:szCs w:val="20"/>
                <w:color w:val="auto"/>
              </w:rPr>
            </w:pPr>
            <w:r>
              <w:rPr>
                <w:rFonts w:ascii="Arial" w:cs="Arial" w:eastAsia="Arial" w:hAnsi="Arial"/>
                <w:sz w:val="14"/>
                <w:szCs w:val="14"/>
                <w:color w:val="auto"/>
              </w:rPr>
              <w:t>TRAK Acquisition Corp. (Warrants)</w:t>
            </w:r>
          </w:p>
        </w:tc>
        <w:tc>
          <w:tcPr>
            <w:tcW w:w="760" w:type="dxa"/>
            <w:vAlign w:val="bottom"/>
          </w:tcPr>
          <w:p>
            <w:pPr>
              <w:ind w:left="40"/>
              <w:spacing w:after="0" w:line="149" w:lineRule="exact"/>
              <w:rPr>
                <w:sz w:val="20"/>
                <w:szCs w:val="20"/>
                <w:color w:val="auto"/>
              </w:rPr>
            </w:pPr>
            <w:r>
              <w:rPr>
                <w:rFonts w:ascii="Arial" w:cs="Arial" w:eastAsia="Arial" w:hAnsi="Arial"/>
                <w:sz w:val="14"/>
                <w:szCs w:val="14"/>
                <w:color w:val="auto"/>
                <w:w w:val="99"/>
              </w:rPr>
              <w:t>12/29/2019</w:t>
            </w:r>
          </w:p>
        </w:tc>
        <w:tc>
          <w:tcPr>
            <w:tcW w:w="1620" w:type="dxa"/>
            <w:vAlign w:val="bottom"/>
          </w:tcPr>
          <w:p>
            <w:pPr>
              <w:jc w:val="center"/>
              <w:spacing w:after="0" w:line="149" w:lineRule="exact"/>
              <w:rPr>
                <w:sz w:val="20"/>
                <w:szCs w:val="20"/>
                <w:color w:val="auto"/>
              </w:rPr>
            </w:pPr>
            <w:r>
              <w:rPr>
                <w:rFonts w:ascii="Arial" w:cs="Arial" w:eastAsia="Arial" w:hAnsi="Arial"/>
                <w:sz w:val="14"/>
                <w:szCs w:val="14"/>
                <w:color w:val="auto"/>
                <w:w w:val="90"/>
              </w:rPr>
              <w:t>Business Services</w:t>
            </w:r>
          </w:p>
        </w:tc>
        <w:tc>
          <w:tcPr>
            <w:tcW w:w="640" w:type="dxa"/>
            <w:vAlign w:val="bottom"/>
          </w:tcPr>
          <w:p>
            <w:pPr>
              <w:ind w:left="340"/>
              <w:spacing w:after="0" w:line="149" w:lineRule="exact"/>
              <w:rPr>
                <w:sz w:val="20"/>
                <w:szCs w:val="20"/>
                <w:color w:val="auto"/>
              </w:rPr>
            </w:pPr>
            <w:r>
              <w:rPr>
                <w:rFonts w:ascii="Arial" w:cs="Arial" w:eastAsia="Arial" w:hAnsi="Arial"/>
                <w:sz w:val="14"/>
                <w:szCs w:val="14"/>
                <w:color w:val="auto"/>
              </w:rPr>
              <w:t>—</w:t>
            </w:r>
          </w:p>
        </w:tc>
        <w:tc>
          <w:tcPr>
            <w:tcW w:w="880" w:type="dxa"/>
            <w:vAlign w:val="bottom"/>
          </w:tcPr>
          <w:p>
            <w:pPr>
              <w:ind w:left="560"/>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3,500</w:t>
            </w:r>
          </w:p>
        </w:tc>
        <w:tc>
          <w:tcPr>
            <w:tcW w:w="9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29,400</w:t>
            </w:r>
          </w:p>
        </w:tc>
        <w:tc>
          <w:tcPr>
            <w:tcW w:w="100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rPr>
              <w:t>606,681</w:t>
            </w:r>
          </w:p>
        </w:tc>
        <w:tc>
          <w:tcPr>
            <w:tcW w:w="0" w:type="dxa"/>
            <w:vAlign w:val="bottom"/>
          </w:tcPr>
          <w:p>
            <w:pPr>
              <w:spacing w:after="0"/>
              <w:rPr>
                <w:sz w:val="1"/>
                <w:szCs w:val="1"/>
                <w:color w:val="auto"/>
              </w:rPr>
            </w:pPr>
          </w:p>
        </w:tc>
      </w:tr>
      <w:tr>
        <w:trPr>
          <w:trHeight w:val="130"/>
        </w:trPr>
        <w:tc>
          <w:tcPr>
            <w:tcW w:w="458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 xml:space="preserve">Transportation 100 Holdco, L.L.C. </w:t>
            </w:r>
            <w:r>
              <w:rPr>
                <w:rFonts w:ascii="Arial" w:cs="Arial" w:eastAsia="Arial" w:hAnsi="Arial"/>
                <w:sz w:val="12"/>
                <w:szCs w:val="12"/>
                <w:color w:val="auto"/>
              </w:rPr>
              <w:t>(13)</w:t>
            </w:r>
          </w:p>
        </w:tc>
        <w:tc>
          <w:tcPr>
            <w:tcW w:w="760" w:type="dxa"/>
            <w:vAlign w:val="bottom"/>
            <w:shd w:val="clear" w:color="auto" w:fill="CCEEFF"/>
          </w:tcPr>
          <w:p>
            <w:pPr>
              <w:ind w:left="260"/>
              <w:spacing w:after="0" w:line="130" w:lineRule="exact"/>
              <w:rPr>
                <w:sz w:val="20"/>
                <w:szCs w:val="20"/>
                <w:color w:val="auto"/>
              </w:rPr>
            </w:pPr>
            <w:r>
              <w:rPr>
                <w:rFonts w:ascii="Arial" w:cs="Arial" w:eastAsia="Arial" w:hAnsi="Arial"/>
                <w:sz w:val="14"/>
                <w:szCs w:val="14"/>
                <w:color w:val="auto"/>
              </w:rPr>
              <w:t>—</w:t>
            </w:r>
          </w:p>
        </w:tc>
        <w:tc>
          <w:tcPr>
            <w:tcW w:w="1620" w:type="dxa"/>
            <w:vAlign w:val="bottom"/>
            <w:shd w:val="clear" w:color="auto" w:fill="CCEEFF"/>
          </w:tcPr>
          <w:p>
            <w:pPr>
              <w:jc w:val="center"/>
              <w:spacing w:after="0" w:line="130" w:lineRule="exact"/>
              <w:rPr>
                <w:sz w:val="20"/>
                <w:szCs w:val="20"/>
                <w:color w:val="auto"/>
              </w:rPr>
            </w:pPr>
            <w:r>
              <w:rPr>
                <w:rFonts w:ascii="Arial" w:cs="Arial" w:eastAsia="Arial" w:hAnsi="Arial"/>
                <w:sz w:val="14"/>
                <w:szCs w:val="14"/>
                <w:color w:val="auto"/>
                <w:w w:val="92"/>
              </w:rPr>
              <w:t>Cargo Transport</w:t>
            </w:r>
          </w:p>
        </w:tc>
        <w:tc>
          <w:tcPr>
            <w:tcW w:w="640" w:type="dxa"/>
            <w:vAlign w:val="bottom"/>
            <w:shd w:val="clear" w:color="auto" w:fill="CCEEFF"/>
          </w:tcPr>
          <w:p>
            <w:pPr>
              <w:ind w:left="340"/>
              <w:spacing w:after="0" w:line="130" w:lineRule="exact"/>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ind w:left="560"/>
              <w:spacing w:after="0" w:line="130" w:lineRule="exact"/>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jc w:val="right"/>
              <w:ind w:right="160"/>
              <w:spacing w:after="0" w:line="130" w:lineRule="exact"/>
              <w:rPr>
                <w:sz w:val="20"/>
                <w:szCs w:val="20"/>
                <w:color w:val="auto"/>
              </w:rPr>
            </w:pPr>
            <w:r>
              <w:rPr>
                <w:rFonts w:ascii="Arial" w:cs="Arial" w:eastAsia="Arial" w:hAnsi="Arial"/>
                <w:sz w:val="14"/>
                <w:szCs w:val="14"/>
                <w:color w:val="auto"/>
              </w:rPr>
              <w:t>137,923</w:t>
            </w:r>
          </w:p>
        </w:tc>
        <w:tc>
          <w:tcPr>
            <w:tcW w:w="900" w:type="dxa"/>
            <w:vAlign w:val="bottom"/>
            <w:gridSpan w:val="2"/>
            <w:shd w:val="clear" w:color="auto" w:fill="CCEEFF"/>
          </w:tcPr>
          <w:p>
            <w:pPr>
              <w:jc w:val="right"/>
              <w:ind w:right="80"/>
              <w:spacing w:after="0" w:line="130" w:lineRule="exact"/>
              <w:rPr>
                <w:sz w:val="20"/>
                <w:szCs w:val="20"/>
                <w:color w:val="auto"/>
              </w:rPr>
            </w:pPr>
            <w:r>
              <w:rPr>
                <w:rFonts w:ascii="Arial" w:cs="Arial" w:eastAsia="Arial" w:hAnsi="Arial"/>
                <w:sz w:val="14"/>
                <w:szCs w:val="14"/>
                <w:color w:val="auto"/>
              </w:rPr>
              <w:t>2,111,588</w:t>
            </w:r>
          </w:p>
        </w:tc>
        <w:tc>
          <w:tcPr>
            <w:tcW w:w="1000" w:type="dxa"/>
            <w:vAlign w:val="bottom"/>
            <w:gridSpan w:val="3"/>
            <w:shd w:val="clear" w:color="auto" w:fill="CCEEFF"/>
          </w:tcPr>
          <w:p>
            <w:pPr>
              <w:jc w:val="right"/>
              <w:ind w:right="80"/>
              <w:spacing w:after="0" w:line="130" w:lineRule="exact"/>
              <w:rPr>
                <w:sz w:val="20"/>
                <w:szCs w:val="20"/>
                <w:color w:val="auto"/>
              </w:rPr>
            </w:pPr>
            <w:r>
              <w:rPr>
                <w:rFonts w:ascii="Arial" w:cs="Arial" w:eastAsia="Arial" w:hAnsi="Arial"/>
                <w:sz w:val="14"/>
                <w:szCs w:val="14"/>
                <w:color w:val="auto"/>
              </w:rPr>
              <w:t>379,453</w:t>
            </w:r>
          </w:p>
        </w:tc>
        <w:tc>
          <w:tcPr>
            <w:tcW w:w="0" w:type="dxa"/>
            <w:vAlign w:val="bottom"/>
          </w:tcPr>
          <w:p>
            <w:pPr>
              <w:spacing w:after="0"/>
              <w:rPr>
                <w:sz w:val="1"/>
                <w:szCs w:val="1"/>
                <w:color w:val="auto"/>
              </w:rPr>
            </w:pPr>
          </w:p>
        </w:tc>
      </w:tr>
      <w:tr>
        <w:trPr>
          <w:trHeight w:val="167"/>
        </w:trPr>
        <w:tc>
          <w:tcPr>
            <w:tcW w:w="4580" w:type="dxa"/>
            <w:vAlign w:val="bottom"/>
            <w:shd w:val="clear" w:color="auto" w:fill="CCEEFF"/>
          </w:tcPr>
          <w:p>
            <w:pPr>
              <w:ind w:left="160"/>
              <w:spacing w:after="0"/>
              <w:rPr>
                <w:sz w:val="20"/>
                <w:szCs w:val="20"/>
                <w:color w:val="auto"/>
              </w:rPr>
            </w:pPr>
            <w:r>
              <w:rPr>
                <w:rFonts w:ascii="Arial" w:cs="Arial" w:eastAsia="Arial" w:hAnsi="Arial"/>
                <w:sz w:val="14"/>
                <w:szCs w:val="14"/>
                <w:color w:val="auto"/>
              </w:rPr>
              <w:t>(Intermediate Transportation 100, L.L.C.)</w:t>
            </w:r>
          </w:p>
        </w:tc>
        <w:tc>
          <w:tcPr>
            <w:tcW w:w="760" w:type="dxa"/>
            <w:vAlign w:val="bottom"/>
            <w:shd w:val="clear" w:color="auto" w:fill="CCEEFF"/>
          </w:tcPr>
          <w:p>
            <w:pPr>
              <w:spacing w:after="0"/>
              <w:rPr>
                <w:sz w:val="14"/>
                <w:szCs w:val="14"/>
                <w:color w:val="auto"/>
              </w:rPr>
            </w:pPr>
          </w:p>
        </w:tc>
        <w:tc>
          <w:tcPr>
            <w:tcW w:w="162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4580" w:type="dxa"/>
            <w:vAlign w:val="bottom"/>
          </w:tcPr>
          <w:p>
            <w:pPr>
              <w:spacing w:after="0" w:line="149" w:lineRule="exact"/>
              <w:rPr>
                <w:sz w:val="20"/>
                <w:szCs w:val="20"/>
                <w:color w:val="auto"/>
              </w:rPr>
            </w:pPr>
            <w:r>
              <w:rPr>
                <w:rFonts w:ascii="Arial" w:cs="Arial" w:eastAsia="Arial" w:hAnsi="Arial"/>
                <w:sz w:val="14"/>
                <w:szCs w:val="14"/>
                <w:color w:val="auto"/>
              </w:rPr>
              <w:t>TZ Holdings, L.P.</w:t>
            </w:r>
          </w:p>
        </w:tc>
        <w:tc>
          <w:tcPr>
            <w:tcW w:w="760" w:type="dxa"/>
            <w:vAlign w:val="bottom"/>
          </w:tcPr>
          <w:p>
            <w:pPr>
              <w:ind w:left="260"/>
              <w:spacing w:after="0" w:line="149" w:lineRule="exact"/>
              <w:rPr>
                <w:sz w:val="20"/>
                <w:szCs w:val="20"/>
                <w:color w:val="auto"/>
              </w:rPr>
            </w:pPr>
            <w:r>
              <w:rPr>
                <w:rFonts w:ascii="Arial" w:cs="Arial" w:eastAsia="Arial" w:hAnsi="Arial"/>
                <w:sz w:val="14"/>
                <w:szCs w:val="14"/>
                <w:color w:val="auto"/>
              </w:rPr>
              <w:t>—</w:t>
            </w:r>
          </w:p>
        </w:tc>
        <w:tc>
          <w:tcPr>
            <w:tcW w:w="1620" w:type="dxa"/>
            <w:vAlign w:val="bottom"/>
          </w:tcPr>
          <w:p>
            <w:pPr>
              <w:jc w:val="center"/>
              <w:spacing w:after="0" w:line="149" w:lineRule="exact"/>
              <w:rPr>
                <w:sz w:val="20"/>
                <w:szCs w:val="20"/>
                <w:color w:val="auto"/>
              </w:rPr>
            </w:pPr>
            <w:r>
              <w:rPr>
                <w:rFonts w:ascii="Arial" w:cs="Arial" w:eastAsia="Arial" w:hAnsi="Arial"/>
                <w:sz w:val="14"/>
                <w:szCs w:val="14"/>
                <w:color w:val="auto"/>
                <w:w w:val="91"/>
              </w:rPr>
              <w:t>Insurance</w:t>
            </w:r>
          </w:p>
        </w:tc>
        <w:tc>
          <w:tcPr>
            <w:tcW w:w="640" w:type="dxa"/>
            <w:vAlign w:val="bottom"/>
          </w:tcPr>
          <w:p>
            <w:pPr>
              <w:ind w:left="340"/>
              <w:spacing w:after="0" w:line="149" w:lineRule="exact"/>
              <w:rPr>
                <w:sz w:val="20"/>
                <w:szCs w:val="20"/>
                <w:color w:val="auto"/>
              </w:rPr>
            </w:pPr>
            <w:r>
              <w:rPr>
                <w:rFonts w:ascii="Arial" w:cs="Arial" w:eastAsia="Arial" w:hAnsi="Arial"/>
                <w:sz w:val="14"/>
                <w:szCs w:val="14"/>
                <w:color w:val="auto"/>
              </w:rPr>
              <w:t>—</w:t>
            </w:r>
          </w:p>
        </w:tc>
        <w:tc>
          <w:tcPr>
            <w:tcW w:w="880" w:type="dxa"/>
            <w:vAlign w:val="bottom"/>
          </w:tcPr>
          <w:p>
            <w:pPr>
              <w:ind w:left="560"/>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2</w:t>
            </w:r>
          </w:p>
        </w:tc>
        <w:tc>
          <w:tcPr>
            <w:tcW w:w="9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9,567</w:t>
            </w:r>
          </w:p>
        </w:tc>
        <w:tc>
          <w:tcPr>
            <w:tcW w:w="100" w:type="dxa"/>
            <w:vAlign w:val="bottom"/>
          </w:tcPr>
          <w:p>
            <w:pPr>
              <w:spacing w:after="0"/>
              <w:rPr>
                <w:sz w:val="12"/>
                <w:szCs w:val="12"/>
                <w:color w:val="auto"/>
              </w:rPr>
            </w:pPr>
          </w:p>
        </w:tc>
        <w:tc>
          <w:tcPr>
            <w:tcW w:w="900" w:type="dxa"/>
            <w:vAlign w:val="bottom"/>
            <w:gridSpan w:val="2"/>
          </w:tcPr>
          <w:p>
            <w:pPr>
              <w:ind w:left="6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0"/>
        </w:trPr>
        <w:tc>
          <w:tcPr>
            <w:tcW w:w="458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Vestcom Parent Holdings, Inc.</w:t>
            </w:r>
          </w:p>
        </w:tc>
        <w:tc>
          <w:tcPr>
            <w:tcW w:w="760" w:type="dxa"/>
            <w:vAlign w:val="bottom"/>
            <w:shd w:val="clear" w:color="auto" w:fill="CCEEFF"/>
          </w:tcPr>
          <w:p>
            <w:pPr>
              <w:ind w:left="260"/>
              <w:spacing w:after="0" w:line="130" w:lineRule="exact"/>
              <w:rPr>
                <w:sz w:val="20"/>
                <w:szCs w:val="20"/>
                <w:color w:val="auto"/>
              </w:rPr>
            </w:pPr>
            <w:r>
              <w:rPr>
                <w:rFonts w:ascii="Arial" w:cs="Arial" w:eastAsia="Arial" w:hAnsi="Arial"/>
                <w:sz w:val="14"/>
                <w:szCs w:val="14"/>
                <w:color w:val="auto"/>
              </w:rPr>
              <w:t>—</w:t>
            </w:r>
          </w:p>
        </w:tc>
        <w:tc>
          <w:tcPr>
            <w:tcW w:w="1620" w:type="dxa"/>
            <w:vAlign w:val="bottom"/>
            <w:shd w:val="clear" w:color="auto" w:fill="CCEEFF"/>
          </w:tcPr>
          <w:p>
            <w:pPr>
              <w:jc w:val="center"/>
              <w:spacing w:after="0" w:line="130" w:lineRule="exact"/>
              <w:rPr>
                <w:sz w:val="20"/>
                <w:szCs w:val="20"/>
                <w:color w:val="auto"/>
              </w:rPr>
            </w:pPr>
            <w:r>
              <w:rPr>
                <w:rFonts w:ascii="Arial" w:cs="Arial" w:eastAsia="Arial" w:hAnsi="Arial"/>
                <w:sz w:val="14"/>
                <w:szCs w:val="14"/>
                <w:color w:val="auto"/>
                <w:w w:val="94"/>
              </w:rPr>
              <w:t>Printing and Publishing</w:t>
            </w:r>
          </w:p>
        </w:tc>
        <w:tc>
          <w:tcPr>
            <w:tcW w:w="640" w:type="dxa"/>
            <w:vAlign w:val="bottom"/>
            <w:shd w:val="clear" w:color="auto" w:fill="CCEEFF"/>
          </w:tcPr>
          <w:p>
            <w:pPr>
              <w:ind w:left="340"/>
              <w:spacing w:after="0" w:line="130" w:lineRule="exact"/>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ind w:left="560"/>
              <w:spacing w:after="0" w:line="130" w:lineRule="exact"/>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jc w:val="right"/>
              <w:ind w:right="160"/>
              <w:spacing w:after="0" w:line="130" w:lineRule="exact"/>
              <w:rPr>
                <w:sz w:val="20"/>
                <w:szCs w:val="20"/>
                <w:color w:val="auto"/>
              </w:rPr>
            </w:pPr>
            <w:r>
              <w:rPr>
                <w:rFonts w:ascii="Arial" w:cs="Arial" w:eastAsia="Arial" w:hAnsi="Arial"/>
                <w:sz w:val="14"/>
                <w:szCs w:val="14"/>
                <w:color w:val="auto"/>
              </w:rPr>
              <w:t>211,797</w:t>
            </w:r>
          </w:p>
        </w:tc>
        <w:tc>
          <w:tcPr>
            <w:tcW w:w="900" w:type="dxa"/>
            <w:vAlign w:val="bottom"/>
            <w:gridSpan w:val="2"/>
            <w:shd w:val="clear" w:color="auto" w:fill="CCEEFF"/>
          </w:tcPr>
          <w:p>
            <w:pPr>
              <w:jc w:val="right"/>
              <w:ind w:right="80"/>
              <w:spacing w:after="0" w:line="130" w:lineRule="exact"/>
              <w:rPr>
                <w:sz w:val="20"/>
                <w:szCs w:val="20"/>
                <w:color w:val="auto"/>
              </w:rPr>
            </w:pPr>
            <w:r>
              <w:rPr>
                <w:rFonts w:ascii="Arial" w:cs="Arial" w:eastAsia="Arial" w:hAnsi="Arial"/>
                <w:sz w:val="14"/>
                <w:szCs w:val="14"/>
                <w:color w:val="auto"/>
              </w:rPr>
              <w:t>2,325,555</w:t>
            </w:r>
          </w:p>
        </w:tc>
        <w:tc>
          <w:tcPr>
            <w:tcW w:w="1000" w:type="dxa"/>
            <w:vAlign w:val="bottom"/>
            <w:gridSpan w:val="3"/>
            <w:shd w:val="clear" w:color="auto" w:fill="CCEEFF"/>
          </w:tcPr>
          <w:p>
            <w:pPr>
              <w:jc w:val="right"/>
              <w:ind w:right="80"/>
              <w:spacing w:after="0" w:line="130" w:lineRule="exact"/>
              <w:rPr>
                <w:sz w:val="20"/>
                <w:szCs w:val="20"/>
                <w:color w:val="auto"/>
              </w:rPr>
            </w:pPr>
            <w:r>
              <w:rPr>
                <w:rFonts w:ascii="Arial" w:cs="Arial" w:eastAsia="Arial" w:hAnsi="Arial"/>
                <w:sz w:val="14"/>
                <w:szCs w:val="14"/>
                <w:color w:val="auto"/>
              </w:rPr>
              <w:t>2,626,512</w:t>
            </w:r>
          </w:p>
        </w:tc>
        <w:tc>
          <w:tcPr>
            <w:tcW w:w="0" w:type="dxa"/>
            <w:vAlign w:val="bottom"/>
          </w:tcPr>
          <w:p>
            <w:pPr>
              <w:spacing w:after="0"/>
              <w:rPr>
                <w:sz w:val="1"/>
                <w:szCs w:val="1"/>
                <w:color w:val="auto"/>
              </w:rPr>
            </w:pPr>
          </w:p>
        </w:tc>
      </w:tr>
      <w:tr>
        <w:trPr>
          <w:trHeight w:val="167"/>
        </w:trPr>
        <w:tc>
          <w:tcPr>
            <w:tcW w:w="4580" w:type="dxa"/>
            <w:vAlign w:val="bottom"/>
            <w:shd w:val="clear" w:color="auto" w:fill="CCEEFF"/>
          </w:tcPr>
          <w:p>
            <w:pPr>
              <w:ind w:left="160"/>
              <w:spacing w:after="0"/>
              <w:rPr>
                <w:sz w:val="20"/>
                <w:szCs w:val="20"/>
                <w:color w:val="auto"/>
              </w:rPr>
            </w:pPr>
            <w:r>
              <w:rPr>
                <w:rFonts w:ascii="Arial" w:cs="Arial" w:eastAsia="Arial" w:hAnsi="Arial"/>
                <w:sz w:val="14"/>
                <w:szCs w:val="14"/>
                <w:color w:val="auto"/>
              </w:rPr>
              <w:t>(Vestcom International, Inc.)</w:t>
            </w:r>
          </w:p>
        </w:tc>
        <w:tc>
          <w:tcPr>
            <w:tcW w:w="760" w:type="dxa"/>
            <w:vAlign w:val="bottom"/>
            <w:shd w:val="clear" w:color="auto" w:fill="CCEEFF"/>
          </w:tcPr>
          <w:p>
            <w:pPr>
              <w:spacing w:after="0"/>
              <w:rPr>
                <w:sz w:val="14"/>
                <w:szCs w:val="14"/>
                <w:color w:val="auto"/>
              </w:rPr>
            </w:pPr>
          </w:p>
        </w:tc>
        <w:tc>
          <w:tcPr>
            <w:tcW w:w="162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4580" w:type="dxa"/>
            <w:vAlign w:val="bottom"/>
          </w:tcPr>
          <w:p>
            <w:pPr>
              <w:spacing w:after="0" w:line="149" w:lineRule="exact"/>
              <w:rPr>
                <w:sz w:val="20"/>
                <w:szCs w:val="20"/>
                <w:color w:val="auto"/>
              </w:rPr>
            </w:pPr>
            <w:r>
              <w:rPr>
                <w:rFonts w:ascii="Arial" w:cs="Arial" w:eastAsia="Arial" w:hAnsi="Arial"/>
                <w:sz w:val="14"/>
                <w:szCs w:val="14"/>
                <w:color w:val="auto"/>
              </w:rPr>
              <w:t>VRide Holdings Inc.</w:t>
            </w:r>
          </w:p>
        </w:tc>
        <w:tc>
          <w:tcPr>
            <w:tcW w:w="760" w:type="dxa"/>
            <w:vAlign w:val="bottom"/>
          </w:tcPr>
          <w:p>
            <w:pPr>
              <w:ind w:left="260"/>
              <w:spacing w:after="0" w:line="149" w:lineRule="exact"/>
              <w:rPr>
                <w:sz w:val="20"/>
                <w:szCs w:val="20"/>
                <w:color w:val="auto"/>
              </w:rPr>
            </w:pPr>
            <w:r>
              <w:rPr>
                <w:rFonts w:ascii="Arial" w:cs="Arial" w:eastAsia="Arial" w:hAnsi="Arial"/>
                <w:sz w:val="14"/>
                <w:szCs w:val="14"/>
                <w:color w:val="auto"/>
              </w:rPr>
              <w:t>—</w:t>
            </w:r>
          </w:p>
        </w:tc>
        <w:tc>
          <w:tcPr>
            <w:tcW w:w="1620" w:type="dxa"/>
            <w:vAlign w:val="bottom"/>
          </w:tcPr>
          <w:p>
            <w:pPr>
              <w:jc w:val="center"/>
              <w:spacing w:after="0" w:line="149" w:lineRule="exact"/>
              <w:rPr>
                <w:sz w:val="20"/>
                <w:szCs w:val="20"/>
                <w:color w:val="auto"/>
              </w:rPr>
            </w:pPr>
            <w:r>
              <w:rPr>
                <w:rFonts w:ascii="Arial" w:cs="Arial" w:eastAsia="Arial" w:hAnsi="Arial"/>
                <w:sz w:val="14"/>
                <w:szCs w:val="14"/>
                <w:color w:val="auto"/>
                <w:w w:val="92"/>
              </w:rPr>
              <w:t>Personal Transportation</w:t>
            </w:r>
          </w:p>
        </w:tc>
        <w:tc>
          <w:tcPr>
            <w:tcW w:w="640" w:type="dxa"/>
            <w:vAlign w:val="bottom"/>
          </w:tcPr>
          <w:p>
            <w:pPr>
              <w:ind w:left="340"/>
              <w:spacing w:after="0" w:line="149" w:lineRule="exact"/>
              <w:rPr>
                <w:sz w:val="20"/>
                <w:szCs w:val="20"/>
                <w:color w:val="auto"/>
              </w:rPr>
            </w:pPr>
            <w:r>
              <w:rPr>
                <w:rFonts w:ascii="Arial" w:cs="Arial" w:eastAsia="Arial" w:hAnsi="Arial"/>
                <w:sz w:val="14"/>
                <w:szCs w:val="14"/>
                <w:color w:val="auto"/>
              </w:rPr>
              <w:t>—</w:t>
            </w:r>
          </w:p>
        </w:tc>
        <w:tc>
          <w:tcPr>
            <w:tcW w:w="880" w:type="dxa"/>
            <w:vAlign w:val="bottom"/>
          </w:tcPr>
          <w:p>
            <w:pPr>
              <w:ind w:left="560"/>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9,166</w:t>
            </w:r>
          </w:p>
        </w:tc>
        <w:tc>
          <w:tcPr>
            <w:tcW w:w="9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9,166</w:t>
            </w:r>
          </w:p>
        </w:tc>
        <w:tc>
          <w:tcPr>
            <w:tcW w:w="100" w:type="dxa"/>
            <w:vAlign w:val="bottom"/>
          </w:tcPr>
          <w:p>
            <w:pPr>
              <w:spacing w:after="0"/>
              <w:rPr>
                <w:sz w:val="12"/>
                <w:szCs w:val="12"/>
                <w:color w:val="auto"/>
              </w:rPr>
            </w:pPr>
          </w:p>
        </w:tc>
        <w:tc>
          <w:tcPr>
            <w:tcW w:w="900" w:type="dxa"/>
            <w:vAlign w:val="bottom"/>
            <w:gridSpan w:val="2"/>
          </w:tcPr>
          <w:p>
            <w:pPr>
              <w:ind w:left="6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45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VText Holdings, Inc.</w:t>
            </w:r>
          </w:p>
        </w:tc>
        <w:tc>
          <w:tcPr>
            <w:tcW w:w="760" w:type="dxa"/>
            <w:vAlign w:val="bottom"/>
            <w:shd w:val="clear" w:color="auto" w:fill="CCEEFF"/>
          </w:tcPr>
          <w:p>
            <w:pPr>
              <w:ind w:left="260"/>
              <w:spacing w:after="0" w:line="149" w:lineRule="exact"/>
              <w:rPr>
                <w:sz w:val="20"/>
                <w:szCs w:val="20"/>
                <w:color w:val="auto"/>
              </w:rPr>
            </w:pPr>
            <w:r>
              <w:rPr>
                <w:rFonts w:ascii="Arial" w:cs="Arial" w:eastAsia="Arial" w:hAnsi="Arial"/>
                <w:sz w:val="14"/>
                <w:szCs w:val="14"/>
                <w:color w:val="auto"/>
              </w:rPr>
              <w:t>—</w:t>
            </w:r>
          </w:p>
        </w:tc>
        <w:tc>
          <w:tcPr>
            <w:tcW w:w="162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0"/>
              </w:rPr>
              <w:t>Business Services</w:t>
            </w:r>
          </w:p>
        </w:tc>
        <w:tc>
          <w:tcPr>
            <w:tcW w:w="640" w:type="dxa"/>
            <w:vAlign w:val="bottom"/>
            <w:shd w:val="clear" w:color="auto" w:fill="CCEEFF"/>
          </w:tcPr>
          <w:p>
            <w:pPr>
              <w:ind w:left="340"/>
              <w:spacing w:after="0" w:line="149" w:lineRule="exact"/>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ind w:left="560"/>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35,526</w:t>
            </w:r>
          </w:p>
        </w:tc>
        <w:tc>
          <w:tcPr>
            <w:tcW w:w="82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4,050,000</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5,966,074</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63"/>
        </w:trPr>
        <w:tc>
          <w:tcPr>
            <w:tcW w:w="4580" w:type="dxa"/>
            <w:vAlign w:val="bottom"/>
          </w:tcPr>
          <w:p>
            <w:pPr>
              <w:spacing w:after="0"/>
              <w:rPr>
                <w:sz w:val="20"/>
                <w:szCs w:val="20"/>
                <w:color w:val="auto"/>
              </w:rPr>
            </w:pPr>
            <w:r>
              <w:rPr>
                <w:rFonts w:ascii="Arial" w:cs="Arial" w:eastAsia="Arial" w:hAnsi="Arial"/>
                <w:sz w:val="14"/>
                <w:szCs w:val="14"/>
                <w:b w:val="1"/>
                <w:bCs w:val="1"/>
                <w:color w:val="auto"/>
              </w:rPr>
              <w:t>Total Common Equity/Warrants/Partnership Interests</w:t>
            </w:r>
          </w:p>
        </w:tc>
        <w:tc>
          <w:tcPr>
            <w:tcW w:w="760" w:type="dxa"/>
            <w:vAlign w:val="bottom"/>
          </w:tcPr>
          <w:p>
            <w:pPr>
              <w:spacing w:after="0"/>
              <w:rPr>
                <w:sz w:val="22"/>
                <w:szCs w:val="22"/>
                <w:color w:val="auto"/>
              </w:rPr>
            </w:pPr>
          </w:p>
        </w:tc>
        <w:tc>
          <w:tcPr>
            <w:tcW w:w="162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4"/>
                <w:szCs w:val="14"/>
                <w:color w:val="auto"/>
              </w:rPr>
              <w:t>37,557,162</w:t>
            </w:r>
          </w:p>
        </w:tc>
        <w:tc>
          <w:tcPr>
            <w:tcW w:w="1000" w:type="dxa"/>
            <w:vAlign w:val="bottom"/>
            <w:gridSpan w:val="3"/>
          </w:tcPr>
          <w:p>
            <w:pPr>
              <w:jc w:val="right"/>
              <w:ind w:right="80"/>
              <w:spacing w:after="0"/>
              <w:rPr>
                <w:sz w:val="20"/>
                <w:szCs w:val="20"/>
                <w:color w:val="auto"/>
              </w:rPr>
            </w:pPr>
            <w:r>
              <w:rPr>
                <w:rFonts w:ascii="Arial" w:cs="Arial" w:eastAsia="Arial" w:hAnsi="Arial"/>
                <w:sz w:val="14"/>
                <w:szCs w:val="14"/>
                <w:color w:val="auto"/>
              </w:rPr>
              <w:t>70,472,831</w:t>
            </w:r>
          </w:p>
        </w:tc>
        <w:tc>
          <w:tcPr>
            <w:tcW w:w="0" w:type="dxa"/>
            <w:vAlign w:val="bottom"/>
          </w:tcPr>
          <w:p>
            <w:pPr>
              <w:spacing w:after="0"/>
              <w:rPr>
                <w:sz w:val="1"/>
                <w:szCs w:val="1"/>
                <w:color w:val="auto"/>
              </w:rPr>
            </w:pPr>
          </w:p>
        </w:tc>
      </w:tr>
      <w:tr>
        <w:trPr>
          <w:trHeight w:val="115"/>
        </w:trPr>
        <w:tc>
          <w:tcPr>
            <w:tcW w:w="45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6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2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2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458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w w:val="94"/>
              </w:rPr>
              <w:t>Total Investments in Non-Controlled, Non-Affiliated Portfolio Companies</w:t>
            </w:r>
          </w:p>
        </w:tc>
        <w:tc>
          <w:tcPr>
            <w:tcW w:w="760" w:type="dxa"/>
            <w:vAlign w:val="bottom"/>
            <w:shd w:val="clear" w:color="auto" w:fill="CCEEFF"/>
          </w:tcPr>
          <w:p>
            <w:pPr>
              <w:spacing w:after="0"/>
              <w:rPr>
                <w:sz w:val="12"/>
                <w:szCs w:val="12"/>
                <w:color w:val="auto"/>
              </w:rPr>
            </w:pPr>
          </w:p>
        </w:tc>
        <w:tc>
          <w:tcPr>
            <w:tcW w:w="16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2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928,078,589</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968,471,042</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bl>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240"/>
          </w:cols>
          <w:pgMar w:left="320" w:top="459" w:right="3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left="340" w:right="2720"/>
        <w:spacing w:after="0" w:line="266" w:lineRule="auto"/>
        <w:rPr>
          <w:sz w:val="20"/>
          <w:szCs w:val="20"/>
          <w:color w:val="auto"/>
        </w:rPr>
      </w:pPr>
      <w:r>
        <w:rPr>
          <w:rFonts w:ascii="Arial" w:cs="Arial" w:eastAsia="Arial" w:hAnsi="Arial"/>
          <w:sz w:val="18"/>
          <w:szCs w:val="18"/>
          <w:b w:val="1"/>
          <w:bCs w:val="1"/>
          <w:color w:val="auto"/>
        </w:rPr>
        <w:t>PENNANTPARK INVESTMENT CORPORATION AND SUBSIDIARIES CONSOLIDATED SCHEDULE OF INVESTMENTS—(Continued) SEPTEMBER 30, 2013</w:t>
      </w:r>
    </w:p>
    <w:p>
      <w:pPr>
        <w:spacing w:after="0" w:line="9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840" w:type="dxa"/>
            <w:vAlign w:val="bottom"/>
          </w:tcPr>
          <w:p>
            <w:pPr>
              <w:jc w:val="center"/>
              <w:spacing w:after="0"/>
              <w:rPr>
                <w:sz w:val="20"/>
                <w:szCs w:val="20"/>
                <w:color w:val="auto"/>
              </w:rPr>
            </w:pPr>
            <w:r>
              <w:rPr>
                <w:rFonts w:ascii="Arial" w:cs="Arial" w:eastAsia="Arial" w:hAnsi="Arial"/>
                <w:sz w:val="14"/>
                <w:szCs w:val="14"/>
                <w:b w:val="1"/>
                <w:bCs w:val="1"/>
                <w:color w:val="auto"/>
                <w:w w:val="89"/>
              </w:rPr>
              <w:t>Basis Point</w:t>
            </w: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42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040" w:type="dxa"/>
            <w:vAlign w:val="bottom"/>
            <w:vMerge w:val="restart"/>
          </w:tcPr>
          <w:p>
            <w:pPr>
              <w:jc w:val="right"/>
              <w:ind w:right="368"/>
              <w:spacing w:after="0"/>
              <w:rPr>
                <w:sz w:val="20"/>
                <w:szCs w:val="20"/>
                <w:color w:val="auto"/>
              </w:rPr>
            </w:pPr>
            <w:r>
              <w:rPr>
                <w:rFonts w:ascii="Arial" w:cs="Arial" w:eastAsia="Arial" w:hAnsi="Arial"/>
                <w:sz w:val="14"/>
                <w:szCs w:val="14"/>
                <w:b w:val="1"/>
                <w:bCs w:val="1"/>
                <w:color w:val="auto"/>
              </w:rPr>
              <w:t>Current</w:t>
            </w:r>
          </w:p>
        </w:tc>
        <w:tc>
          <w:tcPr>
            <w:tcW w:w="8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Spread</w:t>
            </w:r>
          </w:p>
        </w:tc>
        <w:tc>
          <w:tcPr>
            <w:tcW w:w="960" w:type="dxa"/>
            <w:vAlign w:val="bottom"/>
            <w:gridSpan w:val="2"/>
            <w:vMerge w:val="restart"/>
          </w:tcPr>
          <w:p>
            <w:pPr>
              <w:jc w:val="right"/>
              <w:ind w:right="400"/>
              <w:spacing w:after="0"/>
              <w:rPr>
                <w:sz w:val="20"/>
                <w:szCs w:val="20"/>
                <w:color w:val="auto"/>
              </w:rPr>
            </w:pPr>
            <w:r>
              <w:rPr>
                <w:rFonts w:ascii="Arial" w:cs="Arial" w:eastAsia="Arial" w:hAnsi="Arial"/>
                <w:sz w:val="14"/>
                <w:szCs w:val="14"/>
                <w:b w:val="1"/>
                <w:bCs w:val="1"/>
                <w:color w:val="auto"/>
              </w:rPr>
              <w:t>Par /</w:t>
            </w: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260" w:type="dxa"/>
            <w:vAlign w:val="bottom"/>
            <w:vMerge w:val="restart"/>
          </w:tcPr>
          <w:p>
            <w:pPr>
              <w:spacing w:after="0"/>
              <w:rPr>
                <w:sz w:val="20"/>
                <w:szCs w:val="20"/>
                <w:color w:val="auto"/>
              </w:rPr>
            </w:pPr>
            <w:r>
              <w:rPr>
                <w:rFonts w:ascii="Arial" w:cs="Arial" w:eastAsia="Arial" w:hAnsi="Arial"/>
                <w:sz w:val="14"/>
                <w:szCs w:val="14"/>
                <w:b w:val="1"/>
                <w:bCs w:val="1"/>
                <w:color w:val="auto"/>
              </w:rPr>
              <w:t>Issuer Name</w:t>
            </w:r>
          </w:p>
        </w:tc>
        <w:tc>
          <w:tcPr>
            <w:tcW w:w="740" w:type="dxa"/>
            <w:vAlign w:val="bottom"/>
            <w:vMerge w:val="restart"/>
          </w:tcPr>
          <w:p>
            <w:pPr>
              <w:ind w:left="100"/>
              <w:spacing w:after="0"/>
              <w:rPr>
                <w:sz w:val="20"/>
                <w:szCs w:val="20"/>
                <w:color w:val="auto"/>
              </w:rPr>
            </w:pPr>
            <w:r>
              <w:rPr>
                <w:rFonts w:ascii="Arial" w:cs="Arial" w:eastAsia="Arial" w:hAnsi="Arial"/>
                <w:sz w:val="14"/>
                <w:szCs w:val="14"/>
                <w:b w:val="1"/>
                <w:bCs w:val="1"/>
                <w:color w:val="auto"/>
              </w:rPr>
              <w:t>Maturity</w:t>
            </w:r>
          </w:p>
        </w:tc>
        <w:tc>
          <w:tcPr>
            <w:tcW w:w="13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7"/>
              </w:rPr>
              <w:t>Industry</w:t>
            </w:r>
          </w:p>
        </w:tc>
        <w:tc>
          <w:tcPr>
            <w:tcW w:w="1040" w:type="dxa"/>
            <w:vAlign w:val="bottom"/>
            <w:vMerge w:val="continue"/>
          </w:tcPr>
          <w:p>
            <w:pPr>
              <w:spacing w:after="0"/>
              <w:rPr>
                <w:sz w:val="12"/>
                <w:szCs w:val="12"/>
                <w:color w:val="auto"/>
              </w:rPr>
            </w:pPr>
          </w:p>
        </w:tc>
        <w:tc>
          <w:tcPr>
            <w:tcW w:w="8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Above</w:t>
            </w:r>
          </w:p>
        </w:tc>
        <w:tc>
          <w:tcPr>
            <w:tcW w:w="96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2"/>
            <w:vMerge w:val="restart"/>
          </w:tcPr>
          <w:p>
            <w:pPr>
              <w:ind w:left="240"/>
              <w:spacing w:after="0"/>
              <w:rPr>
                <w:sz w:val="20"/>
                <w:szCs w:val="20"/>
                <w:color w:val="auto"/>
              </w:rPr>
            </w:pPr>
            <w:r>
              <w:rPr>
                <w:rFonts w:ascii="Arial" w:cs="Arial" w:eastAsia="Arial" w:hAnsi="Arial"/>
                <w:sz w:val="14"/>
                <w:szCs w:val="14"/>
                <w:b w:val="1"/>
                <w:bCs w:val="1"/>
                <w:color w:val="auto"/>
              </w:rPr>
              <w:t>Cost</w:t>
            </w:r>
          </w:p>
        </w:tc>
        <w:tc>
          <w:tcPr>
            <w:tcW w:w="60" w:type="dxa"/>
            <w:vAlign w:val="bottom"/>
          </w:tcPr>
          <w:p>
            <w:pPr>
              <w:spacing w:after="0"/>
              <w:rPr>
                <w:sz w:val="12"/>
                <w:szCs w:val="12"/>
                <w:color w:val="auto"/>
              </w:rPr>
            </w:pPr>
          </w:p>
        </w:tc>
        <w:tc>
          <w:tcPr>
            <w:tcW w:w="1020" w:type="dxa"/>
            <w:vAlign w:val="bottom"/>
            <w:gridSpan w:val="3"/>
            <w:vMerge w:val="restart"/>
          </w:tcPr>
          <w:p>
            <w:pPr>
              <w:jc w:val="right"/>
              <w:ind w:right="140"/>
              <w:spacing w:after="0"/>
              <w:rPr>
                <w:sz w:val="20"/>
                <w:szCs w:val="20"/>
                <w:color w:val="auto"/>
              </w:rPr>
            </w:pPr>
            <w:r>
              <w:rPr>
                <w:rFonts w:ascii="Arial" w:cs="Arial" w:eastAsia="Arial" w:hAnsi="Arial"/>
                <w:sz w:val="14"/>
                <w:szCs w:val="14"/>
                <w:b w:val="1"/>
                <w:bCs w:val="1"/>
                <w:color w:val="auto"/>
              </w:rPr>
              <w:t xml:space="preserve">Fair Value </w:t>
            </w:r>
            <w:r>
              <w:rPr>
                <w:rFonts w:ascii="Arial" w:cs="Arial" w:eastAsia="Arial" w:hAnsi="Arial"/>
                <w:sz w:val="12"/>
                <w:szCs w:val="12"/>
                <w:b w:val="1"/>
                <w:bCs w:val="1"/>
                <w:color w:val="auto"/>
              </w:rPr>
              <w:t>(3)</w:t>
            </w:r>
          </w:p>
        </w:tc>
        <w:tc>
          <w:tcPr>
            <w:tcW w:w="0" w:type="dxa"/>
            <w:vAlign w:val="bottom"/>
          </w:tcPr>
          <w:p>
            <w:pPr>
              <w:spacing w:after="0"/>
              <w:rPr>
                <w:sz w:val="1"/>
                <w:szCs w:val="1"/>
                <w:color w:val="auto"/>
              </w:rPr>
            </w:pPr>
          </w:p>
        </w:tc>
      </w:tr>
      <w:tr>
        <w:trPr>
          <w:trHeight w:val="171"/>
        </w:trPr>
        <w:tc>
          <w:tcPr>
            <w:tcW w:w="4260" w:type="dxa"/>
            <w:vAlign w:val="bottom"/>
            <w:vMerge w:val="continue"/>
          </w:tcPr>
          <w:p>
            <w:pPr>
              <w:spacing w:after="0"/>
              <w:rPr>
                <w:sz w:val="14"/>
                <w:szCs w:val="14"/>
                <w:color w:val="auto"/>
              </w:rPr>
            </w:pPr>
          </w:p>
        </w:tc>
        <w:tc>
          <w:tcPr>
            <w:tcW w:w="740" w:type="dxa"/>
            <w:vAlign w:val="bottom"/>
            <w:vMerge w:val="continue"/>
          </w:tcPr>
          <w:p>
            <w:pPr>
              <w:spacing w:after="0"/>
              <w:rPr>
                <w:sz w:val="14"/>
                <w:szCs w:val="14"/>
                <w:color w:val="auto"/>
              </w:rPr>
            </w:pPr>
          </w:p>
        </w:tc>
        <w:tc>
          <w:tcPr>
            <w:tcW w:w="1320" w:type="dxa"/>
            <w:vAlign w:val="bottom"/>
            <w:vMerge w:val="continue"/>
          </w:tcPr>
          <w:p>
            <w:pPr>
              <w:spacing w:after="0"/>
              <w:rPr>
                <w:sz w:val="14"/>
                <w:szCs w:val="14"/>
                <w:color w:val="auto"/>
              </w:rPr>
            </w:pPr>
          </w:p>
        </w:tc>
        <w:tc>
          <w:tcPr>
            <w:tcW w:w="1040" w:type="dxa"/>
            <w:vAlign w:val="bottom"/>
          </w:tcPr>
          <w:p>
            <w:pPr>
              <w:jc w:val="right"/>
              <w:ind w:right="368"/>
              <w:spacing w:after="0"/>
              <w:rPr>
                <w:sz w:val="20"/>
                <w:szCs w:val="20"/>
                <w:color w:val="auto"/>
              </w:rPr>
            </w:pPr>
            <w:r>
              <w:rPr>
                <w:rFonts w:ascii="Arial" w:cs="Arial" w:eastAsia="Arial" w:hAnsi="Arial"/>
                <w:sz w:val="14"/>
                <w:szCs w:val="14"/>
                <w:b w:val="1"/>
                <w:bCs w:val="1"/>
                <w:color w:val="auto"/>
              </w:rPr>
              <w:t>Coupon</w:t>
            </w:r>
          </w:p>
        </w:tc>
        <w:tc>
          <w:tcPr>
            <w:tcW w:w="840" w:type="dxa"/>
            <w:vAlign w:val="bottom"/>
          </w:tcPr>
          <w:p>
            <w:pPr>
              <w:jc w:val="center"/>
              <w:spacing w:after="0"/>
              <w:rPr>
                <w:sz w:val="20"/>
                <w:szCs w:val="20"/>
                <w:color w:val="auto"/>
              </w:rPr>
            </w:pPr>
            <w:r>
              <w:rPr>
                <w:rFonts w:ascii="Arial" w:cs="Arial" w:eastAsia="Arial" w:hAnsi="Arial"/>
                <w:sz w:val="14"/>
                <w:szCs w:val="14"/>
                <w:b w:val="1"/>
                <w:bCs w:val="1"/>
                <w:color w:val="auto"/>
                <w:w w:val="94"/>
              </w:rPr>
              <w:t xml:space="preserve">Index </w:t>
            </w:r>
            <w:r>
              <w:rPr>
                <w:rFonts w:ascii="Arial" w:cs="Arial" w:eastAsia="Arial" w:hAnsi="Arial"/>
                <w:sz w:val="12"/>
                <w:szCs w:val="12"/>
                <w:b w:val="1"/>
                <w:bCs w:val="1"/>
                <w:color w:val="auto"/>
                <w:w w:val="94"/>
              </w:rPr>
              <w:t>(4)</w:t>
            </w:r>
          </w:p>
        </w:tc>
        <w:tc>
          <w:tcPr>
            <w:tcW w:w="96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Shares</w:t>
            </w:r>
          </w:p>
        </w:tc>
        <w:tc>
          <w:tcPr>
            <w:tcW w:w="80" w:type="dxa"/>
            <w:vAlign w:val="bottom"/>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60" w:type="dxa"/>
            <w:vAlign w:val="bottom"/>
          </w:tcPr>
          <w:p>
            <w:pPr>
              <w:spacing w:after="0"/>
              <w:rPr>
                <w:sz w:val="14"/>
                <w:szCs w:val="14"/>
                <w:color w:val="auto"/>
              </w:rPr>
            </w:pPr>
          </w:p>
        </w:tc>
        <w:tc>
          <w:tcPr>
            <w:tcW w:w="102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500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4"/>
                <w:szCs w:val="14"/>
                <w:b w:val="1"/>
                <w:bCs w:val="1"/>
                <w:color w:val="auto"/>
                <w:w w:val="99"/>
              </w:rPr>
              <w:t xml:space="preserve">Investments in Non-Controlled, Affiliated Portfolio Companies—11.0% </w:t>
            </w:r>
            <w:r>
              <w:rPr>
                <w:rFonts w:ascii="Arial" w:cs="Arial" w:eastAsia="Arial" w:hAnsi="Arial"/>
                <w:sz w:val="12"/>
                <w:szCs w:val="12"/>
                <w:b w:val="1"/>
                <w:bCs w:val="1"/>
                <w:color w:val="auto"/>
                <w:w w:val="99"/>
              </w:rPr>
              <w:t>(1),(2)</w:t>
            </w:r>
          </w:p>
        </w:tc>
        <w:tc>
          <w:tcPr>
            <w:tcW w:w="1320" w:type="dxa"/>
            <w:vAlign w:val="bottom"/>
            <w:tcBorders>
              <w:top w:val="single" w:sz="8" w:color="auto"/>
            </w:tcBorders>
            <w:shd w:val="clear" w:color="auto" w:fill="CCEEFF"/>
          </w:tcPr>
          <w:p>
            <w:pPr>
              <w:spacing w:after="0"/>
              <w:rPr>
                <w:sz w:val="19"/>
                <w:szCs w:val="19"/>
                <w:color w:val="auto"/>
              </w:rPr>
            </w:pPr>
          </w:p>
        </w:tc>
        <w:tc>
          <w:tcPr>
            <w:tcW w:w="1040" w:type="dxa"/>
            <w:vAlign w:val="bottom"/>
            <w:tcBorders>
              <w:top w:val="single" w:sz="8" w:color="auto"/>
            </w:tcBorders>
            <w:shd w:val="clear" w:color="auto" w:fill="CCEEFF"/>
          </w:tcPr>
          <w:p>
            <w:pPr>
              <w:spacing w:after="0"/>
              <w:rPr>
                <w:sz w:val="19"/>
                <w:szCs w:val="19"/>
                <w:color w:val="auto"/>
              </w:rPr>
            </w:pPr>
          </w:p>
        </w:tc>
        <w:tc>
          <w:tcPr>
            <w:tcW w:w="840" w:type="dxa"/>
            <w:vAlign w:val="bottom"/>
            <w:tcBorders>
              <w:top w:val="single" w:sz="8" w:color="auto"/>
            </w:tcBorders>
            <w:shd w:val="clear" w:color="auto" w:fill="CCEEFF"/>
          </w:tcPr>
          <w:p>
            <w:pPr>
              <w:spacing w:after="0"/>
              <w:rPr>
                <w:sz w:val="19"/>
                <w:szCs w:val="19"/>
                <w:color w:val="auto"/>
              </w:rPr>
            </w:pPr>
          </w:p>
        </w:tc>
        <w:tc>
          <w:tcPr>
            <w:tcW w:w="740" w:type="dxa"/>
            <w:vAlign w:val="bottom"/>
            <w:tcBorders>
              <w:top w:val="single" w:sz="8" w:color="auto"/>
            </w:tcBorders>
            <w:shd w:val="clear" w:color="auto" w:fill="CCEEFF"/>
          </w:tcPr>
          <w:p>
            <w:pPr>
              <w:spacing w:after="0"/>
              <w:rPr>
                <w:sz w:val="19"/>
                <w:szCs w:val="19"/>
                <w:color w:val="auto"/>
              </w:rPr>
            </w:pPr>
          </w:p>
        </w:tc>
        <w:tc>
          <w:tcPr>
            <w:tcW w:w="22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auto"/>
            </w:tcBorders>
            <w:shd w:val="clear" w:color="auto" w:fill="CCEEFF"/>
          </w:tcPr>
          <w:p>
            <w:pPr>
              <w:spacing w:after="0"/>
              <w:rPr>
                <w:sz w:val="19"/>
                <w:szCs w:val="19"/>
                <w:color w:val="auto"/>
              </w:rPr>
            </w:pPr>
          </w:p>
        </w:tc>
        <w:tc>
          <w:tcPr>
            <w:tcW w:w="84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auto"/>
            </w:tcBorders>
            <w:shd w:val="clear" w:color="auto" w:fill="CCEEFF"/>
          </w:tcPr>
          <w:p>
            <w:pPr>
              <w:spacing w:after="0"/>
              <w:rPr>
                <w:sz w:val="19"/>
                <w:szCs w:val="19"/>
                <w:color w:val="auto"/>
              </w:rPr>
            </w:pPr>
          </w:p>
        </w:tc>
        <w:tc>
          <w:tcPr>
            <w:tcW w:w="84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48"/>
        </w:trPr>
        <w:tc>
          <w:tcPr>
            <w:tcW w:w="4260" w:type="dxa"/>
            <w:vAlign w:val="bottom"/>
          </w:tcPr>
          <w:p>
            <w:pPr>
              <w:spacing w:after="0" w:line="149" w:lineRule="exact"/>
              <w:rPr>
                <w:sz w:val="20"/>
                <w:szCs w:val="20"/>
                <w:color w:val="auto"/>
              </w:rPr>
            </w:pPr>
            <w:r>
              <w:rPr>
                <w:rFonts w:ascii="Arial" w:cs="Arial" w:eastAsia="Arial" w:hAnsi="Arial"/>
                <w:sz w:val="14"/>
                <w:szCs w:val="14"/>
                <w:b w:val="1"/>
                <w:bCs w:val="1"/>
                <w:color w:val="auto"/>
              </w:rPr>
              <w:t>Subordinated Debt/Corporate Notes—5.7%</w:t>
            </w:r>
          </w:p>
        </w:tc>
        <w:tc>
          <w:tcPr>
            <w:tcW w:w="74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426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DirectBuy Holdings, Inc.</w:t>
            </w:r>
          </w:p>
        </w:tc>
        <w:tc>
          <w:tcPr>
            <w:tcW w:w="740" w:type="dxa"/>
            <w:vAlign w:val="bottom"/>
            <w:shd w:val="clear" w:color="auto" w:fill="CCEEFF"/>
          </w:tcPr>
          <w:p>
            <w:pPr>
              <w:jc w:val="center"/>
              <w:spacing w:after="0" w:line="130" w:lineRule="exact"/>
              <w:rPr>
                <w:sz w:val="20"/>
                <w:szCs w:val="20"/>
                <w:color w:val="auto"/>
              </w:rPr>
            </w:pPr>
            <w:r>
              <w:rPr>
                <w:rFonts w:ascii="Arial" w:cs="Arial" w:eastAsia="Arial" w:hAnsi="Arial"/>
                <w:sz w:val="14"/>
                <w:szCs w:val="14"/>
                <w:color w:val="auto"/>
                <w:w w:val="94"/>
              </w:rPr>
              <w:t>11/05/2019</w:t>
            </w:r>
          </w:p>
        </w:tc>
        <w:tc>
          <w:tcPr>
            <w:tcW w:w="1320" w:type="dxa"/>
            <w:vAlign w:val="bottom"/>
            <w:shd w:val="clear" w:color="auto" w:fill="CCEEFF"/>
          </w:tcPr>
          <w:p>
            <w:pPr>
              <w:jc w:val="center"/>
              <w:spacing w:after="0" w:line="130" w:lineRule="exact"/>
              <w:rPr>
                <w:sz w:val="20"/>
                <w:szCs w:val="20"/>
                <w:color w:val="auto"/>
              </w:rPr>
            </w:pPr>
            <w:r>
              <w:rPr>
                <w:rFonts w:ascii="Arial" w:cs="Arial" w:eastAsia="Arial" w:hAnsi="Arial"/>
                <w:sz w:val="14"/>
                <w:szCs w:val="14"/>
                <w:color w:val="auto"/>
                <w:w w:val="90"/>
              </w:rPr>
              <w:t>Consumer Products</w:t>
            </w:r>
          </w:p>
        </w:tc>
        <w:tc>
          <w:tcPr>
            <w:tcW w:w="1040" w:type="dxa"/>
            <w:vAlign w:val="bottom"/>
            <w:shd w:val="clear" w:color="auto" w:fill="CCEEFF"/>
          </w:tcPr>
          <w:p>
            <w:pPr>
              <w:jc w:val="right"/>
              <w:ind w:right="148"/>
              <w:spacing w:after="0" w:line="130" w:lineRule="exact"/>
              <w:rPr>
                <w:sz w:val="20"/>
                <w:szCs w:val="20"/>
                <w:color w:val="auto"/>
              </w:rPr>
            </w:pPr>
            <w:r>
              <w:rPr>
                <w:rFonts w:ascii="Arial" w:cs="Arial" w:eastAsia="Arial" w:hAnsi="Arial"/>
                <w:sz w:val="14"/>
                <w:szCs w:val="14"/>
                <w:color w:val="auto"/>
              </w:rPr>
              <w:t>12.00%</w:t>
            </w:r>
          </w:p>
        </w:tc>
        <w:tc>
          <w:tcPr>
            <w:tcW w:w="840" w:type="dxa"/>
            <w:vAlign w:val="bottom"/>
            <w:shd w:val="clear" w:color="auto" w:fill="CCEEFF"/>
          </w:tcPr>
          <w:p>
            <w:pPr>
              <w:ind w:left="540"/>
              <w:spacing w:after="0" w:line="130" w:lineRule="exact"/>
              <w:rPr>
                <w:sz w:val="20"/>
                <w:szCs w:val="20"/>
                <w:color w:val="auto"/>
              </w:rPr>
            </w:pPr>
            <w:r>
              <w:rPr>
                <w:rFonts w:ascii="Arial" w:cs="Arial" w:eastAsia="Arial" w:hAnsi="Arial"/>
                <w:sz w:val="14"/>
                <w:szCs w:val="14"/>
                <w:color w:val="auto"/>
              </w:rPr>
              <w:t>—</w:t>
            </w:r>
          </w:p>
        </w:tc>
        <w:tc>
          <w:tcPr>
            <w:tcW w:w="960" w:type="dxa"/>
            <w:vAlign w:val="bottom"/>
            <w:gridSpan w:val="2"/>
            <w:shd w:val="clear" w:color="auto" w:fill="CCEEFF"/>
          </w:tcPr>
          <w:p>
            <w:pPr>
              <w:jc w:val="right"/>
              <w:ind w:right="220"/>
              <w:spacing w:after="0" w:line="130" w:lineRule="exact"/>
              <w:rPr>
                <w:sz w:val="20"/>
                <w:szCs w:val="20"/>
                <w:color w:val="auto"/>
              </w:rPr>
            </w:pPr>
            <w:r>
              <w:rPr>
                <w:rFonts w:ascii="Arial" w:cs="Arial" w:eastAsia="Arial" w:hAnsi="Arial"/>
                <w:sz w:val="14"/>
                <w:szCs w:val="14"/>
                <w:color w:val="auto"/>
              </w:rPr>
              <w:t>11,428,224</w:t>
            </w:r>
          </w:p>
        </w:tc>
        <w:tc>
          <w:tcPr>
            <w:tcW w:w="80" w:type="dxa"/>
            <w:vAlign w:val="bottom"/>
            <w:shd w:val="clear" w:color="auto" w:fill="CCEEFF"/>
          </w:tcPr>
          <w:p>
            <w:pPr>
              <w:jc w:val="right"/>
              <w:spacing w:after="0" w:line="130" w:lineRule="exact"/>
              <w:rPr>
                <w:sz w:val="20"/>
                <w:szCs w:val="20"/>
                <w:color w:val="auto"/>
              </w:rPr>
            </w:pPr>
            <w:r>
              <w:rPr>
                <w:rFonts w:ascii="Arial" w:cs="Arial" w:eastAsia="Arial" w:hAnsi="Arial"/>
                <w:sz w:val="14"/>
                <w:szCs w:val="14"/>
                <w:color w:val="auto"/>
                <w:w w:val="76"/>
              </w:rPr>
              <w:t>$</w:t>
            </w:r>
          </w:p>
        </w:tc>
        <w:tc>
          <w:tcPr>
            <w:tcW w:w="920" w:type="dxa"/>
            <w:vAlign w:val="bottom"/>
            <w:gridSpan w:val="2"/>
            <w:shd w:val="clear" w:color="auto" w:fill="CCEEFF"/>
          </w:tcPr>
          <w:p>
            <w:pPr>
              <w:jc w:val="right"/>
              <w:ind w:right="80"/>
              <w:spacing w:after="0" w:line="130" w:lineRule="exact"/>
              <w:rPr>
                <w:sz w:val="20"/>
                <w:szCs w:val="20"/>
                <w:color w:val="auto"/>
              </w:rPr>
            </w:pPr>
            <w:r>
              <w:rPr>
                <w:rFonts w:ascii="Arial" w:cs="Arial" w:eastAsia="Arial" w:hAnsi="Arial"/>
                <w:sz w:val="14"/>
                <w:szCs w:val="14"/>
                <w:color w:val="auto"/>
              </w:rPr>
              <w:t>11,428,224</w:t>
            </w:r>
          </w:p>
        </w:tc>
        <w:tc>
          <w:tcPr>
            <w:tcW w:w="140" w:type="dxa"/>
            <w:vAlign w:val="bottom"/>
            <w:gridSpan w:val="2"/>
            <w:shd w:val="clear" w:color="auto" w:fill="CCEEFF"/>
          </w:tcPr>
          <w:p>
            <w:pPr>
              <w:jc w:val="right"/>
              <w:spacing w:after="0" w:line="130" w:lineRule="exact"/>
              <w:rPr>
                <w:sz w:val="20"/>
                <w:szCs w:val="20"/>
                <w:color w:val="auto"/>
              </w:rPr>
            </w:pPr>
            <w:r>
              <w:rPr>
                <w:rFonts w:ascii="Arial" w:cs="Arial" w:eastAsia="Arial" w:hAnsi="Arial"/>
                <w:sz w:val="14"/>
                <w:szCs w:val="14"/>
                <w:color w:val="auto"/>
              </w:rPr>
              <w:t>$</w:t>
            </w:r>
          </w:p>
        </w:tc>
        <w:tc>
          <w:tcPr>
            <w:tcW w:w="940" w:type="dxa"/>
            <w:vAlign w:val="bottom"/>
            <w:gridSpan w:val="2"/>
            <w:shd w:val="clear" w:color="auto" w:fill="CCEEFF"/>
          </w:tcPr>
          <w:p>
            <w:pPr>
              <w:jc w:val="right"/>
              <w:ind w:right="100"/>
              <w:spacing w:after="0" w:line="130" w:lineRule="exact"/>
              <w:rPr>
                <w:sz w:val="20"/>
                <w:szCs w:val="20"/>
                <w:color w:val="auto"/>
              </w:rPr>
            </w:pPr>
            <w:r>
              <w:rPr>
                <w:rFonts w:ascii="Arial" w:cs="Arial" w:eastAsia="Arial" w:hAnsi="Arial"/>
                <w:sz w:val="14"/>
                <w:szCs w:val="14"/>
                <w:color w:val="auto"/>
              </w:rPr>
              <w:t>11,428,224</w:t>
            </w:r>
          </w:p>
        </w:tc>
        <w:tc>
          <w:tcPr>
            <w:tcW w:w="0" w:type="dxa"/>
            <w:vAlign w:val="bottom"/>
          </w:tcPr>
          <w:p>
            <w:pPr>
              <w:spacing w:after="0"/>
              <w:rPr>
                <w:sz w:val="1"/>
                <w:szCs w:val="1"/>
                <w:color w:val="auto"/>
              </w:rPr>
            </w:pPr>
          </w:p>
        </w:tc>
      </w:tr>
      <w:tr>
        <w:trPr>
          <w:trHeight w:val="181"/>
        </w:trPr>
        <w:tc>
          <w:tcPr>
            <w:tcW w:w="426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c>
          <w:tcPr>
            <w:tcW w:w="104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(PIK 12.00%)</w:t>
            </w:r>
          </w:p>
        </w:tc>
        <w:tc>
          <w:tcPr>
            <w:tcW w:w="84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48"/>
        </w:trPr>
        <w:tc>
          <w:tcPr>
            <w:tcW w:w="4260" w:type="dxa"/>
            <w:vAlign w:val="bottom"/>
          </w:tcPr>
          <w:p>
            <w:pPr>
              <w:spacing w:after="0" w:line="149" w:lineRule="exact"/>
              <w:rPr>
                <w:sz w:val="20"/>
                <w:szCs w:val="20"/>
                <w:color w:val="auto"/>
              </w:rPr>
            </w:pPr>
            <w:r>
              <w:rPr>
                <w:rFonts w:ascii="Arial" w:cs="Arial" w:eastAsia="Arial" w:hAnsi="Arial"/>
                <w:sz w:val="14"/>
                <w:szCs w:val="14"/>
                <w:color w:val="auto"/>
              </w:rPr>
              <w:t>Service Champ, Inc.</w:t>
            </w:r>
          </w:p>
        </w:tc>
        <w:tc>
          <w:tcPr>
            <w:tcW w:w="740" w:type="dxa"/>
            <w:vAlign w:val="bottom"/>
          </w:tcPr>
          <w:p>
            <w:pPr>
              <w:jc w:val="center"/>
              <w:spacing w:after="0" w:line="149" w:lineRule="exact"/>
              <w:rPr>
                <w:sz w:val="20"/>
                <w:szCs w:val="20"/>
                <w:color w:val="auto"/>
              </w:rPr>
            </w:pPr>
            <w:r>
              <w:rPr>
                <w:rFonts w:ascii="Arial" w:cs="Arial" w:eastAsia="Arial" w:hAnsi="Arial"/>
                <w:sz w:val="14"/>
                <w:szCs w:val="14"/>
                <w:color w:val="auto"/>
                <w:w w:val="94"/>
              </w:rPr>
              <w:t>10/02/2017</w:t>
            </w:r>
          </w:p>
        </w:tc>
        <w:tc>
          <w:tcPr>
            <w:tcW w:w="1320" w:type="dxa"/>
            <w:vAlign w:val="bottom"/>
          </w:tcPr>
          <w:p>
            <w:pPr>
              <w:jc w:val="center"/>
              <w:spacing w:after="0" w:line="149" w:lineRule="exact"/>
              <w:rPr>
                <w:sz w:val="20"/>
                <w:szCs w:val="20"/>
                <w:color w:val="auto"/>
              </w:rPr>
            </w:pPr>
            <w:r>
              <w:rPr>
                <w:rFonts w:ascii="Arial" w:cs="Arial" w:eastAsia="Arial" w:hAnsi="Arial"/>
                <w:sz w:val="14"/>
                <w:szCs w:val="14"/>
                <w:color w:val="auto"/>
                <w:w w:val="95"/>
              </w:rPr>
              <w:t>Auto Sector</w:t>
            </w:r>
          </w:p>
        </w:tc>
        <w:tc>
          <w:tcPr>
            <w:tcW w:w="1040" w:type="dxa"/>
            <w:vAlign w:val="bottom"/>
          </w:tcPr>
          <w:p>
            <w:pPr>
              <w:jc w:val="right"/>
              <w:ind w:right="148"/>
              <w:spacing w:after="0" w:line="149" w:lineRule="exact"/>
              <w:rPr>
                <w:sz w:val="20"/>
                <w:szCs w:val="20"/>
                <w:color w:val="auto"/>
              </w:rPr>
            </w:pPr>
            <w:r>
              <w:rPr>
                <w:rFonts w:ascii="Arial" w:cs="Arial" w:eastAsia="Arial" w:hAnsi="Arial"/>
                <w:sz w:val="14"/>
                <w:szCs w:val="14"/>
                <w:color w:val="auto"/>
              </w:rPr>
              <w:t>12.50%</w:t>
            </w:r>
          </w:p>
        </w:tc>
        <w:tc>
          <w:tcPr>
            <w:tcW w:w="840" w:type="dxa"/>
            <w:vAlign w:val="bottom"/>
          </w:tcPr>
          <w:p>
            <w:pPr>
              <w:ind w:left="540"/>
              <w:spacing w:after="0" w:line="149" w:lineRule="exact"/>
              <w:rPr>
                <w:sz w:val="20"/>
                <w:szCs w:val="20"/>
                <w:color w:val="auto"/>
              </w:rPr>
            </w:pPr>
            <w:r>
              <w:rPr>
                <w:rFonts w:ascii="Arial" w:cs="Arial" w:eastAsia="Arial" w:hAnsi="Arial"/>
                <w:sz w:val="14"/>
                <w:szCs w:val="14"/>
                <w:color w:val="auto"/>
              </w:rPr>
              <w:t>—</w:t>
            </w:r>
          </w:p>
        </w:tc>
        <w:tc>
          <w:tcPr>
            <w:tcW w:w="9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28,000,000</w:t>
            </w:r>
          </w:p>
        </w:tc>
        <w:tc>
          <w:tcPr>
            <w:tcW w:w="80" w:type="dxa"/>
            <w:vAlign w:val="bottom"/>
          </w:tcPr>
          <w:p>
            <w:pPr>
              <w:spacing w:after="0"/>
              <w:rPr>
                <w:sz w:val="12"/>
                <w:szCs w:val="12"/>
                <w:color w:val="auto"/>
              </w:rPr>
            </w:pPr>
          </w:p>
        </w:tc>
        <w:tc>
          <w:tcPr>
            <w:tcW w:w="9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27,474,713</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28,248,043</w:t>
            </w:r>
          </w:p>
        </w:tc>
        <w:tc>
          <w:tcPr>
            <w:tcW w:w="0" w:type="dxa"/>
            <w:vAlign w:val="bottom"/>
          </w:tcPr>
          <w:p>
            <w:pPr>
              <w:spacing w:after="0"/>
              <w:rPr>
                <w:sz w:val="1"/>
                <w:szCs w:val="1"/>
                <w:color w:val="auto"/>
              </w:rPr>
            </w:pPr>
          </w:p>
        </w:tc>
      </w:tr>
      <w:tr>
        <w:trPr>
          <w:trHeight w:val="115"/>
        </w:trPr>
        <w:tc>
          <w:tcPr>
            <w:tcW w:w="42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84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84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426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Total Subordinated Debt/Corporate Notes</w:t>
            </w:r>
          </w:p>
        </w:tc>
        <w:tc>
          <w:tcPr>
            <w:tcW w:w="740" w:type="dxa"/>
            <w:vAlign w:val="bottom"/>
            <w:shd w:val="clear" w:color="auto" w:fill="CCEEFF"/>
          </w:tcPr>
          <w:p>
            <w:pPr>
              <w:spacing w:after="0"/>
              <w:rPr>
                <w:sz w:val="12"/>
                <w:szCs w:val="12"/>
                <w:color w:val="auto"/>
              </w:rPr>
            </w:pPr>
          </w:p>
        </w:tc>
        <w:tc>
          <w:tcPr>
            <w:tcW w:w="132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38,902,937</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39,676,267</w:t>
            </w:r>
          </w:p>
        </w:tc>
        <w:tc>
          <w:tcPr>
            <w:tcW w:w="0" w:type="dxa"/>
            <w:vAlign w:val="bottom"/>
          </w:tcPr>
          <w:p>
            <w:pPr>
              <w:spacing w:after="0"/>
              <w:rPr>
                <w:sz w:val="1"/>
                <w:szCs w:val="1"/>
                <w:color w:val="auto"/>
              </w:rPr>
            </w:pPr>
          </w:p>
        </w:tc>
      </w:tr>
      <w:tr>
        <w:trPr>
          <w:trHeight w:val="148"/>
        </w:trPr>
        <w:tc>
          <w:tcPr>
            <w:tcW w:w="4260" w:type="dxa"/>
            <w:vAlign w:val="bottom"/>
          </w:tcPr>
          <w:p>
            <w:pPr>
              <w:spacing w:after="0" w:line="149" w:lineRule="exact"/>
              <w:rPr>
                <w:sz w:val="20"/>
                <w:szCs w:val="20"/>
                <w:color w:val="auto"/>
              </w:rPr>
            </w:pPr>
            <w:r>
              <w:rPr>
                <w:rFonts w:ascii="Arial" w:cs="Arial" w:eastAsia="Arial" w:hAnsi="Arial"/>
                <w:sz w:val="14"/>
                <w:szCs w:val="14"/>
                <w:b w:val="1"/>
                <w:bCs w:val="1"/>
                <w:color w:val="auto"/>
              </w:rPr>
              <w:t>Preferred Equity—0.2%</w:t>
            </w:r>
            <w:r>
              <w:rPr>
                <w:rFonts w:ascii="Arial" w:cs="Arial" w:eastAsia="Arial" w:hAnsi="Arial"/>
                <w:sz w:val="12"/>
                <w:szCs w:val="12"/>
                <w:b w:val="1"/>
                <w:bCs w:val="1"/>
                <w:color w:val="auto"/>
              </w:rPr>
              <w:t>(6)</w:t>
            </w:r>
          </w:p>
        </w:tc>
        <w:tc>
          <w:tcPr>
            <w:tcW w:w="74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426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PAS International Holdings, Inc.</w:t>
            </w:r>
          </w:p>
        </w:tc>
        <w:tc>
          <w:tcPr>
            <w:tcW w:w="740" w:type="dxa"/>
            <w:vAlign w:val="bottom"/>
            <w:shd w:val="clear" w:color="auto" w:fill="CCEEFF"/>
          </w:tcPr>
          <w:p>
            <w:pPr>
              <w:ind w:left="260"/>
              <w:spacing w:after="0" w:line="130" w:lineRule="exact"/>
              <w:rPr>
                <w:sz w:val="20"/>
                <w:szCs w:val="20"/>
                <w:color w:val="auto"/>
              </w:rPr>
            </w:pPr>
            <w:r>
              <w:rPr>
                <w:rFonts w:ascii="Arial" w:cs="Arial" w:eastAsia="Arial" w:hAnsi="Arial"/>
                <w:sz w:val="14"/>
                <w:szCs w:val="14"/>
                <w:color w:val="auto"/>
              </w:rPr>
              <w:t>—</w:t>
            </w:r>
          </w:p>
        </w:tc>
        <w:tc>
          <w:tcPr>
            <w:tcW w:w="1320" w:type="dxa"/>
            <w:vAlign w:val="bottom"/>
            <w:shd w:val="clear" w:color="auto" w:fill="CCEEFF"/>
          </w:tcPr>
          <w:p>
            <w:pPr>
              <w:jc w:val="center"/>
              <w:spacing w:after="0" w:line="130" w:lineRule="exact"/>
              <w:rPr>
                <w:sz w:val="20"/>
                <w:szCs w:val="20"/>
                <w:color w:val="auto"/>
              </w:rPr>
            </w:pPr>
            <w:r>
              <w:rPr>
                <w:rFonts w:ascii="Arial" w:cs="Arial" w:eastAsia="Arial" w:hAnsi="Arial"/>
                <w:sz w:val="14"/>
                <w:szCs w:val="14"/>
                <w:color w:val="auto"/>
                <w:w w:val="89"/>
              </w:rPr>
              <w:t>Aerospace and</w:t>
            </w:r>
          </w:p>
        </w:tc>
        <w:tc>
          <w:tcPr>
            <w:tcW w:w="1040" w:type="dxa"/>
            <w:vAlign w:val="bottom"/>
            <w:shd w:val="clear" w:color="auto" w:fill="CCEEFF"/>
          </w:tcPr>
          <w:p>
            <w:pPr>
              <w:jc w:val="right"/>
              <w:ind w:right="348"/>
              <w:spacing w:after="0" w:line="130" w:lineRule="exact"/>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ind w:left="540"/>
              <w:spacing w:after="0" w:line="130" w:lineRule="exact"/>
              <w:rPr>
                <w:sz w:val="20"/>
                <w:szCs w:val="20"/>
                <w:color w:val="auto"/>
              </w:rPr>
            </w:pPr>
            <w:r>
              <w:rPr>
                <w:rFonts w:ascii="Arial" w:cs="Arial" w:eastAsia="Arial" w:hAnsi="Arial"/>
                <w:sz w:val="14"/>
                <w:szCs w:val="14"/>
                <w:color w:val="auto"/>
              </w:rPr>
              <w:t>—</w:t>
            </w:r>
          </w:p>
        </w:tc>
        <w:tc>
          <w:tcPr>
            <w:tcW w:w="960" w:type="dxa"/>
            <w:vAlign w:val="bottom"/>
            <w:gridSpan w:val="2"/>
            <w:shd w:val="clear" w:color="auto" w:fill="CCEEFF"/>
          </w:tcPr>
          <w:p>
            <w:pPr>
              <w:jc w:val="right"/>
              <w:ind w:right="220"/>
              <w:spacing w:after="0" w:line="130" w:lineRule="exact"/>
              <w:rPr>
                <w:sz w:val="20"/>
                <w:szCs w:val="20"/>
                <w:color w:val="auto"/>
              </w:rPr>
            </w:pPr>
            <w:r>
              <w:rPr>
                <w:rFonts w:ascii="Arial" w:cs="Arial" w:eastAsia="Arial" w:hAnsi="Arial"/>
                <w:sz w:val="14"/>
                <w:szCs w:val="14"/>
                <w:color w:val="auto"/>
              </w:rPr>
              <w:t>53,071</w:t>
            </w:r>
          </w:p>
        </w:tc>
        <w:tc>
          <w:tcPr>
            <w:tcW w:w="80" w:type="dxa"/>
            <w:vAlign w:val="bottom"/>
            <w:shd w:val="clear" w:color="auto" w:fill="CCEEFF"/>
          </w:tcPr>
          <w:p>
            <w:pPr>
              <w:spacing w:after="0"/>
              <w:rPr>
                <w:sz w:val="11"/>
                <w:szCs w:val="11"/>
                <w:color w:val="auto"/>
              </w:rPr>
            </w:pPr>
          </w:p>
        </w:tc>
        <w:tc>
          <w:tcPr>
            <w:tcW w:w="920" w:type="dxa"/>
            <w:vAlign w:val="bottom"/>
            <w:gridSpan w:val="2"/>
            <w:shd w:val="clear" w:color="auto" w:fill="CCEEFF"/>
          </w:tcPr>
          <w:p>
            <w:pPr>
              <w:jc w:val="right"/>
              <w:ind w:right="80"/>
              <w:spacing w:after="0" w:line="130" w:lineRule="exact"/>
              <w:rPr>
                <w:sz w:val="20"/>
                <w:szCs w:val="20"/>
                <w:color w:val="auto"/>
              </w:rPr>
            </w:pPr>
            <w:r>
              <w:rPr>
                <w:rFonts w:ascii="Arial" w:cs="Arial" w:eastAsia="Arial" w:hAnsi="Arial"/>
                <w:sz w:val="14"/>
                <w:szCs w:val="14"/>
                <w:color w:val="auto"/>
              </w:rPr>
              <w:t>20,059,340</w:t>
            </w: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40" w:type="dxa"/>
            <w:vAlign w:val="bottom"/>
            <w:gridSpan w:val="2"/>
            <w:shd w:val="clear" w:color="auto" w:fill="CCEEFF"/>
          </w:tcPr>
          <w:p>
            <w:pPr>
              <w:jc w:val="right"/>
              <w:ind w:right="100"/>
              <w:spacing w:after="0" w:line="130" w:lineRule="exact"/>
              <w:rPr>
                <w:sz w:val="20"/>
                <w:szCs w:val="20"/>
                <w:color w:val="auto"/>
              </w:rPr>
            </w:pPr>
            <w:r>
              <w:rPr>
                <w:rFonts w:ascii="Arial" w:cs="Arial" w:eastAsia="Arial" w:hAnsi="Arial"/>
                <w:sz w:val="14"/>
                <w:szCs w:val="14"/>
                <w:color w:val="auto"/>
              </w:rPr>
              <w:t>1,694,296</w:t>
            </w:r>
          </w:p>
        </w:tc>
        <w:tc>
          <w:tcPr>
            <w:tcW w:w="0" w:type="dxa"/>
            <w:vAlign w:val="bottom"/>
          </w:tcPr>
          <w:p>
            <w:pPr>
              <w:spacing w:after="0"/>
              <w:rPr>
                <w:sz w:val="1"/>
                <w:szCs w:val="1"/>
                <w:color w:val="auto"/>
              </w:rPr>
            </w:pPr>
          </w:p>
        </w:tc>
      </w:tr>
      <w:tr>
        <w:trPr>
          <w:trHeight w:val="181"/>
        </w:trPr>
        <w:tc>
          <w:tcPr>
            <w:tcW w:w="426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3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1"/>
              </w:rPr>
              <w:t>Defense</w:t>
            </w:r>
          </w:p>
        </w:tc>
        <w:tc>
          <w:tcPr>
            <w:tcW w:w="104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840" w:type="dxa"/>
            <w:vAlign w:val="bottom"/>
            <w:tcBorders>
              <w:bottom w:val="single" w:sz="8" w:color="auto"/>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840" w:type="dxa"/>
            <w:vAlign w:val="bottom"/>
            <w:tcBorders>
              <w:bottom w:val="single" w:sz="8" w:color="auto"/>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4260" w:type="dxa"/>
            <w:vAlign w:val="bottom"/>
          </w:tcPr>
          <w:p>
            <w:pPr>
              <w:spacing w:after="0" w:line="155" w:lineRule="exact"/>
              <w:rPr>
                <w:sz w:val="20"/>
                <w:szCs w:val="20"/>
                <w:color w:val="auto"/>
              </w:rPr>
            </w:pPr>
            <w:r>
              <w:rPr>
                <w:rFonts w:ascii="Arial" w:cs="Arial" w:eastAsia="Arial" w:hAnsi="Arial"/>
                <w:sz w:val="14"/>
                <w:szCs w:val="14"/>
                <w:b w:val="1"/>
                <w:bCs w:val="1"/>
                <w:color w:val="auto"/>
              </w:rPr>
              <w:t xml:space="preserve">Common Equity/Partnership Interest—5.1% </w:t>
            </w:r>
            <w:r>
              <w:rPr>
                <w:rFonts w:ascii="Arial" w:cs="Arial" w:eastAsia="Arial" w:hAnsi="Arial"/>
                <w:sz w:val="12"/>
                <w:szCs w:val="12"/>
                <w:b w:val="1"/>
                <w:bCs w:val="1"/>
                <w:color w:val="auto"/>
              </w:rPr>
              <w:t>(6)</w:t>
            </w:r>
          </w:p>
        </w:tc>
        <w:tc>
          <w:tcPr>
            <w:tcW w:w="74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42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DirectBuy Holdings, Inc.</w:t>
            </w:r>
          </w:p>
        </w:tc>
        <w:tc>
          <w:tcPr>
            <w:tcW w:w="740" w:type="dxa"/>
            <w:vAlign w:val="bottom"/>
            <w:shd w:val="clear" w:color="auto" w:fill="CCEEFF"/>
          </w:tcPr>
          <w:p>
            <w:pPr>
              <w:ind w:left="260"/>
              <w:spacing w:after="0" w:line="149" w:lineRule="exact"/>
              <w:rPr>
                <w:sz w:val="20"/>
                <w:szCs w:val="20"/>
                <w:color w:val="auto"/>
              </w:rPr>
            </w:pPr>
            <w:r>
              <w:rPr>
                <w:rFonts w:ascii="Arial" w:cs="Arial" w:eastAsia="Arial" w:hAnsi="Arial"/>
                <w:sz w:val="14"/>
                <w:szCs w:val="14"/>
                <w:color w:val="auto"/>
              </w:rPr>
              <w:t>—</w:t>
            </w:r>
          </w:p>
        </w:tc>
        <w:tc>
          <w:tcPr>
            <w:tcW w:w="132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0"/>
              </w:rPr>
              <w:t>Consumer Products</w:t>
            </w:r>
          </w:p>
        </w:tc>
        <w:tc>
          <w:tcPr>
            <w:tcW w:w="1040" w:type="dxa"/>
            <w:vAlign w:val="bottom"/>
            <w:shd w:val="clear" w:color="auto" w:fill="CCEEFF"/>
          </w:tcPr>
          <w:p>
            <w:pPr>
              <w:jc w:val="right"/>
              <w:ind w:right="348"/>
              <w:spacing w:after="0" w:line="149" w:lineRule="exact"/>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ind w:left="540"/>
              <w:spacing w:after="0" w:line="149" w:lineRule="exact"/>
              <w:rPr>
                <w:sz w:val="20"/>
                <w:szCs w:val="20"/>
                <w:color w:val="auto"/>
              </w:rPr>
            </w:pPr>
            <w:r>
              <w:rPr>
                <w:rFonts w:ascii="Arial" w:cs="Arial" w:eastAsia="Arial" w:hAnsi="Arial"/>
                <w:sz w:val="14"/>
                <w:szCs w:val="14"/>
                <w:color w:val="auto"/>
              </w:rPr>
              <w:t>—</w:t>
            </w:r>
          </w:p>
        </w:tc>
        <w:tc>
          <w:tcPr>
            <w:tcW w:w="9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104,719</w:t>
            </w:r>
          </w:p>
        </w:tc>
        <w:tc>
          <w:tcPr>
            <w:tcW w:w="8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21,492,822</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5,556,207</w:t>
            </w:r>
          </w:p>
        </w:tc>
        <w:tc>
          <w:tcPr>
            <w:tcW w:w="0" w:type="dxa"/>
            <w:vAlign w:val="bottom"/>
          </w:tcPr>
          <w:p>
            <w:pPr>
              <w:spacing w:after="0"/>
              <w:rPr>
                <w:sz w:val="1"/>
                <w:szCs w:val="1"/>
                <w:color w:val="auto"/>
              </w:rPr>
            </w:pPr>
          </w:p>
        </w:tc>
      </w:tr>
      <w:tr>
        <w:trPr>
          <w:trHeight w:val="148"/>
        </w:trPr>
        <w:tc>
          <w:tcPr>
            <w:tcW w:w="4260" w:type="dxa"/>
            <w:vAlign w:val="bottom"/>
          </w:tcPr>
          <w:p>
            <w:pPr>
              <w:spacing w:after="0" w:line="149" w:lineRule="exact"/>
              <w:rPr>
                <w:sz w:val="20"/>
                <w:szCs w:val="20"/>
                <w:color w:val="auto"/>
              </w:rPr>
            </w:pPr>
            <w:r>
              <w:rPr>
                <w:rFonts w:ascii="Arial" w:cs="Arial" w:eastAsia="Arial" w:hAnsi="Arial"/>
                <w:sz w:val="14"/>
                <w:szCs w:val="14"/>
                <w:color w:val="auto"/>
              </w:rPr>
              <w:t>DirectBuy Holdings, Inc. (Warrants)</w:t>
            </w:r>
          </w:p>
        </w:tc>
        <w:tc>
          <w:tcPr>
            <w:tcW w:w="740" w:type="dxa"/>
            <w:vAlign w:val="bottom"/>
          </w:tcPr>
          <w:p>
            <w:pPr>
              <w:jc w:val="center"/>
              <w:spacing w:after="0" w:line="149" w:lineRule="exact"/>
              <w:rPr>
                <w:sz w:val="20"/>
                <w:szCs w:val="20"/>
                <w:color w:val="auto"/>
              </w:rPr>
            </w:pPr>
            <w:r>
              <w:rPr>
                <w:rFonts w:ascii="Arial" w:cs="Arial" w:eastAsia="Arial" w:hAnsi="Arial"/>
                <w:sz w:val="14"/>
                <w:szCs w:val="14"/>
                <w:color w:val="auto"/>
                <w:w w:val="94"/>
              </w:rPr>
              <w:t>11/05/2022</w:t>
            </w:r>
          </w:p>
        </w:tc>
        <w:tc>
          <w:tcPr>
            <w:tcW w:w="1320" w:type="dxa"/>
            <w:vAlign w:val="bottom"/>
          </w:tcPr>
          <w:p>
            <w:pPr>
              <w:jc w:val="center"/>
              <w:spacing w:after="0" w:line="149" w:lineRule="exact"/>
              <w:rPr>
                <w:sz w:val="20"/>
                <w:szCs w:val="20"/>
                <w:color w:val="auto"/>
              </w:rPr>
            </w:pPr>
            <w:r>
              <w:rPr>
                <w:rFonts w:ascii="Arial" w:cs="Arial" w:eastAsia="Arial" w:hAnsi="Arial"/>
                <w:sz w:val="14"/>
                <w:szCs w:val="14"/>
                <w:color w:val="auto"/>
                <w:w w:val="90"/>
              </w:rPr>
              <w:t>Consumer Products</w:t>
            </w:r>
          </w:p>
        </w:tc>
        <w:tc>
          <w:tcPr>
            <w:tcW w:w="1040" w:type="dxa"/>
            <w:vAlign w:val="bottom"/>
          </w:tcPr>
          <w:p>
            <w:pPr>
              <w:jc w:val="right"/>
              <w:ind w:right="348"/>
              <w:spacing w:after="0" w:line="149" w:lineRule="exact"/>
              <w:rPr>
                <w:sz w:val="20"/>
                <w:szCs w:val="20"/>
                <w:color w:val="auto"/>
              </w:rPr>
            </w:pPr>
            <w:r>
              <w:rPr>
                <w:rFonts w:ascii="Arial" w:cs="Arial" w:eastAsia="Arial" w:hAnsi="Arial"/>
                <w:sz w:val="14"/>
                <w:szCs w:val="14"/>
                <w:color w:val="auto"/>
              </w:rPr>
              <w:t>—</w:t>
            </w:r>
          </w:p>
        </w:tc>
        <w:tc>
          <w:tcPr>
            <w:tcW w:w="840" w:type="dxa"/>
            <w:vAlign w:val="bottom"/>
          </w:tcPr>
          <w:p>
            <w:pPr>
              <w:ind w:left="540"/>
              <w:spacing w:after="0" w:line="149" w:lineRule="exact"/>
              <w:rPr>
                <w:sz w:val="20"/>
                <w:szCs w:val="20"/>
                <w:color w:val="auto"/>
              </w:rPr>
            </w:pPr>
            <w:r>
              <w:rPr>
                <w:rFonts w:ascii="Arial" w:cs="Arial" w:eastAsia="Arial" w:hAnsi="Arial"/>
                <w:sz w:val="14"/>
                <w:szCs w:val="14"/>
                <w:color w:val="auto"/>
              </w:rPr>
              <w:t>—</w:t>
            </w:r>
          </w:p>
        </w:tc>
        <w:tc>
          <w:tcPr>
            <w:tcW w:w="9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15,486</w:t>
            </w:r>
          </w:p>
        </w:tc>
        <w:tc>
          <w:tcPr>
            <w:tcW w:w="80" w:type="dxa"/>
            <w:vAlign w:val="bottom"/>
          </w:tcPr>
          <w:p>
            <w:pPr>
              <w:spacing w:after="0"/>
              <w:rPr>
                <w:sz w:val="12"/>
                <w:szCs w:val="12"/>
                <w:color w:val="auto"/>
              </w:rPr>
            </w:pPr>
          </w:p>
        </w:tc>
        <w:tc>
          <w:tcPr>
            <w:tcW w:w="920" w:type="dxa"/>
            <w:vAlign w:val="bottom"/>
            <w:gridSpan w:val="2"/>
          </w:tcPr>
          <w:p>
            <w:pPr>
              <w:ind w:left="62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821,505</w:t>
            </w:r>
          </w:p>
        </w:tc>
        <w:tc>
          <w:tcPr>
            <w:tcW w:w="0" w:type="dxa"/>
            <w:vAlign w:val="bottom"/>
          </w:tcPr>
          <w:p>
            <w:pPr>
              <w:spacing w:after="0"/>
              <w:rPr>
                <w:sz w:val="1"/>
                <w:szCs w:val="1"/>
                <w:color w:val="auto"/>
              </w:rPr>
            </w:pPr>
          </w:p>
        </w:tc>
      </w:tr>
      <w:tr>
        <w:trPr>
          <w:trHeight w:val="130"/>
        </w:trPr>
        <w:tc>
          <w:tcPr>
            <w:tcW w:w="426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EnviroSolutions Holdings, Inc.</w:t>
            </w:r>
          </w:p>
        </w:tc>
        <w:tc>
          <w:tcPr>
            <w:tcW w:w="740" w:type="dxa"/>
            <w:vAlign w:val="bottom"/>
            <w:shd w:val="clear" w:color="auto" w:fill="CCEEFF"/>
          </w:tcPr>
          <w:p>
            <w:pPr>
              <w:ind w:left="260"/>
              <w:spacing w:after="0" w:line="130" w:lineRule="exact"/>
              <w:rPr>
                <w:sz w:val="20"/>
                <w:szCs w:val="20"/>
                <w:color w:val="auto"/>
              </w:rPr>
            </w:pPr>
            <w:r>
              <w:rPr>
                <w:rFonts w:ascii="Arial" w:cs="Arial" w:eastAsia="Arial" w:hAnsi="Arial"/>
                <w:sz w:val="14"/>
                <w:szCs w:val="14"/>
                <w:color w:val="auto"/>
              </w:rPr>
              <w:t>—</w:t>
            </w:r>
          </w:p>
        </w:tc>
        <w:tc>
          <w:tcPr>
            <w:tcW w:w="1320" w:type="dxa"/>
            <w:vAlign w:val="bottom"/>
            <w:shd w:val="clear" w:color="auto" w:fill="CCEEFF"/>
          </w:tcPr>
          <w:p>
            <w:pPr>
              <w:jc w:val="center"/>
              <w:spacing w:after="0" w:line="130" w:lineRule="exact"/>
              <w:rPr>
                <w:sz w:val="20"/>
                <w:szCs w:val="20"/>
                <w:color w:val="auto"/>
              </w:rPr>
            </w:pPr>
            <w:r>
              <w:rPr>
                <w:rFonts w:ascii="Arial" w:cs="Arial" w:eastAsia="Arial" w:hAnsi="Arial"/>
                <w:sz w:val="14"/>
                <w:szCs w:val="14"/>
                <w:color w:val="auto"/>
                <w:w w:val="96"/>
              </w:rPr>
              <w:t>Environmental</w:t>
            </w:r>
          </w:p>
        </w:tc>
        <w:tc>
          <w:tcPr>
            <w:tcW w:w="1040" w:type="dxa"/>
            <w:vAlign w:val="bottom"/>
            <w:shd w:val="clear" w:color="auto" w:fill="CCEEFF"/>
          </w:tcPr>
          <w:p>
            <w:pPr>
              <w:jc w:val="right"/>
              <w:ind w:right="348"/>
              <w:spacing w:after="0" w:line="130" w:lineRule="exact"/>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ind w:left="540"/>
              <w:spacing w:after="0" w:line="130" w:lineRule="exact"/>
              <w:rPr>
                <w:sz w:val="20"/>
                <w:szCs w:val="20"/>
                <w:color w:val="auto"/>
              </w:rPr>
            </w:pPr>
            <w:r>
              <w:rPr>
                <w:rFonts w:ascii="Arial" w:cs="Arial" w:eastAsia="Arial" w:hAnsi="Arial"/>
                <w:sz w:val="14"/>
                <w:szCs w:val="14"/>
                <w:color w:val="auto"/>
              </w:rPr>
              <w:t>—</w:t>
            </w:r>
          </w:p>
        </w:tc>
        <w:tc>
          <w:tcPr>
            <w:tcW w:w="960" w:type="dxa"/>
            <w:vAlign w:val="bottom"/>
            <w:gridSpan w:val="2"/>
            <w:shd w:val="clear" w:color="auto" w:fill="CCEEFF"/>
          </w:tcPr>
          <w:p>
            <w:pPr>
              <w:jc w:val="right"/>
              <w:ind w:right="220"/>
              <w:spacing w:after="0" w:line="130" w:lineRule="exact"/>
              <w:rPr>
                <w:sz w:val="20"/>
                <w:szCs w:val="20"/>
                <w:color w:val="auto"/>
              </w:rPr>
            </w:pPr>
            <w:r>
              <w:rPr>
                <w:rFonts w:ascii="Arial" w:cs="Arial" w:eastAsia="Arial" w:hAnsi="Arial"/>
                <w:sz w:val="14"/>
                <w:szCs w:val="14"/>
                <w:color w:val="auto"/>
              </w:rPr>
              <w:t>142,684</w:t>
            </w:r>
          </w:p>
        </w:tc>
        <w:tc>
          <w:tcPr>
            <w:tcW w:w="80" w:type="dxa"/>
            <w:vAlign w:val="bottom"/>
            <w:shd w:val="clear" w:color="auto" w:fill="CCEEFF"/>
          </w:tcPr>
          <w:p>
            <w:pPr>
              <w:spacing w:after="0"/>
              <w:rPr>
                <w:sz w:val="11"/>
                <w:szCs w:val="11"/>
                <w:color w:val="auto"/>
              </w:rPr>
            </w:pPr>
          </w:p>
        </w:tc>
        <w:tc>
          <w:tcPr>
            <w:tcW w:w="920" w:type="dxa"/>
            <w:vAlign w:val="bottom"/>
            <w:gridSpan w:val="2"/>
            <w:shd w:val="clear" w:color="auto" w:fill="CCEEFF"/>
          </w:tcPr>
          <w:p>
            <w:pPr>
              <w:jc w:val="right"/>
              <w:ind w:right="80"/>
              <w:spacing w:after="0" w:line="130" w:lineRule="exact"/>
              <w:rPr>
                <w:sz w:val="20"/>
                <w:szCs w:val="20"/>
                <w:color w:val="auto"/>
              </w:rPr>
            </w:pPr>
            <w:r>
              <w:rPr>
                <w:rFonts w:ascii="Arial" w:cs="Arial" w:eastAsia="Arial" w:hAnsi="Arial"/>
                <w:sz w:val="14"/>
                <w:szCs w:val="14"/>
                <w:color w:val="auto"/>
              </w:rPr>
              <w:t>11,891,822</w:t>
            </w: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40" w:type="dxa"/>
            <w:vAlign w:val="bottom"/>
            <w:gridSpan w:val="2"/>
            <w:shd w:val="clear" w:color="auto" w:fill="CCEEFF"/>
          </w:tcPr>
          <w:p>
            <w:pPr>
              <w:jc w:val="right"/>
              <w:ind w:right="100"/>
              <w:spacing w:after="0" w:line="130" w:lineRule="exact"/>
              <w:rPr>
                <w:sz w:val="20"/>
                <w:szCs w:val="20"/>
                <w:color w:val="auto"/>
              </w:rPr>
            </w:pPr>
            <w:r>
              <w:rPr>
                <w:rFonts w:ascii="Arial" w:cs="Arial" w:eastAsia="Arial" w:hAnsi="Arial"/>
                <w:sz w:val="14"/>
                <w:szCs w:val="14"/>
                <w:color w:val="auto"/>
              </w:rPr>
              <w:t>21,265,345</w:t>
            </w:r>
          </w:p>
        </w:tc>
        <w:tc>
          <w:tcPr>
            <w:tcW w:w="0" w:type="dxa"/>
            <w:vAlign w:val="bottom"/>
          </w:tcPr>
          <w:p>
            <w:pPr>
              <w:spacing w:after="0"/>
              <w:rPr>
                <w:sz w:val="1"/>
                <w:szCs w:val="1"/>
                <w:color w:val="auto"/>
              </w:rPr>
            </w:pPr>
          </w:p>
        </w:tc>
      </w:tr>
      <w:tr>
        <w:trPr>
          <w:trHeight w:val="167"/>
        </w:trPr>
        <w:tc>
          <w:tcPr>
            <w:tcW w:w="426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3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Services</w:t>
            </w:r>
          </w:p>
        </w:tc>
        <w:tc>
          <w:tcPr>
            <w:tcW w:w="104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4260" w:type="dxa"/>
            <w:vAlign w:val="bottom"/>
          </w:tcPr>
          <w:p>
            <w:pPr>
              <w:spacing w:after="0" w:line="130" w:lineRule="exact"/>
              <w:rPr>
                <w:sz w:val="20"/>
                <w:szCs w:val="20"/>
                <w:color w:val="auto"/>
              </w:rPr>
            </w:pPr>
            <w:r>
              <w:rPr>
                <w:rFonts w:ascii="Arial" w:cs="Arial" w:eastAsia="Arial" w:hAnsi="Arial"/>
                <w:sz w:val="14"/>
                <w:szCs w:val="14"/>
                <w:color w:val="auto"/>
              </w:rPr>
              <w:t>NCP-Performance</w:t>
            </w:r>
          </w:p>
        </w:tc>
        <w:tc>
          <w:tcPr>
            <w:tcW w:w="740" w:type="dxa"/>
            <w:vAlign w:val="bottom"/>
          </w:tcPr>
          <w:p>
            <w:pPr>
              <w:ind w:left="260"/>
              <w:spacing w:after="0" w:line="130" w:lineRule="exact"/>
              <w:rPr>
                <w:sz w:val="20"/>
                <w:szCs w:val="20"/>
                <w:color w:val="auto"/>
              </w:rPr>
            </w:pPr>
            <w:r>
              <w:rPr>
                <w:rFonts w:ascii="Arial" w:cs="Arial" w:eastAsia="Arial" w:hAnsi="Arial"/>
                <w:sz w:val="14"/>
                <w:szCs w:val="14"/>
                <w:color w:val="auto"/>
              </w:rPr>
              <w:t>—</w:t>
            </w:r>
          </w:p>
        </w:tc>
        <w:tc>
          <w:tcPr>
            <w:tcW w:w="1320" w:type="dxa"/>
            <w:vAlign w:val="bottom"/>
          </w:tcPr>
          <w:p>
            <w:pPr>
              <w:jc w:val="center"/>
              <w:spacing w:after="0" w:line="130" w:lineRule="exact"/>
              <w:rPr>
                <w:sz w:val="20"/>
                <w:szCs w:val="20"/>
                <w:color w:val="auto"/>
              </w:rPr>
            </w:pPr>
            <w:r>
              <w:rPr>
                <w:rFonts w:ascii="Arial" w:cs="Arial" w:eastAsia="Arial" w:hAnsi="Arial"/>
                <w:sz w:val="14"/>
                <w:szCs w:val="14"/>
                <w:color w:val="auto"/>
                <w:w w:val="92"/>
              </w:rPr>
              <w:t>Leisure, Amusement,</w:t>
            </w:r>
          </w:p>
        </w:tc>
        <w:tc>
          <w:tcPr>
            <w:tcW w:w="1040" w:type="dxa"/>
            <w:vAlign w:val="bottom"/>
          </w:tcPr>
          <w:p>
            <w:pPr>
              <w:jc w:val="right"/>
              <w:ind w:right="348"/>
              <w:spacing w:after="0" w:line="130" w:lineRule="exact"/>
              <w:rPr>
                <w:sz w:val="20"/>
                <w:szCs w:val="20"/>
                <w:color w:val="auto"/>
              </w:rPr>
            </w:pPr>
            <w:r>
              <w:rPr>
                <w:rFonts w:ascii="Arial" w:cs="Arial" w:eastAsia="Arial" w:hAnsi="Arial"/>
                <w:sz w:val="14"/>
                <w:szCs w:val="14"/>
                <w:color w:val="auto"/>
              </w:rPr>
              <w:t>—</w:t>
            </w:r>
          </w:p>
        </w:tc>
        <w:tc>
          <w:tcPr>
            <w:tcW w:w="840" w:type="dxa"/>
            <w:vAlign w:val="bottom"/>
          </w:tcPr>
          <w:p>
            <w:pPr>
              <w:ind w:left="540"/>
              <w:spacing w:after="0" w:line="130" w:lineRule="exact"/>
              <w:rPr>
                <w:sz w:val="20"/>
                <w:szCs w:val="20"/>
                <w:color w:val="auto"/>
              </w:rPr>
            </w:pPr>
            <w:r>
              <w:rPr>
                <w:rFonts w:ascii="Arial" w:cs="Arial" w:eastAsia="Arial" w:hAnsi="Arial"/>
                <w:sz w:val="14"/>
                <w:szCs w:val="14"/>
                <w:color w:val="auto"/>
              </w:rPr>
              <w:t>—</w:t>
            </w:r>
          </w:p>
        </w:tc>
        <w:tc>
          <w:tcPr>
            <w:tcW w:w="960" w:type="dxa"/>
            <w:vAlign w:val="bottom"/>
            <w:gridSpan w:val="2"/>
          </w:tcPr>
          <w:p>
            <w:pPr>
              <w:jc w:val="right"/>
              <w:ind w:right="220"/>
              <w:spacing w:after="0" w:line="130" w:lineRule="exact"/>
              <w:rPr>
                <w:sz w:val="20"/>
                <w:szCs w:val="20"/>
                <w:color w:val="auto"/>
              </w:rPr>
            </w:pPr>
            <w:r>
              <w:rPr>
                <w:rFonts w:ascii="Arial" w:cs="Arial" w:eastAsia="Arial" w:hAnsi="Arial"/>
                <w:sz w:val="14"/>
                <w:szCs w:val="14"/>
                <w:color w:val="auto"/>
              </w:rPr>
              <w:t>375,000</w:t>
            </w:r>
          </w:p>
        </w:tc>
        <w:tc>
          <w:tcPr>
            <w:tcW w:w="80" w:type="dxa"/>
            <w:vAlign w:val="bottom"/>
          </w:tcPr>
          <w:p>
            <w:pPr>
              <w:spacing w:after="0"/>
              <w:rPr>
                <w:sz w:val="11"/>
                <w:szCs w:val="11"/>
                <w:color w:val="auto"/>
              </w:rPr>
            </w:pPr>
          </w:p>
        </w:tc>
        <w:tc>
          <w:tcPr>
            <w:tcW w:w="920" w:type="dxa"/>
            <w:vAlign w:val="bottom"/>
            <w:gridSpan w:val="2"/>
          </w:tcPr>
          <w:p>
            <w:pPr>
              <w:jc w:val="right"/>
              <w:ind w:right="80"/>
              <w:spacing w:after="0" w:line="130" w:lineRule="exact"/>
              <w:rPr>
                <w:sz w:val="20"/>
                <w:szCs w:val="20"/>
                <w:color w:val="auto"/>
              </w:rPr>
            </w:pPr>
            <w:r>
              <w:rPr>
                <w:rFonts w:ascii="Arial" w:cs="Arial" w:eastAsia="Arial" w:hAnsi="Arial"/>
                <w:sz w:val="14"/>
                <w:szCs w:val="14"/>
                <w:color w:val="auto"/>
              </w:rPr>
              <w:t>3,750,000</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40" w:type="dxa"/>
            <w:vAlign w:val="bottom"/>
            <w:gridSpan w:val="2"/>
          </w:tcPr>
          <w:p>
            <w:pPr>
              <w:jc w:val="right"/>
              <w:ind w:right="100"/>
              <w:spacing w:after="0" w:line="130" w:lineRule="exact"/>
              <w:rPr>
                <w:sz w:val="20"/>
                <w:szCs w:val="20"/>
                <w:color w:val="auto"/>
              </w:rPr>
            </w:pPr>
            <w:r>
              <w:rPr>
                <w:rFonts w:ascii="Arial" w:cs="Arial" w:eastAsia="Arial" w:hAnsi="Arial"/>
                <w:sz w:val="14"/>
                <w:szCs w:val="14"/>
                <w:color w:val="auto"/>
              </w:rPr>
              <w:t>2,500,165</w:t>
            </w:r>
          </w:p>
        </w:tc>
        <w:tc>
          <w:tcPr>
            <w:tcW w:w="0" w:type="dxa"/>
            <w:vAlign w:val="bottom"/>
          </w:tcPr>
          <w:p>
            <w:pPr>
              <w:spacing w:after="0"/>
              <w:rPr>
                <w:sz w:val="1"/>
                <w:szCs w:val="1"/>
                <w:color w:val="auto"/>
              </w:rPr>
            </w:pPr>
          </w:p>
        </w:tc>
      </w:tr>
      <w:tr>
        <w:trPr>
          <w:trHeight w:val="149"/>
        </w:trPr>
        <w:tc>
          <w:tcPr>
            <w:tcW w:w="42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320" w:type="dxa"/>
            <w:vAlign w:val="bottom"/>
          </w:tcPr>
          <w:p>
            <w:pPr>
              <w:jc w:val="center"/>
              <w:spacing w:after="0" w:line="149" w:lineRule="exact"/>
              <w:rPr>
                <w:sz w:val="20"/>
                <w:szCs w:val="20"/>
                <w:color w:val="auto"/>
              </w:rPr>
            </w:pPr>
            <w:r>
              <w:rPr>
                <w:rFonts w:ascii="Arial" w:cs="Arial" w:eastAsia="Arial" w:hAnsi="Arial"/>
                <w:sz w:val="14"/>
                <w:szCs w:val="14"/>
                <w:color w:val="auto"/>
                <w:w w:val="93"/>
              </w:rPr>
              <w:t>Motion Pictures and</w:t>
            </w:r>
          </w:p>
        </w:tc>
        <w:tc>
          <w:tcPr>
            <w:tcW w:w="10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42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320" w:type="dxa"/>
            <w:vAlign w:val="bottom"/>
          </w:tcPr>
          <w:p>
            <w:pPr>
              <w:jc w:val="center"/>
              <w:spacing w:after="0"/>
              <w:rPr>
                <w:sz w:val="20"/>
                <w:szCs w:val="20"/>
                <w:color w:val="auto"/>
              </w:rPr>
            </w:pPr>
            <w:r>
              <w:rPr>
                <w:rFonts w:ascii="Arial" w:cs="Arial" w:eastAsia="Arial" w:hAnsi="Arial"/>
                <w:sz w:val="14"/>
                <w:szCs w:val="14"/>
                <w:color w:val="auto"/>
                <w:w w:val="94"/>
              </w:rPr>
              <w:t>Entertainment</w:t>
            </w:r>
          </w:p>
        </w:tc>
        <w:tc>
          <w:tcPr>
            <w:tcW w:w="10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8"/>
        </w:trPr>
        <w:tc>
          <w:tcPr>
            <w:tcW w:w="42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New Service Champ Holdings, Inc. (Service Champ, Inc.)</w:t>
            </w:r>
          </w:p>
        </w:tc>
        <w:tc>
          <w:tcPr>
            <w:tcW w:w="740" w:type="dxa"/>
            <w:vAlign w:val="bottom"/>
            <w:shd w:val="clear" w:color="auto" w:fill="CCEEFF"/>
          </w:tcPr>
          <w:p>
            <w:pPr>
              <w:ind w:left="260"/>
              <w:spacing w:after="0" w:line="149" w:lineRule="exact"/>
              <w:rPr>
                <w:sz w:val="20"/>
                <w:szCs w:val="20"/>
                <w:color w:val="auto"/>
              </w:rPr>
            </w:pPr>
            <w:r>
              <w:rPr>
                <w:rFonts w:ascii="Arial" w:cs="Arial" w:eastAsia="Arial" w:hAnsi="Arial"/>
                <w:sz w:val="14"/>
                <w:szCs w:val="14"/>
                <w:color w:val="auto"/>
              </w:rPr>
              <w:t>—</w:t>
            </w:r>
          </w:p>
        </w:tc>
        <w:tc>
          <w:tcPr>
            <w:tcW w:w="132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5"/>
              </w:rPr>
              <w:t>Auto Sector</w:t>
            </w:r>
          </w:p>
        </w:tc>
        <w:tc>
          <w:tcPr>
            <w:tcW w:w="1040" w:type="dxa"/>
            <w:vAlign w:val="bottom"/>
            <w:shd w:val="clear" w:color="auto" w:fill="CCEEFF"/>
          </w:tcPr>
          <w:p>
            <w:pPr>
              <w:jc w:val="right"/>
              <w:ind w:right="348"/>
              <w:spacing w:after="0" w:line="149" w:lineRule="exact"/>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ind w:left="540"/>
              <w:spacing w:after="0" w:line="149" w:lineRule="exact"/>
              <w:rPr>
                <w:sz w:val="20"/>
                <w:szCs w:val="20"/>
                <w:color w:val="auto"/>
              </w:rPr>
            </w:pPr>
            <w:r>
              <w:rPr>
                <w:rFonts w:ascii="Arial" w:cs="Arial" w:eastAsia="Arial" w:hAnsi="Arial"/>
                <w:sz w:val="14"/>
                <w:szCs w:val="14"/>
                <w:color w:val="auto"/>
              </w:rPr>
              <w:t>—</w:t>
            </w:r>
          </w:p>
        </w:tc>
        <w:tc>
          <w:tcPr>
            <w:tcW w:w="9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16,800</w:t>
            </w:r>
          </w:p>
        </w:tc>
        <w:tc>
          <w:tcPr>
            <w:tcW w:w="8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2,721,600</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5,222,015</w:t>
            </w:r>
          </w:p>
        </w:tc>
        <w:tc>
          <w:tcPr>
            <w:tcW w:w="0" w:type="dxa"/>
            <w:vAlign w:val="bottom"/>
          </w:tcPr>
          <w:p>
            <w:pPr>
              <w:spacing w:after="0"/>
              <w:rPr>
                <w:sz w:val="1"/>
                <w:szCs w:val="1"/>
                <w:color w:val="auto"/>
              </w:rPr>
            </w:pPr>
          </w:p>
        </w:tc>
      </w:tr>
      <w:tr>
        <w:trPr>
          <w:trHeight w:val="130"/>
        </w:trPr>
        <w:tc>
          <w:tcPr>
            <w:tcW w:w="4260" w:type="dxa"/>
            <w:vAlign w:val="bottom"/>
          </w:tcPr>
          <w:p>
            <w:pPr>
              <w:spacing w:after="0"/>
              <w:rPr>
                <w:sz w:val="11"/>
                <w:szCs w:val="11"/>
                <w:color w:val="auto"/>
              </w:rPr>
            </w:pPr>
          </w:p>
        </w:tc>
        <w:tc>
          <w:tcPr>
            <w:tcW w:w="740" w:type="dxa"/>
            <w:vAlign w:val="bottom"/>
          </w:tcPr>
          <w:p>
            <w:pPr>
              <w:ind w:left="260"/>
              <w:spacing w:after="0" w:line="130" w:lineRule="exact"/>
              <w:rPr>
                <w:sz w:val="20"/>
                <w:szCs w:val="20"/>
                <w:color w:val="auto"/>
              </w:rPr>
            </w:pPr>
            <w:r>
              <w:rPr>
                <w:rFonts w:ascii="Arial" w:cs="Arial" w:eastAsia="Arial" w:hAnsi="Arial"/>
                <w:sz w:val="14"/>
                <w:szCs w:val="14"/>
                <w:color w:val="auto"/>
              </w:rPr>
              <w:t>—</w:t>
            </w:r>
          </w:p>
        </w:tc>
        <w:tc>
          <w:tcPr>
            <w:tcW w:w="1320" w:type="dxa"/>
            <w:vAlign w:val="bottom"/>
          </w:tcPr>
          <w:p>
            <w:pPr>
              <w:jc w:val="center"/>
              <w:spacing w:after="0" w:line="130" w:lineRule="exact"/>
              <w:rPr>
                <w:sz w:val="20"/>
                <w:szCs w:val="20"/>
                <w:color w:val="auto"/>
              </w:rPr>
            </w:pPr>
            <w:r>
              <w:rPr>
                <w:rFonts w:ascii="Arial" w:cs="Arial" w:eastAsia="Arial" w:hAnsi="Arial"/>
                <w:sz w:val="14"/>
                <w:szCs w:val="14"/>
                <w:color w:val="auto"/>
                <w:w w:val="89"/>
              </w:rPr>
              <w:t>Aerospace and</w:t>
            </w:r>
          </w:p>
        </w:tc>
        <w:tc>
          <w:tcPr>
            <w:tcW w:w="1040" w:type="dxa"/>
            <w:vAlign w:val="bottom"/>
          </w:tcPr>
          <w:p>
            <w:pPr>
              <w:jc w:val="right"/>
              <w:ind w:right="348"/>
              <w:spacing w:after="0" w:line="130" w:lineRule="exact"/>
              <w:rPr>
                <w:sz w:val="20"/>
                <w:szCs w:val="20"/>
                <w:color w:val="auto"/>
              </w:rPr>
            </w:pPr>
            <w:r>
              <w:rPr>
                <w:rFonts w:ascii="Arial" w:cs="Arial" w:eastAsia="Arial" w:hAnsi="Arial"/>
                <w:sz w:val="14"/>
                <w:szCs w:val="14"/>
                <w:color w:val="auto"/>
              </w:rPr>
              <w:t>—</w:t>
            </w:r>
          </w:p>
        </w:tc>
        <w:tc>
          <w:tcPr>
            <w:tcW w:w="840" w:type="dxa"/>
            <w:vAlign w:val="bottom"/>
          </w:tcPr>
          <w:p>
            <w:pPr>
              <w:ind w:left="540"/>
              <w:spacing w:after="0" w:line="130" w:lineRule="exact"/>
              <w:rPr>
                <w:sz w:val="20"/>
                <w:szCs w:val="20"/>
                <w:color w:val="auto"/>
              </w:rPr>
            </w:pPr>
            <w:r>
              <w:rPr>
                <w:rFonts w:ascii="Arial" w:cs="Arial" w:eastAsia="Arial" w:hAnsi="Arial"/>
                <w:sz w:val="14"/>
                <w:szCs w:val="14"/>
                <w:color w:val="auto"/>
              </w:rPr>
              <w:t>—</w:t>
            </w:r>
          </w:p>
        </w:tc>
        <w:tc>
          <w:tcPr>
            <w:tcW w:w="960" w:type="dxa"/>
            <w:vAlign w:val="bottom"/>
            <w:gridSpan w:val="2"/>
          </w:tcPr>
          <w:p>
            <w:pPr>
              <w:jc w:val="right"/>
              <w:ind w:right="220"/>
              <w:spacing w:after="0" w:line="130" w:lineRule="exact"/>
              <w:rPr>
                <w:sz w:val="20"/>
                <w:szCs w:val="20"/>
                <w:color w:val="auto"/>
              </w:rPr>
            </w:pPr>
            <w:r>
              <w:rPr>
                <w:rFonts w:ascii="Arial" w:cs="Arial" w:eastAsia="Arial" w:hAnsi="Arial"/>
                <w:sz w:val="14"/>
                <w:szCs w:val="14"/>
                <w:color w:val="auto"/>
              </w:rPr>
              <w:t>53,071</w:t>
            </w:r>
          </w:p>
        </w:tc>
        <w:tc>
          <w:tcPr>
            <w:tcW w:w="80" w:type="dxa"/>
            <w:vAlign w:val="bottom"/>
          </w:tcPr>
          <w:p>
            <w:pPr>
              <w:spacing w:after="0"/>
              <w:rPr>
                <w:sz w:val="11"/>
                <w:szCs w:val="11"/>
                <w:color w:val="auto"/>
              </w:rPr>
            </w:pPr>
          </w:p>
        </w:tc>
        <w:tc>
          <w:tcPr>
            <w:tcW w:w="920" w:type="dxa"/>
            <w:vAlign w:val="bottom"/>
            <w:gridSpan w:val="2"/>
          </w:tcPr>
          <w:p>
            <w:pPr>
              <w:jc w:val="right"/>
              <w:ind w:right="80"/>
              <w:spacing w:after="0" w:line="130" w:lineRule="exact"/>
              <w:rPr>
                <w:sz w:val="20"/>
                <w:szCs w:val="20"/>
                <w:color w:val="auto"/>
              </w:rPr>
            </w:pPr>
            <w:r>
              <w:rPr>
                <w:rFonts w:ascii="Arial" w:cs="Arial" w:eastAsia="Arial" w:hAnsi="Arial"/>
                <w:sz w:val="14"/>
                <w:szCs w:val="14"/>
                <w:color w:val="auto"/>
              </w:rPr>
              <w:t>202,620</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40" w:type="dxa"/>
            <w:vAlign w:val="bottom"/>
            <w:gridSpan w:val="2"/>
          </w:tcPr>
          <w:p>
            <w:pPr>
              <w:jc w:val="right"/>
              <w:ind w:right="160"/>
              <w:spacing w:after="0" w:line="130"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4"/>
        </w:trPr>
        <w:tc>
          <w:tcPr>
            <w:tcW w:w="4260" w:type="dxa"/>
            <w:vAlign w:val="bottom"/>
          </w:tcPr>
          <w:p>
            <w:pPr>
              <w:spacing w:after="0"/>
              <w:rPr>
                <w:sz w:val="20"/>
                <w:szCs w:val="20"/>
                <w:color w:val="auto"/>
              </w:rPr>
            </w:pPr>
            <w:r>
              <w:rPr>
                <w:rFonts w:ascii="Arial" w:cs="Arial" w:eastAsia="Arial" w:hAnsi="Arial"/>
                <w:sz w:val="14"/>
                <w:szCs w:val="14"/>
                <w:color w:val="auto"/>
              </w:rPr>
              <w:t>PAS International Holdings, Inc.</w:t>
            </w:r>
          </w:p>
        </w:tc>
        <w:tc>
          <w:tcPr>
            <w:tcW w:w="740" w:type="dxa"/>
            <w:vAlign w:val="bottom"/>
          </w:tcPr>
          <w:p>
            <w:pPr>
              <w:spacing w:after="0"/>
              <w:rPr>
                <w:sz w:val="15"/>
                <w:szCs w:val="15"/>
                <w:color w:val="auto"/>
              </w:rPr>
            </w:pPr>
          </w:p>
        </w:tc>
        <w:tc>
          <w:tcPr>
            <w:tcW w:w="1320" w:type="dxa"/>
            <w:vAlign w:val="bottom"/>
          </w:tcPr>
          <w:p>
            <w:pPr>
              <w:jc w:val="center"/>
              <w:spacing w:after="0"/>
              <w:rPr>
                <w:sz w:val="20"/>
                <w:szCs w:val="20"/>
                <w:color w:val="auto"/>
              </w:rPr>
            </w:pPr>
            <w:r>
              <w:rPr>
                <w:rFonts w:ascii="Arial" w:cs="Arial" w:eastAsia="Arial" w:hAnsi="Arial"/>
                <w:sz w:val="14"/>
                <w:szCs w:val="14"/>
                <w:color w:val="auto"/>
                <w:w w:val="91"/>
              </w:rPr>
              <w:t>Defense</w:t>
            </w:r>
          </w:p>
        </w:tc>
        <w:tc>
          <w:tcPr>
            <w:tcW w:w="10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8"/>
        </w:trPr>
        <w:tc>
          <w:tcPr>
            <w:tcW w:w="426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Total Common Equity/Partnership Interest</w:t>
            </w:r>
          </w:p>
        </w:tc>
        <w:tc>
          <w:tcPr>
            <w:tcW w:w="740" w:type="dxa"/>
            <w:vAlign w:val="bottom"/>
            <w:shd w:val="clear" w:color="auto" w:fill="CCEEFF"/>
          </w:tcPr>
          <w:p>
            <w:pPr>
              <w:spacing w:after="0"/>
              <w:rPr>
                <w:sz w:val="12"/>
                <w:szCs w:val="12"/>
                <w:color w:val="auto"/>
              </w:rPr>
            </w:pPr>
          </w:p>
        </w:tc>
        <w:tc>
          <w:tcPr>
            <w:tcW w:w="132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40,058,864</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35,365,237</w:t>
            </w:r>
          </w:p>
        </w:tc>
        <w:tc>
          <w:tcPr>
            <w:tcW w:w="0" w:type="dxa"/>
            <w:vAlign w:val="bottom"/>
          </w:tcPr>
          <w:p>
            <w:pPr>
              <w:spacing w:after="0"/>
              <w:rPr>
                <w:sz w:val="1"/>
                <w:szCs w:val="1"/>
                <w:color w:val="auto"/>
              </w:rPr>
            </w:pPr>
          </w:p>
        </w:tc>
      </w:tr>
      <w:tr>
        <w:trPr>
          <w:trHeight w:val="163"/>
        </w:trPr>
        <w:tc>
          <w:tcPr>
            <w:tcW w:w="4260" w:type="dxa"/>
            <w:vAlign w:val="bottom"/>
          </w:tcPr>
          <w:p>
            <w:pPr>
              <w:spacing w:after="0" w:line="155" w:lineRule="exact"/>
              <w:rPr>
                <w:sz w:val="20"/>
                <w:szCs w:val="20"/>
                <w:color w:val="auto"/>
              </w:rPr>
            </w:pPr>
            <w:r>
              <w:rPr>
                <w:rFonts w:ascii="Arial" w:cs="Arial" w:eastAsia="Arial" w:hAnsi="Arial"/>
                <w:sz w:val="14"/>
                <w:szCs w:val="14"/>
                <w:b w:val="1"/>
                <w:bCs w:val="1"/>
                <w:color w:val="auto"/>
                <w:w w:val="94"/>
              </w:rPr>
              <w:t>Total Investments in Non-Controlled, Affiliated Portfolio Companies</w:t>
            </w:r>
          </w:p>
        </w:tc>
        <w:tc>
          <w:tcPr>
            <w:tcW w:w="7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Borders>
              <w:top w:val="single" w:sz="8" w:color="auto"/>
              <w:bottom w:val="single" w:sz="8" w:color="auto"/>
            </w:tcBorders>
          </w:tcPr>
          <w:p>
            <w:pPr>
              <w:spacing w:after="0"/>
              <w:rPr>
                <w:sz w:val="14"/>
                <w:szCs w:val="14"/>
                <w:color w:val="auto"/>
              </w:rPr>
            </w:pPr>
          </w:p>
        </w:tc>
        <w:tc>
          <w:tcPr>
            <w:tcW w:w="8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99,021,141</w:t>
            </w: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Borders>
              <w:top w:val="single" w:sz="8" w:color="auto"/>
              <w:bottom w:val="single" w:sz="8" w:color="auto"/>
            </w:tcBorders>
          </w:tcPr>
          <w:p>
            <w:pPr>
              <w:spacing w:after="0"/>
              <w:rPr>
                <w:sz w:val="14"/>
                <w:szCs w:val="14"/>
                <w:color w:val="auto"/>
              </w:rPr>
            </w:pPr>
          </w:p>
        </w:tc>
        <w:tc>
          <w:tcPr>
            <w:tcW w:w="8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76,735,800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50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 xml:space="preserve">Investments in Controlled, Affiliated Portfolio Companies—4.7% </w:t>
            </w:r>
            <w:r>
              <w:rPr>
                <w:rFonts w:ascii="Arial" w:cs="Arial" w:eastAsia="Arial" w:hAnsi="Arial"/>
                <w:sz w:val="12"/>
                <w:szCs w:val="12"/>
                <w:b w:val="1"/>
                <w:bCs w:val="1"/>
                <w:color w:val="auto"/>
              </w:rPr>
              <w:t>(1),(2)</w:t>
            </w:r>
          </w:p>
        </w:tc>
        <w:tc>
          <w:tcPr>
            <w:tcW w:w="132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260" w:type="dxa"/>
            <w:vAlign w:val="bottom"/>
          </w:tcPr>
          <w:p>
            <w:pPr>
              <w:spacing w:after="0" w:line="149" w:lineRule="exact"/>
              <w:rPr>
                <w:sz w:val="20"/>
                <w:szCs w:val="20"/>
                <w:color w:val="auto"/>
              </w:rPr>
            </w:pPr>
            <w:r>
              <w:rPr>
                <w:rFonts w:ascii="Arial" w:cs="Arial" w:eastAsia="Arial" w:hAnsi="Arial"/>
                <w:sz w:val="14"/>
                <w:szCs w:val="14"/>
                <w:b w:val="1"/>
                <w:bCs w:val="1"/>
                <w:color w:val="auto"/>
              </w:rPr>
              <w:t>First Lien Secured Debt—1.6%</w:t>
            </w:r>
          </w:p>
        </w:tc>
        <w:tc>
          <w:tcPr>
            <w:tcW w:w="74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2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SuttonPark Holdings, Inc.</w:t>
            </w:r>
          </w:p>
        </w:tc>
        <w:tc>
          <w:tcPr>
            <w:tcW w:w="74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4"/>
              </w:rPr>
              <w:t>06/30/2020</w:t>
            </w:r>
          </w:p>
        </w:tc>
        <w:tc>
          <w:tcPr>
            <w:tcW w:w="132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0"/>
              </w:rPr>
              <w:t>Business Services</w:t>
            </w:r>
          </w:p>
        </w:tc>
        <w:tc>
          <w:tcPr>
            <w:tcW w:w="10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 xml:space="preserve">14.00% </w:t>
            </w:r>
            <w:r>
              <w:rPr>
                <w:rFonts w:ascii="Arial" w:cs="Arial" w:eastAsia="Arial" w:hAnsi="Arial"/>
                <w:sz w:val="12"/>
                <w:szCs w:val="12"/>
                <w:color w:val="auto"/>
              </w:rPr>
              <w:t>(7)</w:t>
            </w:r>
          </w:p>
        </w:tc>
        <w:tc>
          <w:tcPr>
            <w:tcW w:w="840" w:type="dxa"/>
            <w:vAlign w:val="bottom"/>
            <w:shd w:val="clear" w:color="auto" w:fill="CCEEFF"/>
          </w:tcPr>
          <w:p>
            <w:pPr>
              <w:ind w:left="540"/>
              <w:spacing w:after="0" w:line="149" w:lineRule="exact"/>
              <w:rPr>
                <w:sz w:val="20"/>
                <w:szCs w:val="20"/>
                <w:color w:val="auto"/>
              </w:rPr>
            </w:pPr>
            <w:r>
              <w:rPr>
                <w:rFonts w:ascii="Arial" w:cs="Arial" w:eastAsia="Arial" w:hAnsi="Arial"/>
                <w:sz w:val="14"/>
                <w:szCs w:val="14"/>
                <w:color w:val="auto"/>
              </w:rPr>
              <w:t>—</w:t>
            </w:r>
          </w:p>
        </w:tc>
        <w:tc>
          <w:tcPr>
            <w:tcW w:w="9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9,250,000</w:t>
            </w:r>
          </w:p>
        </w:tc>
        <w:tc>
          <w:tcPr>
            <w:tcW w:w="8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9,250,000</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9,556,385</w:t>
            </w:r>
          </w:p>
        </w:tc>
        <w:tc>
          <w:tcPr>
            <w:tcW w:w="0" w:type="dxa"/>
            <w:vAlign w:val="bottom"/>
          </w:tcPr>
          <w:p>
            <w:pPr>
              <w:spacing w:after="0"/>
              <w:rPr>
                <w:sz w:val="1"/>
                <w:szCs w:val="1"/>
                <w:color w:val="auto"/>
              </w:rPr>
            </w:pPr>
          </w:p>
        </w:tc>
      </w:tr>
      <w:tr>
        <w:trPr>
          <w:trHeight w:val="148"/>
        </w:trPr>
        <w:tc>
          <w:tcPr>
            <w:tcW w:w="4260" w:type="dxa"/>
            <w:vAlign w:val="bottom"/>
          </w:tcPr>
          <w:p>
            <w:pPr>
              <w:spacing w:after="0" w:line="149" w:lineRule="exact"/>
              <w:rPr>
                <w:sz w:val="20"/>
                <w:szCs w:val="20"/>
                <w:color w:val="auto"/>
              </w:rPr>
            </w:pPr>
            <w:r>
              <w:rPr>
                <w:rFonts w:ascii="Arial" w:cs="Arial" w:eastAsia="Arial" w:hAnsi="Arial"/>
                <w:sz w:val="14"/>
                <w:szCs w:val="14"/>
                <w:color w:val="auto"/>
              </w:rPr>
              <w:t xml:space="preserve">Universal Pegasus International, LLC </w:t>
            </w:r>
            <w:r>
              <w:rPr>
                <w:rFonts w:ascii="Arial" w:cs="Arial" w:eastAsia="Arial" w:hAnsi="Arial"/>
                <w:sz w:val="12"/>
                <w:szCs w:val="12"/>
                <w:color w:val="auto"/>
              </w:rPr>
              <w:t>(9)</w:t>
            </w:r>
          </w:p>
        </w:tc>
        <w:tc>
          <w:tcPr>
            <w:tcW w:w="740" w:type="dxa"/>
            <w:vAlign w:val="bottom"/>
          </w:tcPr>
          <w:p>
            <w:pPr>
              <w:jc w:val="center"/>
              <w:spacing w:after="0" w:line="149" w:lineRule="exact"/>
              <w:rPr>
                <w:sz w:val="20"/>
                <w:szCs w:val="20"/>
                <w:color w:val="auto"/>
              </w:rPr>
            </w:pPr>
            <w:r>
              <w:rPr>
                <w:rFonts w:ascii="Arial" w:cs="Arial" w:eastAsia="Arial" w:hAnsi="Arial"/>
                <w:sz w:val="14"/>
                <w:szCs w:val="14"/>
                <w:color w:val="auto"/>
                <w:w w:val="94"/>
              </w:rPr>
              <w:t>12/31/2015</w:t>
            </w:r>
          </w:p>
        </w:tc>
        <w:tc>
          <w:tcPr>
            <w:tcW w:w="1320" w:type="dxa"/>
            <w:vAlign w:val="bottom"/>
          </w:tcPr>
          <w:p>
            <w:pPr>
              <w:jc w:val="center"/>
              <w:spacing w:after="0" w:line="149" w:lineRule="exact"/>
              <w:rPr>
                <w:sz w:val="20"/>
                <w:szCs w:val="20"/>
                <w:color w:val="auto"/>
              </w:rPr>
            </w:pPr>
            <w:r>
              <w:rPr>
                <w:rFonts w:ascii="Arial" w:cs="Arial" w:eastAsia="Arial" w:hAnsi="Arial"/>
                <w:sz w:val="14"/>
                <w:szCs w:val="14"/>
                <w:color w:val="auto"/>
                <w:w w:val="91"/>
              </w:rPr>
              <w:t>Oil and Gas</w:t>
            </w:r>
          </w:p>
        </w:tc>
        <w:tc>
          <w:tcPr>
            <w:tcW w:w="1040" w:type="dxa"/>
            <w:vAlign w:val="bottom"/>
          </w:tcPr>
          <w:p>
            <w:pPr>
              <w:jc w:val="right"/>
              <w:ind w:right="348"/>
              <w:spacing w:after="0" w:line="149" w:lineRule="exact"/>
              <w:rPr>
                <w:sz w:val="20"/>
                <w:szCs w:val="20"/>
                <w:color w:val="auto"/>
              </w:rPr>
            </w:pPr>
            <w:r>
              <w:rPr>
                <w:rFonts w:ascii="Arial" w:cs="Arial" w:eastAsia="Arial" w:hAnsi="Arial"/>
                <w:sz w:val="14"/>
                <w:szCs w:val="14"/>
                <w:color w:val="auto"/>
              </w:rPr>
              <w:t>—</w:t>
            </w:r>
          </w:p>
        </w:tc>
        <w:tc>
          <w:tcPr>
            <w:tcW w:w="840" w:type="dxa"/>
            <w:vAlign w:val="bottom"/>
          </w:tcPr>
          <w:p>
            <w:pPr>
              <w:ind w:left="540"/>
              <w:spacing w:after="0" w:line="149" w:lineRule="exact"/>
              <w:rPr>
                <w:sz w:val="20"/>
                <w:szCs w:val="20"/>
                <w:color w:val="auto"/>
              </w:rPr>
            </w:pPr>
            <w:r>
              <w:rPr>
                <w:rFonts w:ascii="Arial" w:cs="Arial" w:eastAsia="Arial" w:hAnsi="Arial"/>
                <w:sz w:val="14"/>
                <w:szCs w:val="14"/>
                <w:color w:val="auto"/>
              </w:rPr>
              <w:t>—</w:t>
            </w:r>
          </w:p>
        </w:tc>
        <w:tc>
          <w:tcPr>
            <w:tcW w:w="9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1,916,667</w:t>
            </w:r>
          </w:p>
        </w:tc>
        <w:tc>
          <w:tcPr>
            <w:tcW w:w="8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1,787,941</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1,916,667</w:t>
            </w:r>
          </w:p>
        </w:tc>
        <w:tc>
          <w:tcPr>
            <w:tcW w:w="0" w:type="dxa"/>
            <w:vAlign w:val="bottom"/>
          </w:tcPr>
          <w:p>
            <w:pPr>
              <w:spacing w:after="0"/>
              <w:rPr>
                <w:sz w:val="1"/>
                <w:szCs w:val="1"/>
                <w:color w:val="auto"/>
              </w:rPr>
            </w:pPr>
          </w:p>
        </w:tc>
      </w:tr>
      <w:tr>
        <w:trPr>
          <w:trHeight w:val="27"/>
        </w:trPr>
        <w:tc>
          <w:tcPr>
            <w:tcW w:w="42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40" w:type="dxa"/>
            <w:vAlign w:val="bottom"/>
          </w:tcPr>
          <w:p>
            <w:pPr>
              <w:spacing w:after="0"/>
              <w:rPr>
                <w:sz w:val="2"/>
                <w:szCs w:val="2"/>
                <w:color w:val="auto"/>
              </w:rPr>
            </w:pPr>
          </w:p>
        </w:tc>
        <w:tc>
          <w:tcPr>
            <w:tcW w:w="7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8"/>
        </w:trPr>
        <w:tc>
          <w:tcPr>
            <w:tcW w:w="426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Total First Lien Secured Debt</w:t>
            </w:r>
          </w:p>
        </w:tc>
        <w:tc>
          <w:tcPr>
            <w:tcW w:w="740" w:type="dxa"/>
            <w:vAlign w:val="bottom"/>
            <w:shd w:val="clear" w:color="auto" w:fill="CCEEFF"/>
          </w:tcPr>
          <w:p>
            <w:pPr>
              <w:spacing w:after="0"/>
              <w:rPr>
                <w:sz w:val="12"/>
                <w:szCs w:val="12"/>
                <w:color w:val="auto"/>
              </w:rPr>
            </w:pPr>
          </w:p>
        </w:tc>
        <w:tc>
          <w:tcPr>
            <w:tcW w:w="132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11,037,941</w:t>
            </w: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11,473,052</w:t>
            </w:r>
          </w:p>
        </w:tc>
        <w:tc>
          <w:tcPr>
            <w:tcW w:w="0" w:type="dxa"/>
            <w:vAlign w:val="bottom"/>
          </w:tcPr>
          <w:p>
            <w:pPr>
              <w:spacing w:after="0"/>
              <w:rPr>
                <w:sz w:val="1"/>
                <w:szCs w:val="1"/>
                <w:color w:val="auto"/>
              </w:rPr>
            </w:pPr>
          </w:p>
        </w:tc>
      </w:tr>
      <w:tr>
        <w:trPr>
          <w:trHeight w:val="155"/>
        </w:trPr>
        <w:tc>
          <w:tcPr>
            <w:tcW w:w="4260" w:type="dxa"/>
            <w:vAlign w:val="bottom"/>
          </w:tcPr>
          <w:p>
            <w:pPr>
              <w:spacing w:after="0" w:line="155" w:lineRule="exact"/>
              <w:rPr>
                <w:sz w:val="20"/>
                <w:szCs w:val="20"/>
                <w:color w:val="auto"/>
              </w:rPr>
            </w:pPr>
            <w:r>
              <w:rPr>
                <w:rFonts w:ascii="Arial" w:cs="Arial" w:eastAsia="Arial" w:hAnsi="Arial"/>
                <w:sz w:val="14"/>
                <w:szCs w:val="14"/>
                <w:b w:val="1"/>
                <w:bCs w:val="1"/>
                <w:color w:val="auto"/>
              </w:rPr>
              <w:t>Second Lien Secured Debt—2.4%</w:t>
            </w:r>
          </w:p>
        </w:tc>
        <w:tc>
          <w:tcPr>
            <w:tcW w:w="74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84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84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0"/>
        </w:trPr>
        <w:tc>
          <w:tcPr>
            <w:tcW w:w="426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Universal Pegasus International, LLC</w:t>
            </w:r>
          </w:p>
        </w:tc>
        <w:tc>
          <w:tcPr>
            <w:tcW w:w="740" w:type="dxa"/>
            <w:vAlign w:val="bottom"/>
            <w:shd w:val="clear" w:color="auto" w:fill="CCEEFF"/>
          </w:tcPr>
          <w:p>
            <w:pPr>
              <w:jc w:val="center"/>
              <w:spacing w:after="0" w:line="130" w:lineRule="exact"/>
              <w:rPr>
                <w:sz w:val="20"/>
                <w:szCs w:val="20"/>
                <w:color w:val="auto"/>
              </w:rPr>
            </w:pPr>
            <w:r>
              <w:rPr>
                <w:rFonts w:ascii="Arial" w:cs="Arial" w:eastAsia="Arial" w:hAnsi="Arial"/>
                <w:sz w:val="14"/>
                <w:szCs w:val="14"/>
                <w:color w:val="auto"/>
                <w:w w:val="94"/>
              </w:rPr>
              <w:t>12/31/2015</w:t>
            </w:r>
          </w:p>
        </w:tc>
        <w:tc>
          <w:tcPr>
            <w:tcW w:w="1320" w:type="dxa"/>
            <w:vAlign w:val="bottom"/>
            <w:shd w:val="clear" w:color="auto" w:fill="CCEEFF"/>
          </w:tcPr>
          <w:p>
            <w:pPr>
              <w:jc w:val="center"/>
              <w:spacing w:after="0" w:line="130" w:lineRule="exact"/>
              <w:rPr>
                <w:sz w:val="20"/>
                <w:szCs w:val="20"/>
                <w:color w:val="auto"/>
              </w:rPr>
            </w:pPr>
            <w:r>
              <w:rPr>
                <w:rFonts w:ascii="Arial" w:cs="Arial" w:eastAsia="Arial" w:hAnsi="Arial"/>
                <w:sz w:val="14"/>
                <w:szCs w:val="14"/>
                <w:color w:val="auto"/>
                <w:w w:val="91"/>
              </w:rPr>
              <w:t>Oil and Gas</w:t>
            </w:r>
          </w:p>
        </w:tc>
        <w:tc>
          <w:tcPr>
            <w:tcW w:w="1040" w:type="dxa"/>
            <w:vAlign w:val="bottom"/>
            <w:shd w:val="clear" w:color="auto" w:fill="CCEEFF"/>
          </w:tcPr>
          <w:p>
            <w:pPr>
              <w:jc w:val="right"/>
              <w:ind w:right="148"/>
              <w:spacing w:after="0" w:line="130" w:lineRule="exact"/>
              <w:rPr>
                <w:sz w:val="20"/>
                <w:szCs w:val="20"/>
                <w:color w:val="auto"/>
              </w:rPr>
            </w:pPr>
            <w:r>
              <w:rPr>
                <w:rFonts w:ascii="Arial" w:cs="Arial" w:eastAsia="Arial" w:hAnsi="Arial"/>
                <w:sz w:val="14"/>
                <w:szCs w:val="14"/>
                <w:color w:val="auto"/>
              </w:rPr>
              <w:t>15.00%</w:t>
            </w:r>
          </w:p>
        </w:tc>
        <w:tc>
          <w:tcPr>
            <w:tcW w:w="840" w:type="dxa"/>
            <w:vAlign w:val="bottom"/>
            <w:shd w:val="clear" w:color="auto" w:fill="CCEEFF"/>
          </w:tcPr>
          <w:p>
            <w:pPr>
              <w:ind w:left="540"/>
              <w:spacing w:after="0" w:line="130" w:lineRule="exact"/>
              <w:rPr>
                <w:sz w:val="20"/>
                <w:szCs w:val="20"/>
                <w:color w:val="auto"/>
              </w:rPr>
            </w:pPr>
            <w:r>
              <w:rPr>
                <w:rFonts w:ascii="Arial" w:cs="Arial" w:eastAsia="Arial" w:hAnsi="Arial"/>
                <w:sz w:val="14"/>
                <w:szCs w:val="14"/>
                <w:color w:val="auto"/>
              </w:rPr>
              <w:t>—</w:t>
            </w:r>
          </w:p>
        </w:tc>
        <w:tc>
          <w:tcPr>
            <w:tcW w:w="960" w:type="dxa"/>
            <w:vAlign w:val="bottom"/>
            <w:gridSpan w:val="2"/>
            <w:shd w:val="clear" w:color="auto" w:fill="CCEEFF"/>
          </w:tcPr>
          <w:p>
            <w:pPr>
              <w:jc w:val="right"/>
              <w:ind w:right="220"/>
              <w:spacing w:after="0" w:line="130" w:lineRule="exact"/>
              <w:rPr>
                <w:sz w:val="20"/>
                <w:szCs w:val="20"/>
                <w:color w:val="auto"/>
              </w:rPr>
            </w:pPr>
            <w:r>
              <w:rPr>
                <w:rFonts w:ascii="Arial" w:cs="Arial" w:eastAsia="Arial" w:hAnsi="Arial"/>
                <w:sz w:val="14"/>
                <w:szCs w:val="14"/>
                <w:color w:val="auto"/>
              </w:rPr>
              <w:t>16,615,645</w:t>
            </w:r>
          </w:p>
        </w:tc>
        <w:tc>
          <w:tcPr>
            <w:tcW w:w="80" w:type="dxa"/>
            <w:vAlign w:val="bottom"/>
            <w:shd w:val="clear" w:color="auto" w:fill="CCEEFF"/>
          </w:tcPr>
          <w:p>
            <w:pPr>
              <w:spacing w:after="0"/>
              <w:rPr>
                <w:sz w:val="11"/>
                <w:szCs w:val="11"/>
                <w:color w:val="auto"/>
              </w:rPr>
            </w:pPr>
          </w:p>
        </w:tc>
        <w:tc>
          <w:tcPr>
            <w:tcW w:w="920" w:type="dxa"/>
            <w:vAlign w:val="bottom"/>
            <w:gridSpan w:val="2"/>
            <w:shd w:val="clear" w:color="auto" w:fill="CCEEFF"/>
          </w:tcPr>
          <w:p>
            <w:pPr>
              <w:jc w:val="right"/>
              <w:ind w:right="80"/>
              <w:spacing w:after="0" w:line="130" w:lineRule="exact"/>
              <w:rPr>
                <w:sz w:val="20"/>
                <w:szCs w:val="20"/>
                <w:color w:val="auto"/>
              </w:rPr>
            </w:pPr>
            <w:r>
              <w:rPr>
                <w:rFonts w:ascii="Arial" w:cs="Arial" w:eastAsia="Arial" w:hAnsi="Arial"/>
                <w:sz w:val="14"/>
                <w:szCs w:val="14"/>
                <w:color w:val="auto"/>
              </w:rPr>
              <w:t>14,709,502</w:t>
            </w: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40" w:type="dxa"/>
            <w:vAlign w:val="bottom"/>
            <w:gridSpan w:val="2"/>
            <w:shd w:val="clear" w:color="auto" w:fill="CCEEFF"/>
          </w:tcPr>
          <w:p>
            <w:pPr>
              <w:jc w:val="right"/>
              <w:ind w:right="100"/>
              <w:spacing w:after="0" w:line="130" w:lineRule="exact"/>
              <w:rPr>
                <w:sz w:val="20"/>
                <w:szCs w:val="20"/>
                <w:color w:val="auto"/>
              </w:rPr>
            </w:pPr>
            <w:r>
              <w:rPr>
                <w:rFonts w:ascii="Arial" w:cs="Arial" w:eastAsia="Arial" w:hAnsi="Arial"/>
                <w:sz w:val="14"/>
                <w:szCs w:val="14"/>
                <w:color w:val="auto"/>
              </w:rPr>
              <w:t>16,449,489</w:t>
            </w:r>
          </w:p>
        </w:tc>
        <w:tc>
          <w:tcPr>
            <w:tcW w:w="0" w:type="dxa"/>
            <w:vAlign w:val="bottom"/>
          </w:tcPr>
          <w:p>
            <w:pPr>
              <w:spacing w:after="0"/>
              <w:rPr>
                <w:sz w:val="1"/>
                <w:szCs w:val="1"/>
                <w:color w:val="auto"/>
              </w:rPr>
            </w:pPr>
          </w:p>
        </w:tc>
      </w:tr>
      <w:tr>
        <w:trPr>
          <w:trHeight w:val="181"/>
        </w:trPr>
        <w:tc>
          <w:tcPr>
            <w:tcW w:w="426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c>
          <w:tcPr>
            <w:tcW w:w="104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(PIK 15.00%)</w:t>
            </w:r>
          </w:p>
        </w:tc>
        <w:tc>
          <w:tcPr>
            <w:tcW w:w="84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840" w:type="dxa"/>
            <w:vAlign w:val="bottom"/>
            <w:tcBorders>
              <w:bottom w:val="single" w:sz="8" w:color="auto"/>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840" w:type="dxa"/>
            <w:vAlign w:val="bottom"/>
            <w:tcBorders>
              <w:bottom w:val="single" w:sz="8" w:color="auto"/>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4260" w:type="dxa"/>
            <w:vAlign w:val="bottom"/>
          </w:tcPr>
          <w:p>
            <w:pPr>
              <w:spacing w:after="0" w:line="155" w:lineRule="exact"/>
              <w:rPr>
                <w:sz w:val="20"/>
                <w:szCs w:val="20"/>
                <w:color w:val="auto"/>
              </w:rPr>
            </w:pPr>
            <w:r>
              <w:rPr>
                <w:rFonts w:ascii="Arial" w:cs="Arial" w:eastAsia="Arial" w:hAnsi="Arial"/>
                <w:sz w:val="14"/>
                <w:szCs w:val="14"/>
                <w:b w:val="1"/>
                <w:bCs w:val="1"/>
                <w:color w:val="auto"/>
              </w:rPr>
              <w:t>Subordinated Debt/Corporate Notes—0.3%</w:t>
            </w:r>
          </w:p>
        </w:tc>
        <w:tc>
          <w:tcPr>
            <w:tcW w:w="74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42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SuttonPark Holdings, Inc.</w:t>
            </w:r>
          </w:p>
        </w:tc>
        <w:tc>
          <w:tcPr>
            <w:tcW w:w="74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3"/>
              </w:rPr>
              <w:t>6/30/2020</w:t>
            </w:r>
          </w:p>
        </w:tc>
        <w:tc>
          <w:tcPr>
            <w:tcW w:w="132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0"/>
              </w:rPr>
              <w:t>Business Services</w:t>
            </w:r>
          </w:p>
        </w:tc>
        <w:tc>
          <w:tcPr>
            <w:tcW w:w="10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 xml:space="preserve">14.00% </w:t>
            </w:r>
            <w:r>
              <w:rPr>
                <w:rFonts w:ascii="Arial" w:cs="Arial" w:eastAsia="Arial" w:hAnsi="Arial"/>
                <w:sz w:val="12"/>
                <w:szCs w:val="12"/>
                <w:color w:val="auto"/>
              </w:rPr>
              <w:t>(7)</w:t>
            </w:r>
          </w:p>
        </w:tc>
        <w:tc>
          <w:tcPr>
            <w:tcW w:w="84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2,250,000</w:t>
            </w:r>
          </w:p>
        </w:tc>
        <w:tc>
          <w:tcPr>
            <w:tcW w:w="8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2,250,000</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1,961,667</w:t>
            </w:r>
          </w:p>
        </w:tc>
        <w:tc>
          <w:tcPr>
            <w:tcW w:w="0" w:type="dxa"/>
            <w:vAlign w:val="bottom"/>
          </w:tcPr>
          <w:p>
            <w:pPr>
              <w:spacing w:after="0"/>
              <w:rPr>
                <w:sz w:val="1"/>
                <w:szCs w:val="1"/>
                <w:color w:val="auto"/>
              </w:rPr>
            </w:pPr>
          </w:p>
        </w:tc>
      </w:tr>
      <w:tr>
        <w:trPr>
          <w:trHeight w:val="155"/>
        </w:trPr>
        <w:tc>
          <w:tcPr>
            <w:tcW w:w="4260" w:type="dxa"/>
            <w:vAlign w:val="bottom"/>
          </w:tcPr>
          <w:p>
            <w:pPr>
              <w:spacing w:after="0" w:line="155" w:lineRule="exact"/>
              <w:rPr>
                <w:sz w:val="20"/>
                <w:szCs w:val="20"/>
                <w:color w:val="auto"/>
              </w:rPr>
            </w:pPr>
            <w:r>
              <w:rPr>
                <w:rFonts w:ascii="Arial" w:cs="Arial" w:eastAsia="Arial" w:hAnsi="Arial"/>
                <w:sz w:val="14"/>
                <w:szCs w:val="14"/>
                <w:b w:val="1"/>
                <w:bCs w:val="1"/>
                <w:color w:val="auto"/>
              </w:rPr>
              <w:t>Preferred Equity—0.4%</w:t>
            </w:r>
            <w:r>
              <w:rPr>
                <w:rFonts w:ascii="Arial" w:cs="Arial" w:eastAsia="Arial" w:hAnsi="Arial"/>
                <w:sz w:val="12"/>
                <w:szCs w:val="12"/>
                <w:b w:val="1"/>
                <w:bCs w:val="1"/>
                <w:color w:val="auto"/>
              </w:rPr>
              <w:t>(6)</w:t>
            </w:r>
          </w:p>
        </w:tc>
        <w:tc>
          <w:tcPr>
            <w:tcW w:w="74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84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84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42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SuttonPark Holdings, Inc.</w:t>
            </w:r>
          </w:p>
        </w:tc>
        <w:tc>
          <w:tcPr>
            <w:tcW w:w="740" w:type="dxa"/>
            <w:vAlign w:val="bottom"/>
            <w:shd w:val="clear" w:color="auto" w:fill="CCEEFF"/>
          </w:tcPr>
          <w:p>
            <w:pPr>
              <w:ind w:left="260"/>
              <w:spacing w:after="0" w:line="149" w:lineRule="exact"/>
              <w:rPr>
                <w:sz w:val="20"/>
                <w:szCs w:val="20"/>
                <w:color w:val="auto"/>
              </w:rPr>
            </w:pPr>
            <w:r>
              <w:rPr>
                <w:rFonts w:ascii="Arial" w:cs="Arial" w:eastAsia="Arial" w:hAnsi="Arial"/>
                <w:sz w:val="14"/>
                <w:szCs w:val="14"/>
                <w:color w:val="auto"/>
              </w:rPr>
              <w:t>—</w:t>
            </w:r>
          </w:p>
        </w:tc>
        <w:tc>
          <w:tcPr>
            <w:tcW w:w="132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0"/>
              </w:rPr>
              <w:t>Business Services</w:t>
            </w:r>
          </w:p>
        </w:tc>
        <w:tc>
          <w:tcPr>
            <w:tcW w:w="1040" w:type="dxa"/>
            <w:vAlign w:val="bottom"/>
            <w:shd w:val="clear" w:color="auto" w:fill="CCEEFF"/>
          </w:tcPr>
          <w:p>
            <w:pPr>
              <w:jc w:val="right"/>
              <w:ind w:right="148"/>
              <w:spacing w:after="0" w:line="149" w:lineRule="exact"/>
              <w:rPr>
                <w:sz w:val="20"/>
                <w:szCs w:val="20"/>
                <w:color w:val="auto"/>
              </w:rPr>
            </w:pPr>
            <w:r>
              <w:rPr>
                <w:rFonts w:ascii="Arial" w:cs="Arial" w:eastAsia="Arial" w:hAnsi="Arial"/>
                <w:sz w:val="14"/>
                <w:szCs w:val="14"/>
                <w:color w:val="auto"/>
              </w:rPr>
              <w:t>14.00%</w:t>
            </w:r>
          </w:p>
        </w:tc>
        <w:tc>
          <w:tcPr>
            <w:tcW w:w="840" w:type="dxa"/>
            <w:vAlign w:val="bottom"/>
            <w:shd w:val="clear" w:color="auto" w:fill="CCEEFF"/>
          </w:tcPr>
          <w:p>
            <w:pPr>
              <w:ind w:left="540"/>
              <w:spacing w:after="0" w:line="149" w:lineRule="exact"/>
              <w:rPr>
                <w:sz w:val="20"/>
                <w:szCs w:val="20"/>
                <w:color w:val="auto"/>
              </w:rPr>
            </w:pPr>
            <w:r>
              <w:rPr>
                <w:rFonts w:ascii="Arial" w:cs="Arial" w:eastAsia="Arial" w:hAnsi="Arial"/>
                <w:sz w:val="14"/>
                <w:szCs w:val="14"/>
                <w:color w:val="auto"/>
              </w:rPr>
              <w:t>—</w:t>
            </w:r>
          </w:p>
        </w:tc>
        <w:tc>
          <w:tcPr>
            <w:tcW w:w="9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2,000</w:t>
            </w:r>
          </w:p>
        </w:tc>
        <w:tc>
          <w:tcPr>
            <w:tcW w:w="8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2,000,000</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1,981,948</w:t>
            </w:r>
          </w:p>
        </w:tc>
        <w:tc>
          <w:tcPr>
            <w:tcW w:w="0" w:type="dxa"/>
            <w:vAlign w:val="bottom"/>
          </w:tcPr>
          <w:p>
            <w:pPr>
              <w:spacing w:after="0"/>
              <w:rPr>
                <w:sz w:val="1"/>
                <w:szCs w:val="1"/>
                <w:color w:val="auto"/>
              </w:rPr>
            </w:pPr>
          </w:p>
        </w:tc>
      </w:tr>
      <w:tr>
        <w:trPr>
          <w:trHeight w:val="130"/>
        </w:trPr>
        <w:tc>
          <w:tcPr>
            <w:tcW w:w="4260" w:type="dxa"/>
            <w:vAlign w:val="bottom"/>
          </w:tcPr>
          <w:p>
            <w:pPr>
              <w:spacing w:after="0" w:line="130" w:lineRule="exact"/>
              <w:rPr>
                <w:sz w:val="20"/>
                <w:szCs w:val="20"/>
                <w:color w:val="auto"/>
              </w:rPr>
            </w:pPr>
            <w:r>
              <w:rPr>
                <w:rFonts w:ascii="Arial" w:cs="Arial" w:eastAsia="Arial" w:hAnsi="Arial"/>
                <w:sz w:val="14"/>
                <w:szCs w:val="14"/>
                <w:color w:val="auto"/>
              </w:rPr>
              <w:t>Universal Pegasus International Holdings, Inc.</w:t>
            </w:r>
          </w:p>
        </w:tc>
        <w:tc>
          <w:tcPr>
            <w:tcW w:w="740" w:type="dxa"/>
            <w:vAlign w:val="bottom"/>
          </w:tcPr>
          <w:p>
            <w:pPr>
              <w:ind w:left="260"/>
              <w:spacing w:after="0" w:line="130" w:lineRule="exact"/>
              <w:rPr>
                <w:sz w:val="20"/>
                <w:szCs w:val="20"/>
                <w:color w:val="auto"/>
              </w:rPr>
            </w:pPr>
            <w:r>
              <w:rPr>
                <w:rFonts w:ascii="Arial" w:cs="Arial" w:eastAsia="Arial" w:hAnsi="Arial"/>
                <w:sz w:val="14"/>
                <w:szCs w:val="14"/>
                <w:color w:val="auto"/>
              </w:rPr>
              <w:t>—</w:t>
            </w:r>
          </w:p>
        </w:tc>
        <w:tc>
          <w:tcPr>
            <w:tcW w:w="1320" w:type="dxa"/>
            <w:vAlign w:val="bottom"/>
          </w:tcPr>
          <w:p>
            <w:pPr>
              <w:jc w:val="center"/>
              <w:spacing w:after="0" w:line="130" w:lineRule="exact"/>
              <w:rPr>
                <w:sz w:val="20"/>
                <w:szCs w:val="20"/>
                <w:color w:val="auto"/>
              </w:rPr>
            </w:pPr>
            <w:r>
              <w:rPr>
                <w:rFonts w:ascii="Arial" w:cs="Arial" w:eastAsia="Arial" w:hAnsi="Arial"/>
                <w:sz w:val="14"/>
                <w:szCs w:val="14"/>
                <w:color w:val="auto"/>
                <w:w w:val="91"/>
              </w:rPr>
              <w:t>Oil and Gas</w:t>
            </w:r>
          </w:p>
        </w:tc>
        <w:tc>
          <w:tcPr>
            <w:tcW w:w="1040" w:type="dxa"/>
            <w:vAlign w:val="bottom"/>
          </w:tcPr>
          <w:p>
            <w:pPr>
              <w:jc w:val="right"/>
              <w:ind w:right="148"/>
              <w:spacing w:after="0" w:line="130" w:lineRule="exact"/>
              <w:rPr>
                <w:sz w:val="20"/>
                <w:szCs w:val="20"/>
                <w:color w:val="auto"/>
              </w:rPr>
            </w:pPr>
            <w:r>
              <w:rPr>
                <w:rFonts w:ascii="Arial" w:cs="Arial" w:eastAsia="Arial" w:hAnsi="Arial"/>
                <w:sz w:val="14"/>
                <w:szCs w:val="14"/>
                <w:color w:val="auto"/>
              </w:rPr>
              <w:t>8.00%</w:t>
            </w:r>
          </w:p>
        </w:tc>
        <w:tc>
          <w:tcPr>
            <w:tcW w:w="840" w:type="dxa"/>
            <w:vAlign w:val="bottom"/>
          </w:tcPr>
          <w:p>
            <w:pPr>
              <w:ind w:left="540"/>
              <w:spacing w:after="0" w:line="130" w:lineRule="exact"/>
              <w:rPr>
                <w:sz w:val="20"/>
                <w:szCs w:val="20"/>
                <w:color w:val="auto"/>
              </w:rPr>
            </w:pPr>
            <w:r>
              <w:rPr>
                <w:rFonts w:ascii="Arial" w:cs="Arial" w:eastAsia="Arial" w:hAnsi="Arial"/>
                <w:sz w:val="14"/>
                <w:szCs w:val="14"/>
                <w:color w:val="auto"/>
              </w:rPr>
              <w:t>—</w:t>
            </w:r>
          </w:p>
        </w:tc>
        <w:tc>
          <w:tcPr>
            <w:tcW w:w="960" w:type="dxa"/>
            <w:vAlign w:val="bottom"/>
            <w:gridSpan w:val="2"/>
          </w:tcPr>
          <w:p>
            <w:pPr>
              <w:jc w:val="right"/>
              <w:ind w:right="220"/>
              <w:spacing w:after="0" w:line="130" w:lineRule="exact"/>
              <w:rPr>
                <w:sz w:val="20"/>
                <w:szCs w:val="20"/>
                <w:color w:val="auto"/>
              </w:rPr>
            </w:pPr>
            <w:r>
              <w:rPr>
                <w:rFonts w:ascii="Arial" w:cs="Arial" w:eastAsia="Arial" w:hAnsi="Arial"/>
                <w:sz w:val="14"/>
                <w:szCs w:val="14"/>
                <w:color w:val="auto"/>
              </w:rPr>
              <w:t>376,988</w:t>
            </w:r>
          </w:p>
        </w:tc>
        <w:tc>
          <w:tcPr>
            <w:tcW w:w="80" w:type="dxa"/>
            <w:vAlign w:val="bottom"/>
          </w:tcPr>
          <w:p>
            <w:pPr>
              <w:spacing w:after="0"/>
              <w:rPr>
                <w:sz w:val="11"/>
                <w:szCs w:val="11"/>
                <w:color w:val="auto"/>
              </w:rPr>
            </w:pPr>
          </w:p>
        </w:tc>
        <w:tc>
          <w:tcPr>
            <w:tcW w:w="920" w:type="dxa"/>
            <w:vAlign w:val="bottom"/>
            <w:gridSpan w:val="2"/>
          </w:tcPr>
          <w:p>
            <w:pPr>
              <w:jc w:val="right"/>
              <w:ind w:right="80"/>
              <w:spacing w:after="0" w:line="130" w:lineRule="exact"/>
              <w:rPr>
                <w:sz w:val="20"/>
                <w:szCs w:val="20"/>
                <w:color w:val="auto"/>
              </w:rPr>
            </w:pPr>
            <w:r>
              <w:rPr>
                <w:rFonts w:ascii="Arial" w:cs="Arial" w:eastAsia="Arial" w:hAnsi="Arial"/>
                <w:sz w:val="14"/>
                <w:szCs w:val="14"/>
                <w:color w:val="auto"/>
              </w:rPr>
              <w:t>34,420,612</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40" w:type="dxa"/>
            <w:vAlign w:val="bottom"/>
            <w:gridSpan w:val="2"/>
          </w:tcPr>
          <w:p>
            <w:pPr>
              <w:jc w:val="right"/>
              <w:ind w:right="100"/>
              <w:spacing w:after="0" w:line="130" w:lineRule="exact"/>
              <w:rPr>
                <w:sz w:val="20"/>
                <w:szCs w:val="20"/>
                <w:color w:val="auto"/>
              </w:rPr>
            </w:pPr>
            <w:r>
              <w:rPr>
                <w:rFonts w:ascii="Arial" w:cs="Arial" w:eastAsia="Arial" w:hAnsi="Arial"/>
                <w:sz w:val="14"/>
                <w:szCs w:val="14"/>
                <w:color w:val="auto"/>
              </w:rPr>
              <w:t>1,102,555</w:t>
            </w:r>
          </w:p>
        </w:tc>
        <w:tc>
          <w:tcPr>
            <w:tcW w:w="0" w:type="dxa"/>
            <w:vAlign w:val="bottom"/>
          </w:tcPr>
          <w:p>
            <w:pPr>
              <w:spacing w:after="0"/>
              <w:rPr>
                <w:sz w:val="1"/>
                <w:szCs w:val="1"/>
                <w:color w:val="auto"/>
              </w:rPr>
            </w:pPr>
          </w:p>
        </w:tc>
      </w:tr>
      <w:tr>
        <w:trPr>
          <w:trHeight w:val="174"/>
        </w:trPr>
        <w:tc>
          <w:tcPr>
            <w:tcW w:w="4260" w:type="dxa"/>
            <w:vAlign w:val="bottom"/>
          </w:tcPr>
          <w:p>
            <w:pPr>
              <w:ind w:left="160"/>
              <w:spacing w:after="0"/>
              <w:rPr>
                <w:sz w:val="20"/>
                <w:szCs w:val="20"/>
                <w:color w:val="auto"/>
              </w:rPr>
            </w:pPr>
            <w:r>
              <w:rPr>
                <w:rFonts w:ascii="Arial" w:cs="Arial" w:eastAsia="Arial" w:hAnsi="Arial"/>
                <w:sz w:val="14"/>
                <w:szCs w:val="14"/>
                <w:color w:val="auto"/>
              </w:rPr>
              <w:t>(Universal Pegasus International, LLC)</w:t>
            </w:r>
          </w:p>
        </w:tc>
        <w:tc>
          <w:tcPr>
            <w:tcW w:w="74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8"/>
        </w:trPr>
        <w:tc>
          <w:tcPr>
            <w:tcW w:w="426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Total Preferred Equity</w:t>
            </w:r>
          </w:p>
        </w:tc>
        <w:tc>
          <w:tcPr>
            <w:tcW w:w="740" w:type="dxa"/>
            <w:vAlign w:val="bottom"/>
            <w:shd w:val="clear" w:color="auto" w:fill="CCEEFF"/>
          </w:tcPr>
          <w:p>
            <w:pPr>
              <w:spacing w:after="0"/>
              <w:rPr>
                <w:sz w:val="12"/>
                <w:szCs w:val="12"/>
                <w:color w:val="auto"/>
              </w:rPr>
            </w:pPr>
          </w:p>
        </w:tc>
        <w:tc>
          <w:tcPr>
            <w:tcW w:w="132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36,420,612</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3,084,503</w:t>
            </w:r>
          </w:p>
        </w:tc>
        <w:tc>
          <w:tcPr>
            <w:tcW w:w="0" w:type="dxa"/>
            <w:vAlign w:val="bottom"/>
          </w:tcPr>
          <w:p>
            <w:pPr>
              <w:spacing w:after="0"/>
              <w:rPr>
                <w:sz w:val="1"/>
                <w:szCs w:val="1"/>
                <w:color w:val="auto"/>
              </w:rPr>
            </w:pPr>
          </w:p>
        </w:tc>
      </w:tr>
      <w:tr>
        <w:trPr>
          <w:trHeight w:val="155"/>
        </w:trPr>
        <w:tc>
          <w:tcPr>
            <w:tcW w:w="4260" w:type="dxa"/>
            <w:vAlign w:val="bottom"/>
          </w:tcPr>
          <w:p>
            <w:pPr>
              <w:spacing w:after="0" w:line="155" w:lineRule="exact"/>
              <w:rPr>
                <w:sz w:val="20"/>
                <w:szCs w:val="20"/>
                <w:color w:val="auto"/>
              </w:rPr>
            </w:pPr>
            <w:r>
              <w:rPr>
                <w:rFonts w:ascii="Arial" w:cs="Arial" w:eastAsia="Arial" w:hAnsi="Arial"/>
                <w:sz w:val="14"/>
                <w:szCs w:val="14"/>
                <w:b w:val="1"/>
                <w:bCs w:val="1"/>
                <w:color w:val="auto"/>
              </w:rPr>
              <w:t xml:space="preserve">Common Equity—0.0% </w:t>
            </w:r>
            <w:r>
              <w:rPr>
                <w:rFonts w:ascii="Arial" w:cs="Arial" w:eastAsia="Arial" w:hAnsi="Arial"/>
                <w:sz w:val="12"/>
                <w:szCs w:val="12"/>
                <w:b w:val="1"/>
                <w:bCs w:val="1"/>
                <w:color w:val="auto"/>
              </w:rPr>
              <w:t>(6)</w:t>
            </w:r>
          </w:p>
        </w:tc>
        <w:tc>
          <w:tcPr>
            <w:tcW w:w="74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84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84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42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SuttonPark Holdings, Inc.</w:t>
            </w:r>
          </w:p>
        </w:tc>
        <w:tc>
          <w:tcPr>
            <w:tcW w:w="740" w:type="dxa"/>
            <w:vAlign w:val="bottom"/>
            <w:shd w:val="clear" w:color="auto" w:fill="CCEEFF"/>
          </w:tcPr>
          <w:p>
            <w:pPr>
              <w:ind w:left="260"/>
              <w:spacing w:after="0" w:line="149" w:lineRule="exact"/>
              <w:rPr>
                <w:sz w:val="20"/>
                <w:szCs w:val="20"/>
                <w:color w:val="auto"/>
              </w:rPr>
            </w:pPr>
            <w:r>
              <w:rPr>
                <w:rFonts w:ascii="Arial" w:cs="Arial" w:eastAsia="Arial" w:hAnsi="Arial"/>
                <w:sz w:val="14"/>
                <w:szCs w:val="14"/>
                <w:color w:val="auto"/>
              </w:rPr>
              <w:t>—</w:t>
            </w:r>
          </w:p>
        </w:tc>
        <w:tc>
          <w:tcPr>
            <w:tcW w:w="132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0"/>
              </w:rPr>
              <w:t>Business Services</w:t>
            </w:r>
          </w:p>
        </w:tc>
        <w:tc>
          <w:tcPr>
            <w:tcW w:w="1040" w:type="dxa"/>
            <w:vAlign w:val="bottom"/>
            <w:shd w:val="clear" w:color="auto" w:fill="CCEEFF"/>
          </w:tcPr>
          <w:p>
            <w:pPr>
              <w:jc w:val="right"/>
              <w:ind w:right="348"/>
              <w:spacing w:after="0" w:line="149" w:lineRule="exact"/>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ind w:left="540"/>
              <w:spacing w:after="0" w:line="149" w:lineRule="exact"/>
              <w:rPr>
                <w:sz w:val="20"/>
                <w:szCs w:val="20"/>
                <w:color w:val="auto"/>
              </w:rPr>
            </w:pPr>
            <w:r>
              <w:rPr>
                <w:rFonts w:ascii="Arial" w:cs="Arial" w:eastAsia="Arial" w:hAnsi="Arial"/>
                <w:sz w:val="14"/>
                <w:szCs w:val="14"/>
                <w:color w:val="auto"/>
              </w:rPr>
              <w:t>—</w:t>
            </w:r>
          </w:p>
        </w:tc>
        <w:tc>
          <w:tcPr>
            <w:tcW w:w="9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100</w:t>
            </w:r>
          </w:p>
        </w:tc>
        <w:tc>
          <w:tcPr>
            <w:tcW w:w="8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100</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3"/>
        </w:trPr>
        <w:tc>
          <w:tcPr>
            <w:tcW w:w="4260" w:type="dxa"/>
            <w:vAlign w:val="bottom"/>
          </w:tcPr>
          <w:p>
            <w:pPr>
              <w:spacing w:after="0" w:line="155" w:lineRule="exact"/>
              <w:rPr>
                <w:sz w:val="20"/>
                <w:szCs w:val="20"/>
                <w:color w:val="auto"/>
              </w:rPr>
            </w:pPr>
            <w:r>
              <w:rPr>
                <w:rFonts w:ascii="Arial" w:cs="Arial" w:eastAsia="Arial" w:hAnsi="Arial"/>
                <w:sz w:val="14"/>
                <w:szCs w:val="14"/>
                <w:b w:val="1"/>
                <w:bCs w:val="1"/>
                <w:color w:val="auto"/>
              </w:rPr>
              <w:t>Total Investments in Controlled, Affiliated Portfolio Companies</w:t>
            </w:r>
          </w:p>
        </w:tc>
        <w:tc>
          <w:tcPr>
            <w:tcW w:w="7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Borders>
              <w:top w:val="single" w:sz="8" w:color="auto"/>
              <w:bottom w:val="single" w:sz="8" w:color="auto"/>
            </w:tcBorders>
          </w:tcPr>
          <w:p>
            <w:pPr>
              <w:spacing w:after="0"/>
              <w:rPr>
                <w:sz w:val="14"/>
                <w:szCs w:val="14"/>
                <w:color w:val="auto"/>
              </w:rPr>
            </w:pPr>
          </w:p>
        </w:tc>
        <w:tc>
          <w:tcPr>
            <w:tcW w:w="8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64,418,155</w:t>
            </w: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Borders>
              <w:top w:val="single" w:sz="8" w:color="auto"/>
              <w:bottom w:val="single" w:sz="8" w:color="auto"/>
            </w:tcBorders>
          </w:tcPr>
          <w:p>
            <w:pPr>
              <w:spacing w:after="0"/>
              <w:rPr>
                <w:sz w:val="14"/>
                <w:szCs w:val="14"/>
                <w:color w:val="auto"/>
              </w:rPr>
            </w:pPr>
          </w:p>
        </w:tc>
        <w:tc>
          <w:tcPr>
            <w:tcW w:w="8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32,968,711</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426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Total Investments—154.6%</w:t>
            </w:r>
          </w:p>
        </w:tc>
        <w:tc>
          <w:tcPr>
            <w:tcW w:w="740" w:type="dxa"/>
            <w:vAlign w:val="bottom"/>
            <w:shd w:val="clear" w:color="auto" w:fill="CCEEFF"/>
          </w:tcPr>
          <w:p>
            <w:pPr>
              <w:spacing w:after="0"/>
              <w:rPr>
                <w:sz w:val="12"/>
                <w:szCs w:val="12"/>
                <w:color w:val="auto"/>
              </w:rPr>
            </w:pPr>
          </w:p>
        </w:tc>
        <w:tc>
          <w:tcPr>
            <w:tcW w:w="132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w w:val="91"/>
              </w:rPr>
              <w:t>1,091,517,885</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w w:val="91"/>
              </w:rPr>
              <w:t>1,078,175,553</w:t>
            </w:r>
          </w:p>
        </w:tc>
        <w:tc>
          <w:tcPr>
            <w:tcW w:w="0" w:type="dxa"/>
            <w:vAlign w:val="bottom"/>
          </w:tcPr>
          <w:p>
            <w:pPr>
              <w:spacing w:after="0"/>
              <w:rPr>
                <w:sz w:val="1"/>
                <w:szCs w:val="1"/>
                <w:color w:val="auto"/>
              </w:rPr>
            </w:pPr>
          </w:p>
        </w:tc>
      </w:tr>
      <w:tr>
        <w:trPr>
          <w:trHeight w:val="155"/>
        </w:trPr>
        <w:tc>
          <w:tcPr>
            <w:tcW w:w="4260" w:type="dxa"/>
            <w:vAlign w:val="bottom"/>
          </w:tcPr>
          <w:p>
            <w:pPr>
              <w:spacing w:after="0" w:line="155" w:lineRule="exact"/>
              <w:rPr>
                <w:sz w:val="20"/>
                <w:szCs w:val="20"/>
                <w:color w:val="auto"/>
              </w:rPr>
            </w:pPr>
            <w:r>
              <w:rPr>
                <w:rFonts w:ascii="Arial" w:cs="Arial" w:eastAsia="Arial" w:hAnsi="Arial"/>
                <w:sz w:val="14"/>
                <w:szCs w:val="14"/>
                <w:b w:val="1"/>
                <w:bCs w:val="1"/>
                <w:color w:val="auto"/>
              </w:rPr>
              <w:t>Cash and Cash Equivalents—8.4%</w:t>
            </w:r>
          </w:p>
        </w:tc>
        <w:tc>
          <w:tcPr>
            <w:tcW w:w="74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84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84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42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Cash</w:t>
            </w:r>
          </w:p>
        </w:tc>
        <w:tc>
          <w:tcPr>
            <w:tcW w:w="740" w:type="dxa"/>
            <w:vAlign w:val="bottom"/>
            <w:shd w:val="clear" w:color="auto" w:fill="CCEEFF"/>
          </w:tcPr>
          <w:p>
            <w:pPr>
              <w:spacing w:after="0"/>
              <w:rPr>
                <w:sz w:val="12"/>
                <w:szCs w:val="12"/>
                <w:color w:val="auto"/>
              </w:rPr>
            </w:pPr>
          </w:p>
        </w:tc>
        <w:tc>
          <w:tcPr>
            <w:tcW w:w="132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2,667,511</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8"/>
        </w:trPr>
        <w:tc>
          <w:tcPr>
            <w:tcW w:w="4260" w:type="dxa"/>
            <w:vAlign w:val="bottom"/>
          </w:tcPr>
          <w:p>
            <w:pPr>
              <w:spacing w:after="0" w:line="149" w:lineRule="exact"/>
              <w:rPr>
                <w:sz w:val="20"/>
                <w:szCs w:val="20"/>
                <w:color w:val="auto"/>
              </w:rPr>
            </w:pPr>
            <w:r>
              <w:rPr>
                <w:rFonts w:ascii="Arial" w:cs="Arial" w:eastAsia="Arial" w:hAnsi="Arial"/>
                <w:sz w:val="14"/>
                <w:szCs w:val="14"/>
                <w:color w:val="auto"/>
              </w:rPr>
              <w:t>BlackRock Liquidity Funds, Temp Cash, Institutional Shares</w:t>
            </w:r>
          </w:p>
        </w:tc>
        <w:tc>
          <w:tcPr>
            <w:tcW w:w="74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2,446,232</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5,113,743</w:t>
            </w:r>
          </w:p>
        </w:tc>
        <w:tc>
          <w:tcPr>
            <w:tcW w:w="0" w:type="dxa"/>
            <w:vAlign w:val="bottom"/>
          </w:tcPr>
          <w:p>
            <w:pPr>
              <w:spacing w:after="0"/>
              <w:rPr>
                <w:sz w:val="1"/>
                <w:szCs w:val="1"/>
                <w:color w:val="auto"/>
              </w:rPr>
            </w:pPr>
          </w:p>
        </w:tc>
      </w:tr>
      <w:tr>
        <w:trPr>
          <w:trHeight w:val="148"/>
        </w:trPr>
        <w:tc>
          <w:tcPr>
            <w:tcW w:w="42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BNY Mellon Cash Reserve</w:t>
            </w:r>
          </w:p>
        </w:tc>
        <w:tc>
          <w:tcPr>
            <w:tcW w:w="740" w:type="dxa"/>
            <w:vAlign w:val="bottom"/>
            <w:shd w:val="clear" w:color="auto" w:fill="CCEEFF"/>
          </w:tcPr>
          <w:p>
            <w:pPr>
              <w:spacing w:after="0"/>
              <w:rPr>
                <w:sz w:val="12"/>
                <w:szCs w:val="12"/>
                <w:color w:val="auto"/>
              </w:rPr>
            </w:pPr>
          </w:p>
        </w:tc>
        <w:tc>
          <w:tcPr>
            <w:tcW w:w="132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53,327,086</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53,327,086</w:t>
            </w:r>
          </w:p>
        </w:tc>
        <w:tc>
          <w:tcPr>
            <w:tcW w:w="0" w:type="dxa"/>
            <w:vAlign w:val="bottom"/>
          </w:tcPr>
          <w:p>
            <w:pPr>
              <w:spacing w:after="0"/>
              <w:rPr>
                <w:sz w:val="1"/>
                <w:szCs w:val="1"/>
                <w:color w:val="auto"/>
              </w:rPr>
            </w:pPr>
          </w:p>
        </w:tc>
      </w:tr>
      <w:tr>
        <w:trPr>
          <w:trHeight w:val="163"/>
        </w:trPr>
        <w:tc>
          <w:tcPr>
            <w:tcW w:w="4260" w:type="dxa"/>
            <w:vAlign w:val="bottom"/>
          </w:tcPr>
          <w:p>
            <w:pPr>
              <w:spacing w:after="0" w:line="155" w:lineRule="exact"/>
              <w:rPr>
                <w:sz w:val="20"/>
                <w:szCs w:val="20"/>
                <w:color w:val="auto"/>
              </w:rPr>
            </w:pPr>
            <w:r>
              <w:rPr>
                <w:rFonts w:ascii="Arial" w:cs="Arial" w:eastAsia="Arial" w:hAnsi="Arial"/>
                <w:sz w:val="14"/>
                <w:szCs w:val="14"/>
                <w:b w:val="1"/>
                <w:bCs w:val="1"/>
                <w:color w:val="auto"/>
              </w:rPr>
              <w:t>Total Cash Equivalents</w:t>
            </w:r>
          </w:p>
        </w:tc>
        <w:tc>
          <w:tcPr>
            <w:tcW w:w="7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Borders>
              <w:top w:val="single" w:sz="8" w:color="auto"/>
              <w:bottom w:val="single" w:sz="8" w:color="auto"/>
            </w:tcBorders>
          </w:tcPr>
          <w:p>
            <w:pPr>
              <w:spacing w:after="0"/>
              <w:rPr>
                <w:sz w:val="14"/>
                <w:szCs w:val="14"/>
                <w:color w:val="auto"/>
              </w:rPr>
            </w:pPr>
          </w:p>
        </w:tc>
        <w:tc>
          <w:tcPr>
            <w:tcW w:w="8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58,440,829</w:t>
            </w: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Borders>
              <w:top w:val="single" w:sz="8" w:color="auto"/>
              <w:bottom w:val="single" w:sz="8" w:color="auto"/>
            </w:tcBorders>
          </w:tcPr>
          <w:p>
            <w:pPr>
              <w:spacing w:after="0"/>
              <w:rPr>
                <w:sz w:val="14"/>
                <w:szCs w:val="14"/>
                <w:color w:val="auto"/>
              </w:rPr>
            </w:pPr>
          </w:p>
        </w:tc>
        <w:tc>
          <w:tcPr>
            <w:tcW w:w="8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58,440,829</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26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Total Investments and Cash Equivalents—163.0%</w:t>
            </w:r>
          </w:p>
        </w:tc>
        <w:tc>
          <w:tcPr>
            <w:tcW w:w="740" w:type="dxa"/>
            <w:vAlign w:val="bottom"/>
            <w:shd w:val="clear" w:color="auto" w:fill="CCEEFF"/>
          </w:tcPr>
          <w:p>
            <w:pPr>
              <w:spacing w:after="0"/>
              <w:rPr>
                <w:sz w:val="12"/>
                <w:szCs w:val="12"/>
                <w:color w:val="auto"/>
              </w:rPr>
            </w:pPr>
          </w:p>
        </w:tc>
        <w:tc>
          <w:tcPr>
            <w:tcW w:w="132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9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w w:val="91"/>
              </w:rPr>
              <w:t>1,149,958,714</w:t>
            </w:r>
          </w:p>
        </w:tc>
        <w:tc>
          <w:tcPr>
            <w:tcW w:w="1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9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w w:val="91"/>
              </w:rPr>
              <w:t>1,136,616,382</w:t>
            </w:r>
          </w:p>
        </w:tc>
        <w:tc>
          <w:tcPr>
            <w:tcW w:w="0" w:type="dxa"/>
            <w:vAlign w:val="bottom"/>
          </w:tcPr>
          <w:p>
            <w:pPr>
              <w:spacing w:after="0"/>
              <w:rPr>
                <w:sz w:val="1"/>
                <w:szCs w:val="1"/>
                <w:color w:val="auto"/>
              </w:rPr>
            </w:pPr>
          </w:p>
        </w:tc>
      </w:tr>
      <w:tr>
        <w:trPr>
          <w:trHeight w:val="20"/>
        </w:trPr>
        <w:tc>
          <w:tcPr>
            <w:tcW w:w="4260" w:type="dxa"/>
            <w:vAlign w:val="bottom"/>
            <w:vMerge w:val="restart"/>
          </w:tcPr>
          <w:p>
            <w:pPr>
              <w:spacing w:after="0"/>
              <w:rPr>
                <w:sz w:val="20"/>
                <w:szCs w:val="20"/>
                <w:color w:val="auto"/>
              </w:rPr>
            </w:pPr>
            <w:r>
              <w:rPr>
                <w:rFonts w:ascii="Arial" w:cs="Arial" w:eastAsia="Arial" w:hAnsi="Arial"/>
                <w:sz w:val="14"/>
                <w:szCs w:val="14"/>
                <w:b w:val="1"/>
                <w:bCs w:val="1"/>
                <w:color w:val="auto"/>
              </w:rPr>
              <w:t>Liabilities in Excess of Other Assets—(63.0%)</w:t>
            </w:r>
          </w:p>
        </w:tc>
        <w:tc>
          <w:tcPr>
            <w:tcW w:w="7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84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4260" w:type="dxa"/>
            <w:vAlign w:val="bottom"/>
            <w:vMerge w:val="continue"/>
          </w:tcPr>
          <w:p>
            <w:pPr>
              <w:spacing w:after="0"/>
              <w:rPr>
                <w:sz w:val="12"/>
                <w:szCs w:val="12"/>
                <w:color w:val="auto"/>
              </w:rPr>
            </w:pPr>
          </w:p>
        </w:tc>
        <w:tc>
          <w:tcPr>
            <w:tcW w:w="74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jc w:val="right"/>
              <w:spacing w:after="0" w:line="143" w:lineRule="exact"/>
              <w:rPr>
                <w:sz w:val="20"/>
                <w:szCs w:val="20"/>
                <w:color w:val="auto"/>
              </w:rPr>
            </w:pPr>
            <w:r>
              <w:rPr>
                <w:rFonts w:ascii="Arial" w:cs="Arial" w:eastAsia="Arial" w:hAnsi="Arial"/>
                <w:sz w:val="14"/>
                <w:szCs w:val="14"/>
                <w:color w:val="auto"/>
                <w:w w:val="94"/>
              </w:rPr>
              <w:t>(439,110,183)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26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Net Assets—100.0%</w:t>
            </w:r>
          </w:p>
        </w:tc>
        <w:tc>
          <w:tcPr>
            <w:tcW w:w="740" w:type="dxa"/>
            <w:vAlign w:val="bottom"/>
            <w:shd w:val="clear" w:color="auto" w:fill="CCEEFF"/>
          </w:tcPr>
          <w:p>
            <w:pPr>
              <w:spacing w:after="0"/>
              <w:rPr>
                <w:sz w:val="12"/>
                <w:szCs w:val="12"/>
                <w:color w:val="auto"/>
              </w:rPr>
            </w:pPr>
          </w:p>
        </w:tc>
        <w:tc>
          <w:tcPr>
            <w:tcW w:w="132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9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697,506,199</w:t>
            </w:r>
          </w:p>
        </w:tc>
        <w:tc>
          <w:tcPr>
            <w:tcW w:w="0" w:type="dxa"/>
            <w:vAlign w:val="bottom"/>
          </w:tcPr>
          <w:p>
            <w:pPr>
              <w:spacing w:after="0"/>
              <w:rPr>
                <w:sz w:val="1"/>
                <w:szCs w:val="1"/>
                <w:color w:val="auto"/>
              </w:rPr>
            </w:pPr>
          </w:p>
        </w:tc>
      </w:tr>
      <w:tr>
        <w:trPr>
          <w:trHeight w:val="20"/>
        </w:trPr>
        <w:tc>
          <w:tcPr>
            <w:tcW w:w="42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240"/>
          </w:cols>
          <w:pgMar w:left="320" w:top="459" w:right="3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left="520" w:right="2540"/>
        <w:spacing w:after="0" w:line="266" w:lineRule="auto"/>
        <w:rPr>
          <w:sz w:val="20"/>
          <w:szCs w:val="20"/>
          <w:color w:val="auto"/>
        </w:rPr>
      </w:pPr>
      <w:r>
        <w:rPr>
          <w:rFonts w:ascii="Arial" w:cs="Arial" w:eastAsia="Arial" w:hAnsi="Arial"/>
          <w:sz w:val="18"/>
          <w:szCs w:val="18"/>
          <w:b w:val="1"/>
          <w:bCs w:val="1"/>
          <w:color w:val="auto"/>
        </w:rPr>
        <w:t>PENNANTPARK INVESTMENT CORPORATION AND SUBSIDIARIES CONSOLIDATED SCHEDULE OF INVESTMENTS—(Continued) SEPTEMBER 30, 2013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166370</wp:posOffset>
            </wp:positionV>
            <wp:extent cx="71120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1200" cy="8255"/>
                    </a:xfrm>
                    <a:prstGeom prst="rect">
                      <a:avLst/>
                    </a:prstGeom>
                    <a:noFill/>
                  </pic:spPr>
                </pic:pic>
              </a:graphicData>
            </a:graphic>
          </wp:anchor>
        </w:drawing>
      </w:r>
    </w:p>
    <w:p>
      <w:pPr>
        <w:spacing w:after="0" w:line="281" w:lineRule="exact"/>
        <w:rPr>
          <w:sz w:val="20"/>
          <w:szCs w:val="20"/>
          <w:color w:val="auto"/>
        </w:rPr>
      </w:pPr>
    </w:p>
    <w:p>
      <w:pPr>
        <w:ind w:left="340" w:right="20" w:hanging="269"/>
        <w:spacing w:after="0" w:line="224" w:lineRule="auto"/>
        <w:tabs>
          <w:tab w:leader="none" w:pos="340" w:val="left"/>
        </w:tabs>
        <w:numPr>
          <w:ilvl w:val="0"/>
          <w:numId w:val="4"/>
        </w:numPr>
        <w:rPr>
          <w:rFonts w:ascii="Arial" w:cs="Arial" w:eastAsia="Arial" w:hAnsi="Arial"/>
          <w:sz w:val="13"/>
          <w:szCs w:val="13"/>
          <w:color w:val="auto"/>
        </w:rPr>
      </w:pPr>
      <w:r>
        <w:rPr>
          <w:rFonts w:ascii="Arial" w:cs="Arial" w:eastAsia="Arial" w:hAnsi="Arial"/>
          <w:sz w:val="13"/>
          <w:szCs w:val="13"/>
          <w:color w:val="auto"/>
        </w:rPr>
        <w:t>The provisions of the 1940 Act classify investments based on the level of control that we maintain in a particular portfolio company. As defined in the 1940 Act, a company is deemed as “non-controlled” when we own less than 25% of a portfolio company’s voting securities and “controlled” when we own 25% or more of a portfolio company’s voting securities.</w:t>
      </w:r>
    </w:p>
    <w:p>
      <w:pPr>
        <w:ind w:left="340" w:hanging="269"/>
        <w:spacing w:after="0" w:line="234" w:lineRule="auto"/>
        <w:tabs>
          <w:tab w:leader="none" w:pos="340" w:val="left"/>
        </w:tabs>
        <w:numPr>
          <w:ilvl w:val="0"/>
          <w:numId w:val="4"/>
        </w:numPr>
        <w:rPr>
          <w:rFonts w:ascii="Arial" w:cs="Arial" w:eastAsia="Arial" w:hAnsi="Arial"/>
          <w:sz w:val="12"/>
          <w:szCs w:val="12"/>
          <w:color w:val="auto"/>
        </w:rPr>
      </w:pPr>
      <w:r>
        <w:rPr>
          <w:rFonts w:ascii="Arial" w:cs="Arial" w:eastAsia="Arial" w:hAnsi="Arial"/>
          <w:sz w:val="12"/>
          <w:szCs w:val="12"/>
          <w:color w:val="auto"/>
        </w:rPr>
        <w:t>The provisions of the 1940 Act classify investments further based on the level of ownership that we maintain in a particular portfolio company. As defined in the 1940 Act, a company is deemed as “non-affiliated” when we own less than 5% of a portfolio company’s voting securities and “affiliated” when we own 5% or more of a portfolio company’s voting securities (see Note 6).</w:t>
      </w:r>
    </w:p>
    <w:p>
      <w:pPr>
        <w:ind w:left="340" w:hanging="269"/>
        <w:spacing w:after="0" w:line="216" w:lineRule="auto"/>
        <w:tabs>
          <w:tab w:leader="none" w:pos="340" w:val="left"/>
        </w:tabs>
        <w:numPr>
          <w:ilvl w:val="0"/>
          <w:numId w:val="4"/>
        </w:numPr>
        <w:rPr>
          <w:rFonts w:ascii="Arial" w:cs="Arial" w:eastAsia="Arial" w:hAnsi="Arial"/>
          <w:sz w:val="13"/>
          <w:szCs w:val="13"/>
          <w:color w:val="auto"/>
        </w:rPr>
      </w:pPr>
      <w:r>
        <w:rPr>
          <w:rFonts w:ascii="Arial" w:cs="Arial" w:eastAsia="Arial" w:hAnsi="Arial"/>
          <w:sz w:val="13"/>
          <w:szCs w:val="13"/>
          <w:color w:val="auto"/>
        </w:rPr>
        <w:t>Valued based on our accounting policy (see Note 2).</w:t>
      </w:r>
    </w:p>
    <w:p>
      <w:pPr>
        <w:ind w:left="340" w:hanging="269"/>
        <w:spacing w:after="0" w:line="216" w:lineRule="auto"/>
        <w:tabs>
          <w:tab w:leader="none" w:pos="340" w:val="left"/>
        </w:tabs>
        <w:numPr>
          <w:ilvl w:val="0"/>
          <w:numId w:val="4"/>
        </w:numPr>
        <w:rPr>
          <w:rFonts w:ascii="Arial" w:cs="Arial" w:eastAsia="Arial" w:hAnsi="Arial"/>
          <w:sz w:val="13"/>
          <w:szCs w:val="13"/>
          <w:color w:val="auto"/>
        </w:rPr>
      </w:pPr>
      <w:r>
        <w:rPr>
          <w:rFonts w:ascii="Arial" w:cs="Arial" w:eastAsia="Arial" w:hAnsi="Arial"/>
          <w:sz w:val="13"/>
          <w:szCs w:val="13"/>
          <w:color w:val="auto"/>
        </w:rPr>
        <w:t>Represents floating rate instruments that accrue interest at a predetermined spread relative to an index, typically the applicable LIBOR, or “L” or Prime, or “P” rate.</w:t>
      </w:r>
    </w:p>
    <w:p>
      <w:pPr>
        <w:ind w:left="340" w:hanging="269"/>
        <w:spacing w:after="0"/>
        <w:tabs>
          <w:tab w:leader="none" w:pos="340" w:val="left"/>
        </w:tabs>
        <w:numPr>
          <w:ilvl w:val="0"/>
          <w:numId w:val="4"/>
        </w:numPr>
        <w:rPr>
          <w:rFonts w:ascii="Arial" w:cs="Arial" w:eastAsia="Arial" w:hAnsi="Arial"/>
          <w:sz w:val="10"/>
          <w:szCs w:val="10"/>
          <w:color w:val="auto"/>
        </w:rPr>
      </w:pPr>
      <w:r>
        <w:rPr>
          <w:rFonts w:ascii="Arial" w:cs="Arial" w:eastAsia="Arial" w:hAnsi="Arial"/>
          <w:sz w:val="10"/>
          <w:szCs w:val="10"/>
          <w:color w:val="auto"/>
        </w:rPr>
        <w:t>Security is exempt from registration under Rule 144A promulgated under the Securities Act. The security may be resold in transactions that are exempt from registration, normally to qualified institutional buyers.</w:t>
      </w:r>
    </w:p>
    <w:p>
      <w:pPr>
        <w:spacing w:after="0" w:line="20" w:lineRule="exact"/>
        <w:rPr>
          <w:rFonts w:ascii="Arial" w:cs="Arial" w:eastAsia="Arial" w:hAnsi="Arial"/>
          <w:sz w:val="10"/>
          <w:szCs w:val="10"/>
          <w:color w:val="auto"/>
        </w:rPr>
      </w:pPr>
    </w:p>
    <w:p>
      <w:pPr>
        <w:ind w:left="340" w:hanging="269"/>
        <w:spacing w:after="0" w:line="216" w:lineRule="auto"/>
        <w:tabs>
          <w:tab w:leader="none" w:pos="340" w:val="left"/>
        </w:tabs>
        <w:numPr>
          <w:ilvl w:val="0"/>
          <w:numId w:val="4"/>
        </w:numPr>
        <w:rPr>
          <w:rFonts w:ascii="Arial" w:cs="Arial" w:eastAsia="Arial" w:hAnsi="Arial"/>
          <w:sz w:val="13"/>
          <w:szCs w:val="13"/>
          <w:color w:val="auto"/>
        </w:rPr>
      </w:pPr>
      <w:r>
        <w:rPr>
          <w:rFonts w:ascii="Arial" w:cs="Arial" w:eastAsia="Arial" w:hAnsi="Arial"/>
          <w:sz w:val="13"/>
          <w:szCs w:val="13"/>
          <w:color w:val="auto"/>
        </w:rPr>
        <w:t>Non-income producing securities.</w:t>
      </w:r>
    </w:p>
    <w:p>
      <w:pPr>
        <w:ind w:left="340" w:hanging="269"/>
        <w:spacing w:after="0" w:line="216" w:lineRule="auto"/>
        <w:tabs>
          <w:tab w:leader="none" w:pos="340" w:val="left"/>
        </w:tabs>
        <w:numPr>
          <w:ilvl w:val="0"/>
          <w:numId w:val="4"/>
        </w:numPr>
        <w:rPr>
          <w:rFonts w:ascii="Arial" w:cs="Arial" w:eastAsia="Arial" w:hAnsi="Arial"/>
          <w:sz w:val="13"/>
          <w:szCs w:val="13"/>
          <w:color w:val="auto"/>
        </w:rPr>
      </w:pPr>
      <w:r>
        <w:rPr>
          <w:rFonts w:ascii="Arial" w:cs="Arial" w:eastAsia="Arial" w:hAnsi="Arial"/>
          <w:sz w:val="13"/>
          <w:szCs w:val="13"/>
          <w:color w:val="auto"/>
        </w:rPr>
        <w:t>Coupon is payable in cash and/or PIK.</w:t>
      </w:r>
    </w:p>
    <w:p>
      <w:pPr>
        <w:ind w:left="340" w:hanging="269"/>
        <w:spacing w:after="0" w:line="216" w:lineRule="auto"/>
        <w:tabs>
          <w:tab w:leader="none" w:pos="340" w:val="left"/>
        </w:tabs>
        <w:numPr>
          <w:ilvl w:val="0"/>
          <w:numId w:val="4"/>
        </w:numPr>
        <w:rPr>
          <w:rFonts w:ascii="Arial" w:cs="Arial" w:eastAsia="Arial" w:hAnsi="Arial"/>
          <w:sz w:val="13"/>
          <w:szCs w:val="13"/>
          <w:color w:val="auto"/>
        </w:rPr>
      </w:pPr>
      <w:r>
        <w:rPr>
          <w:rFonts w:ascii="Arial" w:cs="Arial" w:eastAsia="Arial" w:hAnsi="Arial"/>
          <w:sz w:val="13"/>
          <w:szCs w:val="13"/>
          <w:color w:val="auto"/>
        </w:rPr>
        <w:t>Coupon is subject to a LIBOR or Prime rate floor.</w:t>
      </w:r>
    </w:p>
    <w:p>
      <w:pPr>
        <w:ind w:left="340" w:hanging="269"/>
        <w:spacing w:after="0" w:line="216" w:lineRule="auto"/>
        <w:tabs>
          <w:tab w:leader="none" w:pos="340" w:val="left"/>
        </w:tabs>
        <w:numPr>
          <w:ilvl w:val="0"/>
          <w:numId w:val="4"/>
        </w:numPr>
        <w:rPr>
          <w:rFonts w:ascii="Arial" w:cs="Arial" w:eastAsia="Arial" w:hAnsi="Arial"/>
          <w:sz w:val="13"/>
          <w:szCs w:val="13"/>
          <w:color w:val="auto"/>
        </w:rPr>
      </w:pPr>
      <w:r>
        <w:rPr>
          <w:rFonts w:ascii="Arial" w:cs="Arial" w:eastAsia="Arial" w:hAnsi="Arial"/>
          <w:sz w:val="13"/>
          <w:szCs w:val="13"/>
          <w:color w:val="auto"/>
        </w:rPr>
        <w:t>Represents the purchase of a security with delayed settlement (unfunded investments). This security does not have a basis point spread above an index.</w:t>
      </w:r>
    </w:p>
    <w:p>
      <w:pPr>
        <w:ind w:left="340" w:hanging="332"/>
        <w:spacing w:after="0" w:line="216" w:lineRule="auto"/>
        <w:tabs>
          <w:tab w:leader="none" w:pos="340" w:val="left"/>
        </w:tabs>
        <w:numPr>
          <w:ilvl w:val="0"/>
          <w:numId w:val="4"/>
        </w:numPr>
        <w:rPr>
          <w:rFonts w:ascii="Arial" w:cs="Arial" w:eastAsia="Arial" w:hAnsi="Arial"/>
          <w:sz w:val="13"/>
          <w:szCs w:val="13"/>
          <w:color w:val="auto"/>
        </w:rPr>
      </w:pPr>
      <w:r>
        <w:rPr>
          <w:rFonts w:ascii="Arial" w:cs="Arial" w:eastAsia="Arial" w:hAnsi="Arial"/>
          <w:sz w:val="13"/>
          <w:szCs w:val="13"/>
          <w:color w:val="auto"/>
        </w:rPr>
        <w:t>Non-U.S. company or principal place of business outside the U.S.</w:t>
      </w:r>
    </w:p>
    <w:p>
      <w:pPr>
        <w:ind w:left="340" w:hanging="332"/>
        <w:spacing w:after="0" w:line="216" w:lineRule="auto"/>
        <w:tabs>
          <w:tab w:leader="none" w:pos="340" w:val="left"/>
        </w:tabs>
        <w:numPr>
          <w:ilvl w:val="0"/>
          <w:numId w:val="4"/>
        </w:numPr>
        <w:rPr>
          <w:rFonts w:ascii="Arial" w:cs="Arial" w:eastAsia="Arial" w:hAnsi="Arial"/>
          <w:sz w:val="13"/>
          <w:szCs w:val="13"/>
          <w:color w:val="auto"/>
        </w:rPr>
      </w:pPr>
      <w:r>
        <w:rPr>
          <w:rFonts w:ascii="Arial" w:cs="Arial" w:eastAsia="Arial" w:hAnsi="Arial"/>
          <w:sz w:val="13"/>
          <w:szCs w:val="13"/>
          <w:color w:val="auto"/>
        </w:rPr>
        <w:t>Investment is held through PNNT CI (Galls) Prime Investment Holdings, LLC, a consolidated subsidiary.</w:t>
      </w:r>
    </w:p>
    <w:p>
      <w:pPr>
        <w:ind w:left="340" w:hanging="332"/>
        <w:spacing w:after="0" w:line="216" w:lineRule="auto"/>
        <w:tabs>
          <w:tab w:leader="none" w:pos="340" w:val="left"/>
        </w:tabs>
        <w:numPr>
          <w:ilvl w:val="0"/>
          <w:numId w:val="4"/>
        </w:numPr>
        <w:rPr>
          <w:rFonts w:ascii="Arial" w:cs="Arial" w:eastAsia="Arial" w:hAnsi="Arial"/>
          <w:sz w:val="13"/>
          <w:szCs w:val="13"/>
          <w:color w:val="auto"/>
        </w:rPr>
      </w:pPr>
      <w:r>
        <w:rPr>
          <w:rFonts w:ascii="Arial" w:cs="Arial" w:eastAsia="Arial" w:hAnsi="Arial"/>
          <w:sz w:val="13"/>
          <w:szCs w:val="13"/>
          <w:color w:val="auto"/>
        </w:rPr>
        <w:t>Investment is held through PNNT Acentia LLC, a consolidated subsidiary.</w:t>
      </w:r>
    </w:p>
    <w:p>
      <w:pPr>
        <w:ind w:left="340" w:hanging="332"/>
        <w:spacing w:after="0"/>
        <w:tabs>
          <w:tab w:leader="none" w:pos="340" w:val="left"/>
        </w:tabs>
        <w:numPr>
          <w:ilvl w:val="0"/>
          <w:numId w:val="4"/>
        </w:numPr>
        <w:rPr>
          <w:rFonts w:ascii="Arial" w:cs="Arial" w:eastAsia="Arial" w:hAnsi="Arial"/>
          <w:sz w:val="13"/>
          <w:szCs w:val="13"/>
          <w:color w:val="auto"/>
        </w:rPr>
      </w:pPr>
      <w:r>
        <w:rPr>
          <w:rFonts w:ascii="Arial" w:cs="Arial" w:eastAsia="Arial" w:hAnsi="Arial"/>
          <w:sz w:val="13"/>
          <w:szCs w:val="13"/>
          <w:color w:val="auto"/>
        </w:rPr>
        <w:t>Investment is held through PNNT Transportation 100 Holdco, L.L.C., a consolidated subsidiary.</w:t>
      </w:r>
    </w:p>
    <w:p>
      <w:pPr>
        <w:spacing w:after="0" w:line="191"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SEE NOTES TO CONSOLIDATED FINANCIAL STATEMENTS</w:t>
      </w:r>
    </w:p>
    <w:p>
      <w:pPr>
        <w:spacing w:after="0" w:line="158"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060"/>
          </w:cols>
          <w:pgMar w:left="320" w:top="459" w:right="51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PENNANTPARK INVESTMENT CORPORATION AND SUBSIDIARIES</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DECEMBER 31, 2013</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ORGANIZATION</w:t>
      </w:r>
    </w:p>
    <w:p>
      <w:pPr>
        <w:spacing w:after="0" w:line="121" w:lineRule="exact"/>
        <w:rPr>
          <w:sz w:val="20"/>
          <w:szCs w:val="20"/>
          <w:color w:val="auto"/>
        </w:rPr>
      </w:pPr>
    </w:p>
    <w:p>
      <w:pPr>
        <w:ind w:right="80" w:firstLine="449"/>
        <w:spacing w:after="0" w:line="255" w:lineRule="auto"/>
        <w:rPr>
          <w:sz w:val="20"/>
          <w:szCs w:val="20"/>
          <w:color w:val="auto"/>
        </w:rPr>
      </w:pPr>
      <w:r>
        <w:rPr>
          <w:rFonts w:ascii="Arial" w:cs="Arial" w:eastAsia="Arial" w:hAnsi="Arial"/>
          <w:sz w:val="18"/>
          <w:szCs w:val="18"/>
          <w:color w:val="auto"/>
        </w:rPr>
        <w:t>PennantPark Investment Corporation was organized as a Maryland corporation in January 2007. PennantPark Investment is a closed-end, externally managed, non-diversified investment company that has elected to be treated as a BDC. PennantPark Investment’s objective is to generate both current income and capital appreciation through debt and equity investments. We invest primarily in U.S. middle-market companies in the form of senior secured loans, mezzanine debt and, to a lesser extent, equity investments. On April 24, 2007, we closed our initial public offering and our common stock trades on the NASDAQ Global Select Market under the symbol “PNNT.” Our 2025 Notes trade on the New York Stock Exchange, or the NYSE, under the symbol “PNTA.”</w:t>
      </w:r>
    </w:p>
    <w:p>
      <w:pPr>
        <w:spacing w:after="0" w:line="192" w:lineRule="exact"/>
        <w:rPr>
          <w:sz w:val="20"/>
          <w:szCs w:val="20"/>
          <w:color w:val="auto"/>
        </w:rPr>
      </w:pPr>
    </w:p>
    <w:p>
      <w:pPr>
        <w:ind w:right="140" w:firstLine="449"/>
        <w:spacing w:after="0" w:line="273" w:lineRule="auto"/>
        <w:rPr>
          <w:sz w:val="20"/>
          <w:szCs w:val="20"/>
          <w:color w:val="auto"/>
        </w:rPr>
      </w:pPr>
      <w:r>
        <w:rPr>
          <w:rFonts w:ascii="Arial" w:cs="Arial" w:eastAsia="Arial" w:hAnsi="Arial"/>
          <w:sz w:val="17"/>
          <w:szCs w:val="17"/>
          <w:color w:val="auto"/>
        </w:rPr>
        <w:t>We have entered into an investment management agreement, or the Investment Management Agreement, with the Investment Adviser, an external adviser that manages our day-to-day operations. We have also entered into an administration agreement, or the Administration Agreement, with the Administrator, which provides the administrative services necessary for us to operate. PennantPark Investment, through the Investment Adviser, manages day-to-day operations of and provides investment advisory services to each of our SBIC Funds under separate investment management agreements. PennantPark Investment, through the Administrator, also provides similar services to each of our SBIC Funds and our controlled affiliate SuttonPark Holdings, Inc. and its subsidiaries, or SPH, under separate administration agreements. See Note 3.</w:t>
      </w:r>
    </w:p>
    <w:p>
      <w:pPr>
        <w:spacing w:after="0" w:line="178" w:lineRule="exact"/>
        <w:rPr>
          <w:sz w:val="20"/>
          <w:szCs w:val="20"/>
          <w:color w:val="auto"/>
        </w:rPr>
      </w:pPr>
    </w:p>
    <w:p>
      <w:pPr>
        <w:ind w:right="160" w:firstLine="449"/>
        <w:spacing w:after="0" w:line="257" w:lineRule="auto"/>
        <w:rPr>
          <w:sz w:val="20"/>
          <w:szCs w:val="20"/>
          <w:color w:val="auto"/>
        </w:rPr>
      </w:pPr>
      <w:r>
        <w:rPr>
          <w:rFonts w:ascii="Arial" w:cs="Arial" w:eastAsia="Arial" w:hAnsi="Arial"/>
          <w:sz w:val="18"/>
          <w:szCs w:val="18"/>
          <w:color w:val="auto"/>
        </w:rPr>
        <w:t>Our wholly owned subsidiaries, SBIC LP and SBIC II, were organized as Delaware limited partnerships in May 2010 and July 2012, respectively. SBIC LP and SBIC II received licenses from the SBA to operate as small business investment companies, or SBICs, under Section 301(c) of the Small Business Investment Act of 1958, as amended, or the 1958 Act, in July 2010 and January 2013, respectively. Our SBIC Funds’ objectives are to generate both current income and capital appreciation through debt and equity investments generally by investing with us in SBA eligible businesses that meet the investment criteria used by PennantPark Investment.</w:t>
      </w:r>
    </w:p>
    <w:p>
      <w:pPr>
        <w:spacing w:after="0" w:line="188" w:lineRule="exact"/>
        <w:rPr>
          <w:sz w:val="20"/>
          <w:szCs w:val="20"/>
          <w:color w:val="auto"/>
        </w:rPr>
      </w:pPr>
    </w:p>
    <w:p>
      <w:pPr>
        <w:ind w:right="100" w:firstLine="449"/>
        <w:spacing w:after="0" w:line="263" w:lineRule="auto"/>
        <w:rPr>
          <w:sz w:val="20"/>
          <w:szCs w:val="20"/>
          <w:color w:val="auto"/>
        </w:rPr>
      </w:pPr>
      <w:r>
        <w:rPr>
          <w:rFonts w:ascii="Arial" w:cs="Arial" w:eastAsia="Arial" w:hAnsi="Arial"/>
          <w:sz w:val="18"/>
          <w:szCs w:val="18"/>
          <w:color w:val="auto"/>
        </w:rPr>
        <w:t>We have formed and expect to continue to form certain taxable subsidiaries, or the Taxable Subsidiaries, which are taxed as corporations for federal income tax purposes. These Taxable Subsidiaries allow us to hold equity securities of portfolio companies organized as pass-through entities while continuing to satisfy the requirements of a RIC under the Code.</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SIGNIFICANT ACCOUNTING POLICIES</w:t>
      </w:r>
    </w:p>
    <w:p>
      <w:pPr>
        <w:spacing w:after="0" w:line="121" w:lineRule="exact"/>
        <w:rPr>
          <w:sz w:val="20"/>
          <w:szCs w:val="20"/>
          <w:color w:val="auto"/>
        </w:rPr>
      </w:pPr>
    </w:p>
    <w:p>
      <w:pPr>
        <w:ind w:right="200" w:firstLine="449"/>
        <w:spacing w:after="0" w:line="291" w:lineRule="auto"/>
        <w:rPr>
          <w:sz w:val="20"/>
          <w:szCs w:val="20"/>
          <w:color w:val="auto"/>
        </w:rPr>
      </w:pPr>
      <w:r>
        <w:rPr>
          <w:rFonts w:ascii="Arial" w:cs="Arial" w:eastAsia="Arial" w:hAnsi="Arial"/>
          <w:sz w:val="16"/>
          <w:szCs w:val="16"/>
          <w:color w:val="auto"/>
        </w:rPr>
        <w:t>The preparation of our Consolidated Financial Statements in conformity with U.S. generally accepted accounting principles, or GAAP, requires management to make estimates and assumptions that affect the reported amount of our assets and liabilities at the date of the Consolidated Financial Statements and the reported amounts of income and expenses during the reported periods. Actual results could differ from these estimates. We may reclassify certain prior period amounts to conform to the current period presentation. We have eliminated all intercompany balances and transactions. References to the Accounting Standards Codification, or ASC, serve as a single source of accounting literature. Subsequent events are evaluated and disclosed as appropriate for events occurring through the date the Consolidated Financial Statements are issued. Changes in the economic and regulatory environment, financial markets and any other parameters used in determining such estimates could cause actual results to differ.</w:t>
      </w:r>
    </w:p>
    <w:p>
      <w:pPr>
        <w:spacing w:after="0" w:line="166" w:lineRule="exact"/>
        <w:rPr>
          <w:sz w:val="20"/>
          <w:szCs w:val="20"/>
          <w:color w:val="auto"/>
        </w:rPr>
      </w:pPr>
    </w:p>
    <w:p>
      <w:pPr>
        <w:ind w:right="120" w:firstLine="449"/>
        <w:spacing w:after="0" w:line="263" w:lineRule="auto"/>
        <w:rPr>
          <w:sz w:val="20"/>
          <w:szCs w:val="20"/>
          <w:color w:val="auto"/>
        </w:rPr>
      </w:pPr>
      <w:r>
        <w:rPr>
          <w:rFonts w:ascii="Arial" w:cs="Arial" w:eastAsia="Arial" w:hAnsi="Arial"/>
          <w:sz w:val="18"/>
          <w:szCs w:val="18"/>
          <w:color w:val="auto"/>
        </w:rPr>
        <w:t>Our Consolidated Financial Statements are prepared in accordance with GAAP and pursuant to the requirements for reporting on Form 10-K/Q and Article 6 or 10 of Regulation S-X, as appropriate. In accordance with Article 6-09 of Regulation S-X, we have provided a Consolidated Statement of Changes in Net Assets in lieu of a Consolidated Statement of Changes in Stockholders’ Equity.</w:t>
      </w:r>
    </w:p>
    <w:p>
      <w:pPr>
        <w:spacing w:after="0" w:line="18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significant accounting policies consistently applied are as follows:</w:t>
      </w:r>
    </w:p>
    <w:p>
      <w:pPr>
        <w:spacing w:after="0" w:line="33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(a) Investment Valuations</w:t>
      </w:r>
    </w:p>
    <w:p>
      <w:pPr>
        <w:spacing w:after="0" w:line="117" w:lineRule="exact"/>
        <w:rPr>
          <w:sz w:val="20"/>
          <w:szCs w:val="20"/>
          <w:color w:val="auto"/>
        </w:rPr>
      </w:pPr>
    </w:p>
    <w:p>
      <w:pPr>
        <w:ind w:firstLine="449"/>
        <w:spacing w:after="0" w:line="270" w:lineRule="auto"/>
        <w:rPr>
          <w:sz w:val="20"/>
          <w:szCs w:val="20"/>
          <w:color w:val="auto"/>
        </w:rPr>
      </w:pPr>
      <w:r>
        <w:rPr>
          <w:rFonts w:ascii="Arial" w:cs="Arial" w:eastAsia="Arial" w:hAnsi="Arial"/>
          <w:sz w:val="17"/>
          <w:szCs w:val="17"/>
          <w:color w:val="auto"/>
        </w:rPr>
        <w:t>We expect that there will not be readily available market values for many of our investments, which are or will be in our portfolio, and we value such investments at fair value as determined in good faith by or under the direction of our board of directors using a documented valuation policy, described in this Report, and a consistently applied valuation process. With respect to investments for which there is no readily available market value, the factors that the board of directors may take into account in pricing our investments at fair value include, as relevant, the nature and realizable value of any collateral, the portfolio company’s ability to make payments and its earnings and discounted cash flow, the markets in which the portfolio company does business, comparison to publicly traded securities and other relevant factors. When an external event such as a purchase transaction, public offering or subsequent equity sale occurs, we consider the pricing indicated by the external event to corroborate or revise our valuation. Due to the inherent uncertainty of determining the fair value of investments that do not have a readily available market value, the price used in an actual transaction may be different than our valuation and the difference may be material. See Note 5.</w:t>
      </w:r>
    </w:p>
    <w:p>
      <w:pPr>
        <w:sectPr>
          <w:pgSz w:w="11900" w:h="16838" w:orient="portrait"/>
          <w:cols w:equalWidth="0" w:num="1">
            <w:col w:w="11200"/>
          </w:cols>
          <w:pgMar w:left="320" w:top="459" w:right="379" w:bottom="1440" w:gutter="0" w:footer="0" w:header="0"/>
        </w:sectPr>
      </w:pPr>
    </w:p>
    <w:p>
      <w:pPr>
        <w:spacing w:after="0" w:line="113"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16</w:t>
      </w:r>
    </w:p>
    <w:p>
      <w:pPr>
        <w:sectPr>
          <w:pgSz w:w="11900" w:h="16838" w:orient="portrait"/>
          <w:cols w:equalWidth="0" w:num="1">
            <w:col w:w="11200"/>
          </w:cols>
          <w:pgMar w:left="320" w:top="459" w:right="379" w:bottom="1440" w:gutter="0" w:footer="0" w:header="0"/>
          <w:type w:val="continuous"/>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left="360" w:right="2680"/>
        <w:spacing w:after="0" w:line="257" w:lineRule="auto"/>
        <w:rPr>
          <w:sz w:val="20"/>
          <w:szCs w:val="20"/>
          <w:color w:val="auto"/>
        </w:rPr>
      </w:pPr>
      <w:r>
        <w:rPr>
          <w:rFonts w:ascii="Arial" w:cs="Arial" w:eastAsia="Arial" w:hAnsi="Arial"/>
          <w:sz w:val="18"/>
          <w:szCs w:val="18"/>
          <w:b w:val="1"/>
          <w:bCs w:val="1"/>
          <w:color w:val="auto"/>
        </w:rPr>
        <w:t>PENNANTPARK INVESTMENT CORPORATION AND SUBSIDIARIES NOTES TO CONSOLIDATED FINANCIAL STATEMENTS – (Continued) DECEMBER 31, 2013</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143" w:lineRule="exact"/>
        <w:rPr>
          <w:sz w:val="20"/>
          <w:szCs w:val="20"/>
          <w:color w:val="auto"/>
        </w:rPr>
      </w:pPr>
    </w:p>
    <w:p>
      <w:pPr>
        <w:ind w:right="260" w:firstLine="449"/>
        <w:spacing w:after="0" w:line="277" w:lineRule="auto"/>
        <w:rPr>
          <w:sz w:val="20"/>
          <w:szCs w:val="20"/>
          <w:color w:val="auto"/>
        </w:rPr>
      </w:pPr>
      <w:r>
        <w:rPr>
          <w:rFonts w:ascii="Arial" w:cs="Arial" w:eastAsia="Arial" w:hAnsi="Arial"/>
          <w:sz w:val="18"/>
          <w:szCs w:val="18"/>
          <w:color w:val="auto"/>
        </w:rPr>
        <w:t>With respect to investments for which market quotations are not readily available, or for which market quotations are deemed not reflective of the fair value, our board of directors undertakes a multi-step valuation process each quarter, as described below:</w:t>
      </w:r>
    </w:p>
    <w:p>
      <w:pPr>
        <w:spacing w:after="0" w:line="76" w:lineRule="exact"/>
        <w:rPr>
          <w:sz w:val="20"/>
          <w:szCs w:val="20"/>
          <w:color w:val="auto"/>
        </w:rPr>
      </w:pPr>
    </w:p>
    <w:p>
      <w:pPr>
        <w:ind w:left="900" w:right="20" w:hanging="447"/>
        <w:spacing w:after="0" w:line="277" w:lineRule="auto"/>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quarterly valuation process begins with each portfolio company or investment being initially valued by the investment professionals of our Investment Adviser responsible for the portfolio investment;</w:t>
      </w:r>
    </w:p>
    <w:p>
      <w:pPr>
        <w:spacing w:after="0" w:line="75" w:lineRule="exact"/>
        <w:rPr>
          <w:rFonts w:ascii="Arial" w:cs="Arial" w:eastAsia="Arial" w:hAnsi="Arial"/>
          <w:sz w:val="18"/>
          <w:szCs w:val="18"/>
          <w:color w:val="auto"/>
        </w:rPr>
      </w:pPr>
    </w:p>
    <w:p>
      <w:pPr>
        <w:ind w:left="900" w:hanging="447"/>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Preliminary valuation conclusions are then documented and discussed with the management of our Investment Adviser;</w:t>
      </w:r>
    </w:p>
    <w:p>
      <w:pPr>
        <w:spacing w:after="0" w:line="130" w:lineRule="exact"/>
        <w:rPr>
          <w:rFonts w:ascii="Arial" w:cs="Arial" w:eastAsia="Arial" w:hAnsi="Arial"/>
          <w:sz w:val="18"/>
          <w:szCs w:val="18"/>
          <w:color w:val="auto"/>
        </w:rPr>
      </w:pPr>
    </w:p>
    <w:p>
      <w:pPr>
        <w:ind w:left="900" w:right="440" w:hanging="447"/>
        <w:spacing w:after="0" w:line="279" w:lineRule="auto"/>
        <w:tabs>
          <w:tab w:leader="none" w:pos="900" w:val="left"/>
        </w:tabs>
        <w:numPr>
          <w:ilvl w:val="0"/>
          <w:numId w:val="5"/>
        </w:numPr>
        <w:rPr>
          <w:rFonts w:ascii="Arial" w:cs="Arial" w:eastAsia="Arial" w:hAnsi="Arial"/>
          <w:sz w:val="17"/>
          <w:szCs w:val="17"/>
          <w:color w:val="auto"/>
        </w:rPr>
      </w:pPr>
      <w:r>
        <w:rPr>
          <w:rFonts w:ascii="Arial" w:cs="Arial" w:eastAsia="Arial" w:hAnsi="Arial"/>
          <w:sz w:val="17"/>
          <w:szCs w:val="17"/>
          <w:color w:val="auto"/>
        </w:rPr>
        <w:t>Our board of directors also engages independent valuation firms to conduct independent appraisals of our investments for which market quotations are not readily available or are readily available but deemed not reflective of the fair value of the investment. The independent valuation firms review management’s preliminary valuations in light of their own independent assessment and also in light of any market quotations obtained from an independent pricing service, broker, dealer or market maker;</w:t>
      </w:r>
    </w:p>
    <w:p>
      <w:pPr>
        <w:spacing w:after="0" w:line="76" w:lineRule="exact"/>
        <w:rPr>
          <w:rFonts w:ascii="Arial" w:cs="Arial" w:eastAsia="Arial" w:hAnsi="Arial"/>
          <w:sz w:val="17"/>
          <w:szCs w:val="17"/>
          <w:color w:val="auto"/>
        </w:rPr>
      </w:pPr>
    </w:p>
    <w:p>
      <w:pPr>
        <w:ind w:left="900" w:right="220" w:hanging="447"/>
        <w:spacing w:after="0" w:line="286" w:lineRule="auto"/>
        <w:tabs>
          <w:tab w:leader="none" w:pos="900" w:val="left"/>
        </w:tabs>
        <w:numPr>
          <w:ilvl w:val="0"/>
          <w:numId w:val="5"/>
        </w:numPr>
        <w:rPr>
          <w:rFonts w:ascii="Arial" w:cs="Arial" w:eastAsia="Arial" w:hAnsi="Arial"/>
          <w:sz w:val="17"/>
          <w:szCs w:val="17"/>
          <w:color w:val="auto"/>
        </w:rPr>
      </w:pPr>
      <w:r>
        <w:rPr>
          <w:rFonts w:ascii="Arial" w:cs="Arial" w:eastAsia="Arial" w:hAnsi="Arial"/>
          <w:sz w:val="17"/>
          <w:szCs w:val="17"/>
          <w:color w:val="auto"/>
        </w:rPr>
        <w:t>The audit committee of our board of directors reviews the preliminary valuations of the Investment Adviser and those of the independent valuation firms on a quarterly basis, periodically assess the valuation methodologies of the independent valuation firms, and responds to and supplements the valuation recommendations of the independent valuation firms to reflect any comments; and</w:t>
      </w:r>
    </w:p>
    <w:p>
      <w:pPr>
        <w:spacing w:after="0" w:line="70" w:lineRule="exact"/>
        <w:rPr>
          <w:rFonts w:ascii="Arial" w:cs="Arial" w:eastAsia="Arial" w:hAnsi="Arial"/>
          <w:sz w:val="17"/>
          <w:szCs w:val="17"/>
          <w:color w:val="auto"/>
        </w:rPr>
      </w:pPr>
    </w:p>
    <w:p>
      <w:pPr>
        <w:ind w:left="900" w:right="220" w:hanging="447"/>
        <w:spacing w:after="0" w:line="277" w:lineRule="auto"/>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board of directors discusses these valuations and determines the fair value of each investment in our portfolio in good faith based on the input of our Investment Adviser, the respective independent valuation firms and the audit committee.</w:t>
      </w:r>
    </w:p>
    <w:p>
      <w:pPr>
        <w:spacing w:after="0" w:line="170" w:lineRule="exact"/>
        <w:rPr>
          <w:sz w:val="20"/>
          <w:szCs w:val="20"/>
          <w:color w:val="auto"/>
        </w:rPr>
      </w:pPr>
    </w:p>
    <w:p>
      <w:pPr>
        <w:ind w:right="60" w:firstLine="449"/>
        <w:spacing w:after="0" w:line="254" w:lineRule="auto"/>
        <w:rPr>
          <w:sz w:val="20"/>
          <w:szCs w:val="20"/>
          <w:color w:val="auto"/>
        </w:rPr>
      </w:pPr>
      <w:r>
        <w:rPr>
          <w:rFonts w:ascii="Arial" w:cs="Arial" w:eastAsia="Arial" w:hAnsi="Arial"/>
          <w:sz w:val="18"/>
          <w:szCs w:val="18"/>
          <w:color w:val="auto"/>
        </w:rPr>
        <w:t>Our board of directors generally uses market quotations to assess the value of our investments for which market quotations are readily available. We obtain these market values from independent pricing services or at the bid prices obtained from at least two brokers or dealers, if available, or otherwise by a principal market maker or a primary market dealer. The Investment Adviser assesses the source and reliability of bids from brokers or dealers. If the board of directors has a bona fide reason to believe any such market quote does not reflect the fair value of an investment, it may independently value such investments by using the valuation procedure that it uses with respect to assets for which market quotations are not readily available. Investments of sufficient credit quality purchased within 60 days of maturity are valued at cost plus accreted discount, or minus amortized premium, which approximates fair value.</w:t>
      </w:r>
    </w:p>
    <w:p>
      <w:pPr>
        <w:spacing w:after="0" w:line="30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(b) Security Transactions, Revenue Recognition, and Realized / Unrealized Gains or Losses</w:t>
      </w:r>
    </w:p>
    <w:p>
      <w:pPr>
        <w:spacing w:after="0" w:line="117" w:lineRule="exact"/>
        <w:rPr>
          <w:sz w:val="20"/>
          <w:szCs w:val="20"/>
          <w:color w:val="auto"/>
        </w:rPr>
      </w:pPr>
    </w:p>
    <w:p>
      <w:pPr>
        <w:ind w:right="60" w:firstLine="449"/>
        <w:spacing w:after="0" w:line="275" w:lineRule="auto"/>
        <w:rPr>
          <w:sz w:val="20"/>
          <w:szCs w:val="20"/>
          <w:color w:val="auto"/>
        </w:rPr>
      </w:pPr>
      <w:r>
        <w:rPr>
          <w:rFonts w:ascii="Arial" w:cs="Arial" w:eastAsia="Arial" w:hAnsi="Arial"/>
          <w:sz w:val="17"/>
          <w:szCs w:val="17"/>
          <w:color w:val="auto"/>
        </w:rPr>
        <w:t>Security transactions are recorded on a trade-date basis. We measure realized gains or losses by the difference between the net proceeds from the repayment or sale and the amortized cost basis of the investment, using the specific identification method, without regard to unrealized appreciation or depreciation previously recognized, but considering unamortized upfront fees and prepayment penalties. Net change in unrealized appreciation or depreciation reflects the change in the fair values of our portfolio investments and our Credit Facility during the reporting period, including any reversal of previously recorded unrealized appreciation or depreciation, when gains or losses are realized.</w:t>
      </w:r>
    </w:p>
    <w:p>
      <w:pPr>
        <w:spacing w:after="0" w:line="176" w:lineRule="exact"/>
        <w:rPr>
          <w:sz w:val="20"/>
          <w:szCs w:val="20"/>
          <w:color w:val="auto"/>
        </w:rPr>
      </w:pPr>
    </w:p>
    <w:p>
      <w:pPr>
        <w:ind w:firstLine="449"/>
        <w:spacing w:after="0" w:line="291" w:lineRule="auto"/>
        <w:rPr>
          <w:sz w:val="20"/>
          <w:szCs w:val="20"/>
          <w:color w:val="auto"/>
        </w:rPr>
      </w:pPr>
      <w:r>
        <w:rPr>
          <w:rFonts w:ascii="Arial" w:cs="Arial" w:eastAsia="Arial" w:hAnsi="Arial"/>
          <w:sz w:val="16"/>
          <w:szCs w:val="16"/>
          <w:color w:val="auto"/>
        </w:rPr>
        <w:t>We record interest income on an accrual basis to the extent that we expect to collect such amounts. For loans and debt investments with contractual PIK interest, which represents interest accrued and added to the loan balance that generally becomes due at maturity, we will generally not accrue PIK interest when the portfolio company valuation indicates that such PIK interest is not collectable. We do not accrue as a receivable interest on loans and debt investments if we have reason to doubt our ability to collect such interest. Loan origination fees, original issue discount, or OID, market discount or premium and deferred financing costs are capitalized and we then accrete or amortize such amounts using the effective interest method as interest income or interest expense as it relates to our deferred financing costs. We record prepayment penalties on loans and debt investments as income. Dividend income, if any, is recognized on an accrual basis on the ex-dividend date to the extent that we expect to collect such amounts.</w:t>
      </w:r>
    </w:p>
    <w:p>
      <w:pPr>
        <w:spacing w:after="0" w:line="166" w:lineRule="exact"/>
        <w:rPr>
          <w:sz w:val="20"/>
          <w:szCs w:val="20"/>
          <w:color w:val="auto"/>
        </w:rPr>
      </w:pPr>
    </w:p>
    <w:p>
      <w:pPr>
        <w:ind w:right="80" w:firstLine="449"/>
        <w:spacing w:after="0" w:line="279" w:lineRule="auto"/>
        <w:rPr>
          <w:sz w:val="20"/>
          <w:szCs w:val="20"/>
          <w:color w:val="auto"/>
        </w:rPr>
      </w:pPr>
      <w:r>
        <w:rPr>
          <w:rFonts w:ascii="Arial" w:cs="Arial" w:eastAsia="Arial" w:hAnsi="Arial"/>
          <w:sz w:val="17"/>
          <w:szCs w:val="17"/>
          <w:color w:val="auto"/>
        </w:rPr>
        <w:t>Loans are placed on non-accrual status when principal or interest payments are past due 30 days or more and/or there is reasonable doubt that principal or interest will be collected. Accrued interest is generally reversed when a loan is placed on non-accrual status. Interest payments received on non-accrual loans may be recognized as income or applied to principal depending upon management’s judgment. Non-accrual loans are restored to accrual status when past due principal and interest are paid and, in management’s judgment, are likely to remain current.</w:t>
      </w:r>
    </w:p>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220"/>
          </w:cols>
          <w:pgMar w:left="320" w:top="459" w:right="35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left="340" w:right="2700"/>
        <w:spacing w:after="0" w:line="257" w:lineRule="auto"/>
        <w:rPr>
          <w:sz w:val="20"/>
          <w:szCs w:val="20"/>
          <w:color w:val="auto"/>
        </w:rPr>
      </w:pPr>
      <w:r>
        <w:rPr>
          <w:rFonts w:ascii="Arial" w:cs="Arial" w:eastAsia="Arial" w:hAnsi="Arial"/>
          <w:sz w:val="18"/>
          <w:szCs w:val="18"/>
          <w:b w:val="1"/>
          <w:bCs w:val="1"/>
          <w:color w:val="auto"/>
        </w:rPr>
        <w:t>PENNANTPARK INVESTMENT CORPORATION AND SUBSIDIARIES NOTES TO CONSOLIDATED FINANCIAL STATEMENTS – (Continued) DECEMBER 31, 2013</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4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 Income Taxes</w:t>
      </w:r>
    </w:p>
    <w:p>
      <w:pPr>
        <w:spacing w:after="0" w:line="117" w:lineRule="exact"/>
        <w:rPr>
          <w:sz w:val="20"/>
          <w:szCs w:val="20"/>
          <w:color w:val="auto"/>
        </w:rPr>
      </w:pPr>
    </w:p>
    <w:p>
      <w:pPr>
        <w:ind w:firstLine="449"/>
        <w:spacing w:after="0" w:line="293" w:lineRule="auto"/>
        <w:rPr>
          <w:sz w:val="20"/>
          <w:szCs w:val="20"/>
          <w:color w:val="auto"/>
        </w:rPr>
      </w:pPr>
      <w:r>
        <w:rPr>
          <w:rFonts w:ascii="Arial" w:cs="Arial" w:eastAsia="Arial" w:hAnsi="Arial"/>
          <w:sz w:val="16"/>
          <w:szCs w:val="16"/>
          <w:color w:val="auto"/>
        </w:rPr>
        <w:t>We have complied with the requirements of Subchapter M of the Code and expect to be subject to taxation as a RIC. As a result, we account for income taxes using the asset liability method prescribed by ASC 740, Income Taxes. Under this method, income taxes are provided for amounts currently payable and for amounts deferred as tax assets and liabilities based on differences between the financial statement carrying amounts and the tax basis of existing assets and liabilities. Based upon PennantPark Investment’s qualification and election to be subject to tax as a RIC, we do not anticipate paying any material level of federal income taxes in the future. Although we are not subject to tax as a RIC, we have elected to retain a portion of our calendar year income and accrued estimated excise taxes of zero and $0.1 million for the three months ended December 31, 2013 and 2012, respectively.</w:t>
      </w:r>
    </w:p>
    <w:p>
      <w:pPr>
        <w:spacing w:after="0" w:line="164" w:lineRule="exact"/>
        <w:rPr>
          <w:sz w:val="20"/>
          <w:szCs w:val="20"/>
          <w:color w:val="auto"/>
        </w:rPr>
      </w:pPr>
    </w:p>
    <w:p>
      <w:pPr>
        <w:ind w:right="40" w:firstLine="449"/>
        <w:spacing w:after="0" w:line="257" w:lineRule="auto"/>
        <w:rPr>
          <w:sz w:val="20"/>
          <w:szCs w:val="20"/>
          <w:color w:val="auto"/>
        </w:rPr>
      </w:pPr>
      <w:r>
        <w:rPr>
          <w:rFonts w:ascii="Arial" w:cs="Arial" w:eastAsia="Arial" w:hAnsi="Arial"/>
          <w:sz w:val="18"/>
          <w:szCs w:val="18"/>
          <w:color w:val="auto"/>
        </w:rPr>
        <w:t>PennantPark Investment recognizes in its Consolidated Financial Statements the effect of a tax position when it is more likely than not, based on the technical merits, that the position will be sustained upon examination. We did not have any uncertain tax positions that met the recognition or measurement criteria of ASC 740-10-25 nor did we have any unrecognized tax benefits as of the periods presented herein. Although we file federal and state tax returns, our major tax jurisdiction is federal. Our tax returns for each of our federal tax years since 2009 remain subject to examination by the Internal Revenue Service and the New York State department of revenue.</w:t>
      </w:r>
    </w:p>
    <w:p>
      <w:pPr>
        <w:spacing w:after="0" w:line="188" w:lineRule="exact"/>
        <w:rPr>
          <w:sz w:val="20"/>
          <w:szCs w:val="20"/>
          <w:color w:val="auto"/>
        </w:rPr>
      </w:pPr>
    </w:p>
    <w:p>
      <w:pPr>
        <w:ind w:right="80" w:firstLine="449"/>
        <w:spacing w:after="0" w:line="275" w:lineRule="auto"/>
        <w:rPr>
          <w:sz w:val="20"/>
          <w:szCs w:val="20"/>
          <w:color w:val="auto"/>
        </w:rPr>
      </w:pPr>
      <w:r>
        <w:rPr>
          <w:rFonts w:ascii="Arial" w:cs="Arial" w:eastAsia="Arial" w:hAnsi="Arial"/>
          <w:sz w:val="17"/>
          <w:szCs w:val="17"/>
          <w:color w:val="auto"/>
        </w:rPr>
        <w:t>Because federal income tax regulations differ from GAAP, distributions in accordance with tax regulations may differ from net investment income and realized gains recognized for financial reporting purposes. Differences may be permanent or temporary. Permanent differences are reclassified among capital accounts in the Consolidated Financial Statements to reflect their tax character. Temporary differences arise when certain items of income, expense, gain or loss are recognized at some time in the future. We do not consolidate the Taxable Subsidiaries for income tax purposes, but we do consolidate the results of these Taxable Subsidiaries for financial reporting purposes.</w:t>
      </w:r>
    </w:p>
    <w:p>
      <w:pPr>
        <w:spacing w:after="0" w:line="28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(d) Distributions and Capital Transactions</w:t>
      </w:r>
    </w:p>
    <w:p>
      <w:pPr>
        <w:spacing w:after="0" w:line="117" w:lineRule="exact"/>
        <w:rPr>
          <w:sz w:val="20"/>
          <w:szCs w:val="20"/>
          <w:color w:val="auto"/>
        </w:rPr>
      </w:pPr>
    </w:p>
    <w:p>
      <w:pPr>
        <w:ind w:right="40" w:firstLine="449"/>
        <w:spacing w:after="0" w:line="259" w:lineRule="auto"/>
        <w:rPr>
          <w:sz w:val="20"/>
          <w:szCs w:val="20"/>
          <w:color w:val="auto"/>
        </w:rPr>
      </w:pPr>
      <w:r>
        <w:rPr>
          <w:rFonts w:ascii="Arial" w:cs="Arial" w:eastAsia="Arial" w:hAnsi="Arial"/>
          <w:sz w:val="18"/>
          <w:szCs w:val="18"/>
          <w:color w:val="auto"/>
        </w:rPr>
        <w:t>Distributions to common stockholders are recorded on the ex-dividend date. The amount to be paid, if any, as a distribution is determined by the board of directors each quarter and is generally based upon the earnings estimated by management. Net realized capital gains, if any, are distributed at least annually. The tax attributes for distributions will generally include ordinary income and capital gains but may also include qualified dividends and/or return of capital.</w:t>
      </w:r>
    </w:p>
    <w:p>
      <w:pPr>
        <w:spacing w:after="0" w:line="187" w:lineRule="exact"/>
        <w:rPr>
          <w:sz w:val="20"/>
          <w:szCs w:val="20"/>
          <w:color w:val="auto"/>
        </w:rPr>
      </w:pPr>
    </w:p>
    <w:p>
      <w:pPr>
        <w:ind w:right="360" w:firstLine="449"/>
        <w:spacing w:after="0" w:line="277" w:lineRule="auto"/>
        <w:rPr>
          <w:sz w:val="20"/>
          <w:szCs w:val="20"/>
          <w:color w:val="auto"/>
        </w:rPr>
      </w:pPr>
      <w:r>
        <w:rPr>
          <w:rFonts w:ascii="Arial" w:cs="Arial" w:eastAsia="Arial" w:hAnsi="Arial"/>
          <w:sz w:val="18"/>
          <w:szCs w:val="18"/>
          <w:color w:val="auto"/>
        </w:rPr>
        <w:t>Capital transactions, in connection with our dividend reinvestment plan or through offerings of our common stock, are recorded when issued and offering costs are charged as a reduction of capital upon issuance of our common stock.</w:t>
      </w:r>
    </w:p>
    <w:p>
      <w:pPr>
        <w:spacing w:after="0" w:line="27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(e) Consolidation</w:t>
      </w:r>
    </w:p>
    <w:p>
      <w:pPr>
        <w:spacing w:after="0" w:line="117" w:lineRule="exact"/>
        <w:rPr>
          <w:sz w:val="20"/>
          <w:szCs w:val="20"/>
          <w:color w:val="auto"/>
        </w:rPr>
      </w:pPr>
    </w:p>
    <w:p>
      <w:pPr>
        <w:ind w:right="100" w:firstLine="449"/>
        <w:spacing w:after="0" w:line="311" w:lineRule="auto"/>
        <w:rPr>
          <w:sz w:val="20"/>
          <w:szCs w:val="20"/>
          <w:color w:val="auto"/>
        </w:rPr>
      </w:pPr>
      <w:r>
        <w:rPr>
          <w:rFonts w:ascii="Arial" w:cs="Arial" w:eastAsia="Arial" w:hAnsi="Arial"/>
          <w:sz w:val="16"/>
          <w:szCs w:val="16"/>
          <w:color w:val="auto"/>
        </w:rPr>
        <w:t>As permitted under Regulation S-X and as explained by ASC 946-810-45, PennantPark Investment will generally not consolidate its investment in a company other than an investment company subsidiary or a controlled operating company whose business consists of providing services to us. Accordingly, we have consolidated the results of our SBIC Funds and our Taxable Subsidiaries in our Consolidated Financial Statements.</w:t>
      </w: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AGREEMENTS</w:t>
      </w:r>
    </w:p>
    <w:p>
      <w:pPr>
        <w:spacing w:after="0" w:line="121" w:lineRule="exact"/>
        <w:rPr>
          <w:sz w:val="20"/>
          <w:szCs w:val="20"/>
          <w:color w:val="auto"/>
        </w:rPr>
      </w:pPr>
    </w:p>
    <w:p>
      <w:pPr>
        <w:ind w:right="80" w:firstLine="449"/>
        <w:spacing w:after="0" w:line="255" w:lineRule="auto"/>
        <w:rPr>
          <w:sz w:val="20"/>
          <w:szCs w:val="20"/>
          <w:color w:val="auto"/>
        </w:rPr>
      </w:pPr>
      <w:r>
        <w:rPr>
          <w:rFonts w:ascii="Arial" w:cs="Arial" w:eastAsia="Arial" w:hAnsi="Arial"/>
          <w:sz w:val="18"/>
          <w:szCs w:val="18"/>
          <w:color w:val="auto"/>
        </w:rPr>
        <w:t>The Investment Management Agreement with the Investment Adviser was re-approved by our board of directors, including a majority of our directors who are not interested persons of us or the Investment Adviser, in February 2014. Under the Investment Management Agreement the Investment Adviser, subject to the overall supervision of our board of directors, manages the day-to-day operations of and provides investment advisory services to, PennantPark Investment. Our SBIC Funds’ investment management agreements do not affect the management or incentive fees that we pay to the Investment Adviser on a consolidated basis. For providing these services, the Investment Adviser receives a fee from us, consisting of two components—a base management fee and an incentive fee.</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240"/>
          </w:cols>
          <w:pgMar w:left="320" w:top="459" w:right="3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left="340" w:right="2700"/>
        <w:spacing w:after="0" w:line="257" w:lineRule="auto"/>
        <w:rPr>
          <w:sz w:val="20"/>
          <w:szCs w:val="20"/>
          <w:color w:val="auto"/>
        </w:rPr>
      </w:pPr>
      <w:r>
        <w:rPr>
          <w:rFonts w:ascii="Arial" w:cs="Arial" w:eastAsia="Arial" w:hAnsi="Arial"/>
          <w:sz w:val="18"/>
          <w:szCs w:val="18"/>
          <w:b w:val="1"/>
          <w:bCs w:val="1"/>
          <w:color w:val="auto"/>
        </w:rPr>
        <w:t>PENNANTPARK INVESTMENT CORPORATION AND SUBSIDIARIES NOTES TO CONSOLIDATED FINANCIAL STATEMENTS – (Continued) DECEMBER 31, 2013</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143" w:lineRule="exact"/>
        <w:rPr>
          <w:sz w:val="20"/>
          <w:szCs w:val="20"/>
          <w:color w:val="auto"/>
        </w:rPr>
      </w:pPr>
    </w:p>
    <w:p>
      <w:pPr>
        <w:ind w:right="100" w:firstLine="449"/>
        <w:spacing w:after="0" w:line="253" w:lineRule="auto"/>
        <w:rPr>
          <w:sz w:val="20"/>
          <w:szCs w:val="20"/>
          <w:color w:val="auto"/>
        </w:rPr>
      </w:pPr>
      <w:r>
        <w:rPr>
          <w:rFonts w:ascii="Arial" w:cs="Arial" w:eastAsia="Arial" w:hAnsi="Arial"/>
          <w:sz w:val="18"/>
          <w:szCs w:val="18"/>
          <w:color w:val="auto"/>
        </w:rPr>
        <w:t>The base management fee is calculated at an annual rate of 2.00% of our “average adjusted gross assets,” which equals our gross assets (net of U.S. Treasury Bills, temporary draws under any credit facility, repurchase agreements or other balance sheet transactions undertaken at the end of a fiscal quarter for purposes of preserving investment flexibility for the next quarter and adjusted to exclude cash, cash equivalents and unfunded delayed draw loans, if any) and is payable quarterly in arrears. The base management fee is calculated based on the average adjusted gross assets at the end of the two most recently completed calendar quarters, and appropriately adjusted for any share issuances or repurchases during the current calendar quarter. For example, if we sold shares on the 45th day of a quarter and did not use the proceeds from the sale to repay outstanding indebtedness, our gross assets for such quarter would give effect to the net proceeds of the issuance for only 45 days of the quarter during which the additional shares were outstanding. For the three months ended December 31, 2013 and 2012, the Investment Adviser earned base management fees of $5.7 million and $5.1 million, respectively, from us.</w:t>
      </w:r>
    </w:p>
    <w:p>
      <w:pPr>
        <w:spacing w:after="0" w:line="1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incentive fee has two parts, as follows:</w:t>
      </w:r>
    </w:p>
    <w:p>
      <w:pPr>
        <w:spacing w:after="0" w:line="225" w:lineRule="exact"/>
        <w:rPr>
          <w:sz w:val="20"/>
          <w:szCs w:val="20"/>
          <w:color w:val="auto"/>
        </w:rPr>
      </w:pPr>
    </w:p>
    <w:p>
      <w:pPr>
        <w:ind w:firstLine="449"/>
        <w:spacing w:after="0" w:line="283" w:lineRule="auto"/>
        <w:rPr>
          <w:sz w:val="20"/>
          <w:szCs w:val="20"/>
          <w:color w:val="auto"/>
        </w:rPr>
      </w:pPr>
      <w:r>
        <w:rPr>
          <w:rFonts w:ascii="Arial" w:cs="Arial" w:eastAsia="Arial" w:hAnsi="Arial"/>
          <w:sz w:val="16"/>
          <w:szCs w:val="16"/>
          <w:color w:val="auto"/>
        </w:rPr>
        <w:t>One part is calculated and payable quarterly in arrears based on our Pre-Incentive Fee Net Investment Income for the immediately preceding calendar quarter. For this purpose, Pre-Incentive Fee Net Investment Income means interest income, distribution income and any other income, including any other fees other than fees for providing managerial assistance, such as commitment, origination, structuring, diligence and consulting fees or other fees received from portfolio companies accrued during the calendar quarter, minus our operating expenses for the quarter (including the base management fee, any expenses payable under the Administration Agreement, and any interest expense and distribution paid on any issued and outstanding preferred stock, but excluding the incentive fee). Pre-Incentive Fee Net Investment Income includes, in the case of investments with deferred interest feature (such as OID, debt instruments with PIK interest and zero coupon securities), accrued income not yet received in cash. Pre-Incentive Fee Net Investment Income does not include any realized capital gains, realized capital losses or unrealized capital appreciation or depreciation. Pre-Incentive Fee Net Investment Income, expressed as a rate of return on the value of our net assets at the end of the immediately preceding calendar quarter, is compared to the hurdle rate of</w:t>
      </w:r>
    </w:p>
    <w:p>
      <w:pPr>
        <w:spacing w:after="0" w:line="6" w:lineRule="exact"/>
        <w:rPr>
          <w:sz w:val="20"/>
          <w:szCs w:val="20"/>
          <w:color w:val="auto"/>
        </w:rPr>
      </w:pPr>
    </w:p>
    <w:p>
      <w:pPr>
        <w:ind w:right="200"/>
        <w:spacing w:after="0" w:line="288" w:lineRule="auto"/>
        <w:rPr>
          <w:sz w:val="20"/>
          <w:szCs w:val="20"/>
          <w:color w:val="auto"/>
        </w:rPr>
      </w:pPr>
      <w:r>
        <w:rPr>
          <w:rFonts w:ascii="Arial" w:cs="Arial" w:eastAsia="Arial" w:hAnsi="Arial"/>
          <w:sz w:val="16"/>
          <w:szCs w:val="16"/>
          <w:color w:val="auto"/>
        </w:rPr>
        <w:t>1.75% per quarter (7.00% annualized). We pay the Investment Adviser an incentive fee with respect to our Pre-Incentive Fee Net Investment Income in each calendar quarter as follows: (1) no incentive fee in any calendar quarter in which our Pre-Incentive Fee Net Investment Income does not exceed the hurdle rate of 1.75%, (2) 100% of our Pre-Incentive Fee Net Investment Income with respect to that portion of such Pre-Incentive Fee Net Investment Income, if any, that exceeds the hurdle rate but is less than 2.1875% in any calendar quarter (8.75% annualized), and (3) 20% of the amount of our Pre-Incentive Fee Net Investment Income, if any, that exceeds 2.1875% in any calendar quarter. These calculations are adjusted for any share issuances or repurchases during the relevant quarter. For each of the three months ended December 31, 2013 and 2012, the Investment Adviser earned a performance-based incentive fee on net investment income, as calculated under the Investment Management Agreement, of $4.5 million from us.</w:t>
      </w:r>
    </w:p>
    <w:p>
      <w:pPr>
        <w:spacing w:after="0" w:line="168" w:lineRule="exact"/>
        <w:rPr>
          <w:sz w:val="20"/>
          <w:szCs w:val="20"/>
          <w:color w:val="auto"/>
        </w:rPr>
      </w:pPr>
    </w:p>
    <w:p>
      <w:pPr>
        <w:ind w:right="180" w:firstLine="449"/>
        <w:spacing w:after="0" w:line="296" w:lineRule="auto"/>
        <w:rPr>
          <w:sz w:val="20"/>
          <w:szCs w:val="20"/>
          <w:color w:val="auto"/>
        </w:rPr>
      </w:pPr>
      <w:r>
        <w:rPr>
          <w:rFonts w:ascii="Arial" w:cs="Arial" w:eastAsia="Arial" w:hAnsi="Arial"/>
          <w:sz w:val="16"/>
          <w:szCs w:val="16"/>
          <w:color w:val="auto"/>
        </w:rPr>
        <w:t>The second part of the incentive fee is determined and payable in arrears as of the end of each calendar year (or upon termination of the Investment Management Agreement, as of the termination date) and equals 20.0% of our realized capital gains, if any, on a cumulative basis from inception through the end of each calendar year, computed net of all realized capital losses and unrealized capital depreciation on a cumulative basis, less the aggregate amount of any previously paid capital gain incentive fees. For each of the three months ended December 31, 2013 and 2012, the Investment Adviser did not earn a performance-based incentive fee on capital gains as calculated under the Investment Management Agreement (as described above).</w:t>
      </w:r>
    </w:p>
    <w:p>
      <w:pPr>
        <w:spacing w:after="0" w:line="161" w:lineRule="exact"/>
        <w:rPr>
          <w:sz w:val="20"/>
          <w:szCs w:val="20"/>
          <w:color w:val="auto"/>
        </w:rPr>
      </w:pPr>
    </w:p>
    <w:p>
      <w:pPr>
        <w:ind w:firstLine="449"/>
        <w:spacing w:after="0" w:line="289" w:lineRule="auto"/>
        <w:rPr>
          <w:sz w:val="20"/>
          <w:szCs w:val="20"/>
          <w:color w:val="auto"/>
        </w:rPr>
      </w:pPr>
      <w:r>
        <w:rPr>
          <w:rFonts w:ascii="Arial" w:cs="Arial" w:eastAsia="Arial" w:hAnsi="Arial"/>
          <w:sz w:val="16"/>
          <w:szCs w:val="16"/>
          <w:color w:val="auto"/>
        </w:rPr>
        <w:t>Under GAAP, we are required to accrue a capital gains incentive fee based upon net realized capital gains and net unrealized capital appreciation and depreciation on investments held at the end of each period. In calculating the capital gains incentive fee accrual we considered the cumulative aggregate unrealized capital appreciation in the calculation, as a capital gains incentive fee would be payable if such unrealized capital appreciation were realized, even though such unrealized capital appreciation is not permitted to be considered in calculating the fee actually payable under the Investment Management Agreement. This accrual is calculated using the aggregate cumulative realized capital gains and losses and aggregate cumulative unrealized capital appreciation or depreciation. If such amount is positive at the end of a period, then we record a capital gains incentive fee equal to 20% of such amount, less the aggregate amount of actual capital gains related incentive fees paid in all prior years. If such amount is negative, then there is no accrual for such year. There can be no assurance that such unrealized capital appreciation will be realized in the future. For each of the three months ended December 31, 2013 and 2012, the Investment Adviser did not accrue an incentive fee on capital gains as calculated under GAAP.</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240"/>
          </w:cols>
          <w:pgMar w:left="320" w:top="459" w:right="3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left="400" w:right="2640"/>
        <w:spacing w:after="0" w:line="257" w:lineRule="auto"/>
        <w:rPr>
          <w:sz w:val="20"/>
          <w:szCs w:val="20"/>
          <w:color w:val="auto"/>
        </w:rPr>
      </w:pPr>
      <w:r>
        <w:rPr>
          <w:rFonts w:ascii="Arial" w:cs="Arial" w:eastAsia="Arial" w:hAnsi="Arial"/>
          <w:sz w:val="18"/>
          <w:szCs w:val="18"/>
          <w:b w:val="1"/>
          <w:bCs w:val="1"/>
          <w:color w:val="auto"/>
        </w:rPr>
        <w:t>PENNANTPARK INVESTMENT CORPORATION AND SUBSIDIARIES NOTES TO CONSOLIDATED FINANCIAL STATEMENTS – (Continued) DECEMBER 31, 2013</w:t>
      </w:r>
    </w:p>
    <w:p>
      <w:pPr>
        <w:spacing w:after="0" w:line="1"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(Unaudited)</w:t>
      </w:r>
    </w:p>
    <w:p>
      <w:pPr>
        <w:spacing w:after="0" w:line="143" w:lineRule="exact"/>
        <w:rPr>
          <w:sz w:val="20"/>
          <w:szCs w:val="20"/>
          <w:color w:val="auto"/>
        </w:rPr>
      </w:pPr>
    </w:p>
    <w:p>
      <w:pPr>
        <w:ind w:right="20" w:firstLine="449"/>
        <w:spacing w:after="0" w:line="269" w:lineRule="auto"/>
        <w:rPr>
          <w:sz w:val="20"/>
          <w:szCs w:val="20"/>
          <w:color w:val="auto"/>
        </w:rPr>
      </w:pPr>
      <w:r>
        <w:rPr>
          <w:rFonts w:ascii="Arial" w:cs="Arial" w:eastAsia="Arial" w:hAnsi="Arial"/>
          <w:sz w:val="17"/>
          <w:szCs w:val="17"/>
          <w:color w:val="auto"/>
        </w:rPr>
        <w:t>The Administration Agreement with the Administrator was reapproved by our board of directors, including a majority of our directors who are not interested persons of us, in February 2014. Under the Administration Agreement, the Administrator provides administrative services and office facilities to us. The Administrator provides similar services to our SBIC Funds under each of their administration agreements with PennantPark Investment. For providing these services, facilities and personnel, PennantPark Investment has agreed to reimburse the Administrator for our allocable portion of overhead and other expenses incurred by the Administrator in performing its obligations under our Administration Agreement, including rent, technology systems, insurance and PennantPark Investment’s allocable portion of the costs of compensation and related expenses for its Chief Compliance Officer, Chief Financial Officer and their respective staffs. The Administrator also offers, on PennantPark Investment’s behalf, managerial assistance to portfolio companies to which PennantPark Investment is required to offer such assistance. Reimbursement for certain of these costs is included in administrative services expenses in the Consolidated Statement of Operations. For each of the three months ended December 31, 2013 and 2012, the Investment Adviser and Administrator, collectively, were reimbursed $0.5 million from us, including expenses incurred on behalf of the Administrator, for the services described above.</w:t>
      </w:r>
    </w:p>
    <w:p>
      <w:pPr>
        <w:spacing w:after="0" w:line="182" w:lineRule="exact"/>
        <w:rPr>
          <w:sz w:val="20"/>
          <w:szCs w:val="20"/>
          <w:color w:val="auto"/>
        </w:rPr>
      </w:pPr>
    </w:p>
    <w:p>
      <w:pPr>
        <w:ind w:firstLine="449"/>
        <w:spacing w:after="0" w:line="254" w:lineRule="auto"/>
        <w:rPr>
          <w:sz w:val="20"/>
          <w:szCs w:val="20"/>
          <w:color w:val="auto"/>
        </w:rPr>
      </w:pPr>
      <w:r>
        <w:rPr>
          <w:rFonts w:ascii="Arial" w:cs="Arial" w:eastAsia="Arial" w:hAnsi="Arial"/>
          <w:sz w:val="18"/>
          <w:szCs w:val="18"/>
          <w:color w:val="auto"/>
        </w:rPr>
        <w:t>PennantPark Investment has entered into an administration agreement with its controlled affiliate SPH. Under the administration agreement with SPH, or the SPH Administration Agreement, PennantPark Investment through the Administrator furnishes SPH with office facilities, equipment and clerical, bookkeeping and record keeping services at such facilities. Additionally, the Administrator performs or oversees the performance of SPH’s required administrative services, which include, among other things, maintaining financial records, preparing financial reports and filing tax returns. Payments under the SPH Administration Agreement are equal to an amount based upon SPH’s allocable portion of the Administrator’s overhead in performing its obligations under the SPH Administration Agreement, including rent and allocable portion of the cost of compensation and related expenses of our Chief Financial Officer and his staff. For each of the three months ended December 31, 2013 and 2012, PennantPark Investment was reimbursed $0.1 million for the services described above.</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INVESTMENTS</w:t>
      </w:r>
    </w:p>
    <w:p>
      <w:pPr>
        <w:spacing w:after="0" w:line="121" w:lineRule="exact"/>
        <w:rPr>
          <w:sz w:val="20"/>
          <w:szCs w:val="20"/>
          <w:color w:val="auto"/>
        </w:rPr>
      </w:pPr>
    </w:p>
    <w:p>
      <w:pPr>
        <w:ind w:right="120" w:firstLine="449"/>
        <w:spacing w:after="0" w:line="263" w:lineRule="auto"/>
        <w:rPr>
          <w:sz w:val="20"/>
          <w:szCs w:val="20"/>
          <w:color w:val="auto"/>
        </w:rPr>
      </w:pPr>
      <w:r>
        <w:rPr>
          <w:rFonts w:ascii="Arial" w:cs="Arial" w:eastAsia="Arial" w:hAnsi="Arial"/>
          <w:sz w:val="18"/>
          <w:szCs w:val="18"/>
          <w:color w:val="auto"/>
        </w:rPr>
        <w:t>Purchases of long-term investments, including PIK, for the three months ended December 31, 2013 and 2012 totaled $230.2 million and $172.5 million, respectively. Sales and repayments of long-term investments for the three months ended December 31, 2013 and 2012 totaled $144.0 million and $110.8 million, respectively.</w:t>
      </w:r>
    </w:p>
    <w:p>
      <w:pPr>
        <w:spacing w:after="0" w:line="18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Investments and cash equivalents consisted of the following:</w:t>
      </w:r>
    </w:p>
    <w:p>
      <w:pPr>
        <w:spacing w:after="0" w:line="244" w:lineRule="exact"/>
        <w:rPr>
          <w:sz w:val="20"/>
          <w:szCs w:val="20"/>
          <w:color w:val="auto"/>
        </w:rPr>
      </w:pPr>
    </w:p>
    <w:tbl>
      <w:tblPr>
        <w:tblLayout w:type="fixed"/>
        <w:tblInd w:w="460" w:type="dxa"/>
        <w:tblCellMar>
          <w:top w:w="0" w:type="dxa"/>
          <w:left w:w="0" w:type="dxa"/>
          <w:bottom w:w="0" w:type="dxa"/>
          <w:right w:w="0" w:type="dxa"/>
        </w:tblCellMar>
      </w:tblPr>
      <w:tr>
        <w:trPr>
          <w:trHeight w:val="171"/>
        </w:trPr>
        <w:tc>
          <w:tcPr>
            <w:tcW w:w="38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Investment Classification</w:t>
            </w: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560" w:type="dxa"/>
            <w:vAlign w:val="bottom"/>
            <w:gridSpan w:val="4"/>
          </w:tcPr>
          <w:p>
            <w:pPr>
              <w:jc w:val="right"/>
              <w:ind w:right="672"/>
              <w:spacing w:after="0"/>
              <w:rPr>
                <w:sz w:val="20"/>
                <w:szCs w:val="20"/>
                <w:color w:val="auto"/>
              </w:rPr>
            </w:pPr>
            <w:r>
              <w:rPr>
                <w:rFonts w:ascii="Arial" w:cs="Arial" w:eastAsia="Arial" w:hAnsi="Arial"/>
                <w:sz w:val="14"/>
                <w:szCs w:val="14"/>
                <w:b w:val="1"/>
                <w:bCs w:val="1"/>
                <w:color w:val="auto"/>
              </w:rPr>
              <w:t>December 31, 2013</w:t>
            </w: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60" w:type="dxa"/>
            <w:vAlign w:val="bottom"/>
            <w:gridSpan w:val="5"/>
          </w:tcPr>
          <w:p>
            <w:pPr>
              <w:ind w:left="640"/>
              <w:spacing w:after="0"/>
              <w:rPr>
                <w:sz w:val="20"/>
                <w:szCs w:val="20"/>
                <w:color w:val="auto"/>
              </w:rPr>
            </w:pPr>
            <w:r>
              <w:rPr>
                <w:rFonts w:ascii="Arial" w:cs="Arial" w:eastAsia="Arial" w:hAnsi="Arial"/>
                <w:sz w:val="14"/>
                <w:szCs w:val="14"/>
                <w:b w:val="1"/>
                <w:bCs w:val="1"/>
                <w:color w:val="auto"/>
              </w:rPr>
              <w:t>September 30, 2013</w:t>
            </w:r>
          </w:p>
        </w:tc>
        <w:tc>
          <w:tcPr>
            <w:tcW w:w="0" w:type="dxa"/>
            <w:vAlign w:val="bottom"/>
          </w:tcPr>
          <w:p>
            <w:pPr>
              <w:spacing w:after="0"/>
              <w:rPr>
                <w:sz w:val="1"/>
                <w:szCs w:val="1"/>
                <w:color w:val="auto"/>
              </w:rPr>
            </w:pPr>
          </w:p>
        </w:tc>
      </w:tr>
      <w:tr>
        <w:trPr>
          <w:trHeight w:val="142"/>
        </w:trPr>
        <w:tc>
          <w:tcPr>
            <w:tcW w:w="3880" w:type="dxa"/>
            <w:vAlign w:val="bottom"/>
            <w:gridSpan w:val="2"/>
            <w:vMerge w:val="continue"/>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040" w:type="dxa"/>
            <w:vAlign w:val="bottom"/>
            <w:tcBorders>
              <w:top w:val="single" w:sz="8" w:color="auto"/>
            </w:tcBorders>
          </w:tcPr>
          <w:p>
            <w:pPr>
              <w:jc w:val="right"/>
              <w:ind w:right="333"/>
              <w:spacing w:after="0" w:line="142" w:lineRule="exact"/>
              <w:rPr>
                <w:sz w:val="20"/>
                <w:szCs w:val="20"/>
                <w:color w:val="auto"/>
              </w:rPr>
            </w:pPr>
            <w:r>
              <w:rPr>
                <w:rFonts w:ascii="Arial" w:cs="Arial" w:eastAsia="Arial" w:hAnsi="Arial"/>
                <w:sz w:val="14"/>
                <w:szCs w:val="14"/>
                <w:b w:val="1"/>
                <w:bCs w:val="1"/>
                <w:color w:val="auto"/>
              </w:rPr>
              <w:t>Cost</w:t>
            </w:r>
          </w:p>
        </w:tc>
        <w:tc>
          <w:tcPr>
            <w:tcW w:w="38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040" w:type="dxa"/>
            <w:vAlign w:val="bottom"/>
            <w:tcBorders>
              <w:top w:val="single" w:sz="8" w:color="auto"/>
            </w:tcBorders>
          </w:tcPr>
          <w:p>
            <w:pPr>
              <w:jc w:val="right"/>
              <w:ind w:right="172"/>
              <w:spacing w:after="0" w:line="142" w:lineRule="exact"/>
              <w:rPr>
                <w:sz w:val="20"/>
                <w:szCs w:val="20"/>
                <w:color w:val="auto"/>
              </w:rPr>
            </w:pPr>
            <w:r>
              <w:rPr>
                <w:rFonts w:ascii="Arial" w:cs="Arial" w:eastAsia="Arial" w:hAnsi="Arial"/>
                <w:sz w:val="14"/>
                <w:szCs w:val="14"/>
                <w:b w:val="1"/>
                <w:bCs w:val="1"/>
                <w:color w:val="auto"/>
              </w:rPr>
              <w:t>Fair Value</w:t>
            </w:r>
          </w:p>
        </w:tc>
        <w:tc>
          <w:tcPr>
            <w:tcW w:w="38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040" w:type="dxa"/>
            <w:vAlign w:val="bottom"/>
            <w:tcBorders>
              <w:top w:val="single" w:sz="8" w:color="auto"/>
            </w:tcBorders>
          </w:tcPr>
          <w:p>
            <w:pPr>
              <w:jc w:val="right"/>
              <w:ind w:right="334"/>
              <w:spacing w:after="0" w:line="142" w:lineRule="exact"/>
              <w:rPr>
                <w:sz w:val="20"/>
                <w:szCs w:val="20"/>
                <w:color w:val="auto"/>
              </w:rPr>
            </w:pPr>
            <w:r>
              <w:rPr>
                <w:rFonts w:ascii="Arial" w:cs="Arial" w:eastAsia="Arial" w:hAnsi="Arial"/>
                <w:sz w:val="14"/>
                <w:szCs w:val="14"/>
                <w:b w:val="1"/>
                <w:bCs w:val="1"/>
                <w:color w:val="auto"/>
              </w:rPr>
              <w:t>Cost</w:t>
            </w:r>
          </w:p>
        </w:tc>
        <w:tc>
          <w:tcPr>
            <w:tcW w:w="38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040" w:type="dxa"/>
            <w:vAlign w:val="bottom"/>
            <w:tcBorders>
              <w:top w:val="single" w:sz="8" w:color="auto"/>
            </w:tcBorders>
          </w:tcPr>
          <w:p>
            <w:pPr>
              <w:jc w:val="right"/>
              <w:ind w:right="172"/>
              <w:spacing w:after="0" w:line="142" w:lineRule="exact"/>
              <w:rPr>
                <w:sz w:val="20"/>
                <w:szCs w:val="20"/>
                <w:color w:val="auto"/>
              </w:rPr>
            </w:pPr>
            <w:r>
              <w:rPr>
                <w:rFonts w:ascii="Arial" w:cs="Arial" w:eastAsia="Arial" w:hAnsi="Arial"/>
                <w:sz w:val="14"/>
                <w:szCs w:val="14"/>
                <w:b w:val="1"/>
                <w:bCs w:val="1"/>
                <w:color w:val="auto"/>
              </w:rPr>
              <w:t>Fair Value</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15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First lien</w:t>
            </w:r>
          </w:p>
        </w:tc>
        <w:tc>
          <w:tcPr>
            <w:tcW w:w="232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308,561,458</w:t>
            </w:r>
          </w:p>
        </w:tc>
        <w:tc>
          <w:tcPr>
            <w:tcW w:w="3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320,577,150</w:t>
            </w:r>
          </w:p>
        </w:tc>
        <w:tc>
          <w:tcPr>
            <w:tcW w:w="3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290,000,430</w:t>
            </w:r>
          </w:p>
        </w:tc>
        <w:tc>
          <w:tcPr>
            <w:tcW w:w="3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299,516,291</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80" w:type="dxa"/>
            <w:vAlign w:val="bottom"/>
            <w:gridSpan w:val="2"/>
          </w:tcPr>
          <w:p>
            <w:pPr>
              <w:spacing w:after="0"/>
              <w:rPr>
                <w:sz w:val="20"/>
                <w:szCs w:val="20"/>
                <w:color w:val="auto"/>
              </w:rPr>
            </w:pPr>
            <w:r>
              <w:rPr>
                <w:rFonts w:ascii="Arial" w:cs="Arial" w:eastAsia="Arial" w:hAnsi="Arial"/>
                <w:sz w:val="18"/>
                <w:szCs w:val="18"/>
                <w:color w:val="auto"/>
              </w:rPr>
              <w:t>Second lien</w:t>
            </w: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402,232,830</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w w:val="99"/>
              </w:rPr>
              <w:t>409,863,369</w:t>
            </w: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346,717,448</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357,543,217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Subordinated debt / corporate notes</w:t>
            </w: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345,376,465</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350,764,976</w:t>
            </w: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311,240,637</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302,447,308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80" w:type="dxa"/>
            <w:vAlign w:val="bottom"/>
            <w:gridSpan w:val="2"/>
          </w:tcPr>
          <w:p>
            <w:pPr>
              <w:spacing w:after="0"/>
              <w:rPr>
                <w:sz w:val="20"/>
                <w:szCs w:val="20"/>
                <w:color w:val="auto"/>
              </w:rPr>
            </w:pPr>
            <w:r>
              <w:rPr>
                <w:rFonts w:ascii="Arial" w:cs="Arial" w:eastAsia="Arial" w:hAnsi="Arial"/>
                <w:sz w:val="18"/>
                <w:szCs w:val="18"/>
                <w:color w:val="auto"/>
              </w:rPr>
              <w:t>Preferred equity and partnership interests</w:t>
            </w: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65,617,029</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11,608,207</w:t>
            </w: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65,943,244</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12,830,669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Common equity and partnership interests</w:t>
            </w:r>
          </w:p>
        </w:tc>
        <w:tc>
          <w:tcPr>
            <w:tcW w:w="6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86,099,247</w:t>
            </w:r>
          </w:p>
        </w:tc>
        <w:tc>
          <w:tcPr>
            <w:tcW w:w="3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116,467,720</w:t>
            </w:r>
          </w:p>
        </w:tc>
        <w:tc>
          <w:tcPr>
            <w:tcW w:w="38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77,616,126</w:t>
            </w:r>
          </w:p>
        </w:tc>
        <w:tc>
          <w:tcPr>
            <w:tcW w:w="3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105,838,068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880" w:type="dxa"/>
            <w:vAlign w:val="bottom"/>
            <w:gridSpan w:val="2"/>
          </w:tcPr>
          <w:p>
            <w:pPr>
              <w:spacing w:after="0"/>
              <w:rPr>
                <w:sz w:val="20"/>
                <w:szCs w:val="20"/>
                <w:color w:val="auto"/>
              </w:rPr>
            </w:pPr>
            <w:r>
              <w:rPr>
                <w:rFonts w:ascii="Arial" w:cs="Arial" w:eastAsia="Arial" w:hAnsi="Arial"/>
                <w:sz w:val="18"/>
                <w:szCs w:val="18"/>
                <w:color w:val="auto"/>
              </w:rPr>
              <w:t>Total investments</w:t>
            </w: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w w:val="88"/>
              </w:rPr>
              <w:t>1,207,887,029</w:t>
            </w: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w w:val="86"/>
              </w:rPr>
              <w:t>1,209,281,422</w:t>
            </w:r>
          </w:p>
        </w:tc>
        <w:tc>
          <w:tcPr>
            <w:tcW w:w="3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w w:val="88"/>
              </w:rPr>
              <w:t>1,091,517,885</w:t>
            </w: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w w:val="88"/>
              </w:rPr>
              <w:t>1,078,175,553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6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30,803,635</w:t>
            </w:r>
          </w:p>
        </w:tc>
        <w:tc>
          <w:tcPr>
            <w:tcW w:w="3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30,803,635</w:t>
            </w:r>
          </w:p>
        </w:tc>
        <w:tc>
          <w:tcPr>
            <w:tcW w:w="38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58,440,829</w:t>
            </w:r>
          </w:p>
        </w:tc>
        <w:tc>
          <w:tcPr>
            <w:tcW w:w="3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58,440,829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880" w:type="dxa"/>
            <w:vAlign w:val="bottom"/>
            <w:gridSpan w:val="2"/>
          </w:tcPr>
          <w:p>
            <w:pPr>
              <w:spacing w:after="0"/>
              <w:rPr>
                <w:sz w:val="20"/>
                <w:szCs w:val="20"/>
                <w:color w:val="auto"/>
              </w:rPr>
            </w:pPr>
            <w:r>
              <w:rPr>
                <w:rFonts w:ascii="Arial" w:cs="Arial" w:eastAsia="Arial" w:hAnsi="Arial"/>
                <w:sz w:val="18"/>
                <w:szCs w:val="18"/>
                <w:color w:val="auto"/>
              </w:rPr>
              <w:t>Total investments, cash and cash equivalents</w:t>
            </w:r>
          </w:p>
        </w:tc>
        <w:tc>
          <w:tcPr>
            <w:tcW w:w="68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8"/>
              </w:rPr>
              <w:t>1,238,690,664</w:t>
            </w:r>
          </w:p>
        </w:tc>
        <w:tc>
          <w:tcPr>
            <w:tcW w:w="38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1,240,085,057</w:t>
            </w:r>
          </w:p>
        </w:tc>
        <w:tc>
          <w:tcPr>
            <w:tcW w:w="380" w:type="dxa"/>
            <w:vAlign w:val="bottom"/>
          </w:tcPr>
          <w:p>
            <w:pPr>
              <w:spacing w:after="0"/>
              <w:rPr>
                <w:sz w:val="19"/>
                <w:szCs w:val="19"/>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8"/>
              </w:rPr>
              <w:t>1,149,958,714</w:t>
            </w:r>
          </w:p>
        </w:tc>
        <w:tc>
          <w:tcPr>
            <w:tcW w:w="38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8"/>
              </w:rPr>
              <w:t>1,136,616,382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56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156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jc w:val="right"/>
              <w:ind w:right="353"/>
              <w:spacing w:after="0"/>
              <w:rPr>
                <w:sz w:val="20"/>
                <w:szCs w:val="20"/>
                <w:color w:val="auto"/>
              </w:rPr>
            </w:pPr>
            <w:r>
              <w:rPr>
                <w:rFonts w:ascii="Arial" w:cs="Arial" w:eastAsia="Arial" w:hAnsi="Arial"/>
                <w:sz w:val="18"/>
                <w:szCs w:val="18"/>
                <w:color w:val="auto"/>
              </w:rPr>
              <w:t>20</w:t>
            </w: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80"/>
          </w:cols>
          <w:pgMar w:left="320" w:top="459" w:right="39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left="420" w:right="2620"/>
        <w:spacing w:after="0" w:line="257" w:lineRule="auto"/>
        <w:rPr>
          <w:sz w:val="20"/>
          <w:szCs w:val="20"/>
          <w:color w:val="auto"/>
        </w:rPr>
      </w:pPr>
      <w:r>
        <w:rPr>
          <w:rFonts w:ascii="Arial" w:cs="Arial" w:eastAsia="Arial" w:hAnsi="Arial"/>
          <w:sz w:val="18"/>
          <w:szCs w:val="18"/>
          <w:b w:val="1"/>
          <w:bCs w:val="1"/>
          <w:color w:val="auto"/>
        </w:rPr>
        <w:t>PENNANTPARK INVESTMENT CORPORATION AND SUBSIDIARIES NOTES TO CONSOLIDATED FINANCIAL STATEMENTS – (Continued) DECEMBER 31, 2013</w:t>
      </w:r>
    </w:p>
    <w:p>
      <w:pPr>
        <w:spacing w:after="0" w:line="1"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(Unaudited)</w:t>
      </w:r>
    </w:p>
    <w:p>
      <w:pPr>
        <w:spacing w:after="0" w:line="143" w:lineRule="exact"/>
        <w:rPr>
          <w:sz w:val="20"/>
          <w:szCs w:val="20"/>
          <w:color w:val="auto"/>
        </w:rPr>
      </w:pPr>
    </w:p>
    <w:p>
      <w:pPr>
        <w:ind w:firstLine="449"/>
        <w:spacing w:after="0" w:line="277" w:lineRule="auto"/>
        <w:rPr>
          <w:sz w:val="20"/>
          <w:szCs w:val="20"/>
          <w:color w:val="auto"/>
        </w:rPr>
      </w:pPr>
      <w:r>
        <w:rPr>
          <w:rFonts w:ascii="Arial" w:cs="Arial" w:eastAsia="Arial" w:hAnsi="Arial"/>
          <w:sz w:val="18"/>
          <w:szCs w:val="18"/>
          <w:color w:val="auto"/>
        </w:rPr>
        <w:t>The table below describes investments by industry classification and enumerates the percentage, by fair value, of the total portfolio assets (excluding cash equivalents) in such industries as of:</w:t>
      </w:r>
    </w:p>
    <w:p>
      <w:pPr>
        <w:spacing w:after="0" w:line="189" w:lineRule="exact"/>
        <w:rPr>
          <w:sz w:val="20"/>
          <w:szCs w:val="20"/>
          <w:color w:val="auto"/>
        </w:rPr>
      </w:pPr>
    </w:p>
    <w:tbl>
      <w:tblPr>
        <w:tblLayout w:type="fixed"/>
        <w:tblInd w:w="1360" w:type="dxa"/>
        <w:tblCellMar>
          <w:top w:w="0" w:type="dxa"/>
          <w:left w:w="0" w:type="dxa"/>
          <w:bottom w:w="0" w:type="dxa"/>
          <w:right w:w="0" w:type="dxa"/>
        </w:tblCellMar>
      </w:tblPr>
      <w:tr>
        <w:trPr>
          <w:trHeight w:val="185"/>
        </w:trPr>
        <w:tc>
          <w:tcPr>
            <w:tcW w:w="5620" w:type="dxa"/>
            <w:vAlign w:val="bottom"/>
            <w:gridSpan w:val="2"/>
          </w:tcPr>
          <w:p>
            <w:pPr>
              <w:spacing w:after="0"/>
              <w:rPr>
                <w:sz w:val="20"/>
                <w:szCs w:val="20"/>
                <w:color w:val="auto"/>
              </w:rPr>
            </w:pPr>
            <w:r>
              <w:rPr>
                <w:rFonts w:ascii="Arial" w:cs="Arial" w:eastAsia="Arial" w:hAnsi="Arial"/>
                <w:sz w:val="14"/>
                <w:szCs w:val="14"/>
                <w:b w:val="1"/>
                <w:bCs w:val="1"/>
                <w:color w:val="auto"/>
              </w:rPr>
              <w:t>Industry Classification</w:t>
            </w:r>
          </w:p>
        </w:tc>
        <w:tc>
          <w:tcPr>
            <w:tcW w:w="150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w w:val="90"/>
              </w:rPr>
              <w:t>December 31, 2013</w:t>
            </w:r>
          </w:p>
        </w:tc>
        <w:tc>
          <w:tcPr>
            <w:tcW w:w="140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90"/>
              </w:rPr>
              <w:t>September 30, 2013</w:t>
            </w:r>
          </w:p>
        </w:tc>
        <w:tc>
          <w:tcPr>
            <w:tcW w:w="0" w:type="dxa"/>
            <w:vAlign w:val="bottom"/>
          </w:tcPr>
          <w:p>
            <w:pPr>
              <w:spacing w:after="0"/>
              <w:rPr>
                <w:sz w:val="1"/>
                <w:szCs w:val="1"/>
                <w:color w:val="auto"/>
              </w:rPr>
            </w:pPr>
          </w:p>
        </w:tc>
      </w:tr>
      <w:tr>
        <w:trPr>
          <w:trHeight w:val="20"/>
        </w:trPr>
        <w:tc>
          <w:tcPr>
            <w:tcW w:w="1400" w:type="dxa"/>
            <w:vAlign w:val="bottom"/>
            <w:shd w:val="clear" w:color="auto" w:fill="000000"/>
          </w:tcPr>
          <w:p>
            <w:pPr>
              <w:spacing w:after="0" w:line="20" w:lineRule="exact"/>
              <w:rPr>
                <w:sz w:val="1"/>
                <w:szCs w:val="1"/>
                <w:color w:val="auto"/>
              </w:rPr>
            </w:pPr>
          </w:p>
        </w:tc>
        <w:tc>
          <w:tcPr>
            <w:tcW w:w="4220" w:type="dxa"/>
            <w:vAlign w:val="bottom"/>
            <w:vMerge w:val="restart"/>
            <w:shd w:val="clear" w:color="auto" w:fill="CCEEFF"/>
          </w:tcPr>
          <w:p>
            <w:pPr>
              <w:ind w:left="20"/>
              <w:spacing w:after="0"/>
              <w:rPr>
                <w:sz w:val="20"/>
                <w:szCs w:val="20"/>
                <w:color w:val="auto"/>
              </w:rPr>
            </w:pPr>
            <w:r>
              <w:rPr>
                <w:rFonts w:ascii="Arial" w:cs="Arial" w:eastAsia="Arial" w:hAnsi="Arial"/>
                <w:sz w:val="18"/>
                <w:szCs w:val="18"/>
                <w:color w:val="auto"/>
              </w:rPr>
              <w:t>Miscellaneous Services</w:t>
            </w:r>
          </w:p>
        </w:tc>
        <w:tc>
          <w:tcPr>
            <w:tcW w:w="1160" w:type="dxa"/>
            <w:vAlign w:val="bottom"/>
            <w:shd w:val="clear" w:color="auto" w:fill="000000"/>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400" w:type="dxa"/>
            <w:vAlign w:val="bottom"/>
            <w:shd w:val="clear" w:color="auto" w:fill="CCEEFF"/>
          </w:tcPr>
          <w:p>
            <w:pPr>
              <w:spacing w:after="0"/>
              <w:rPr>
                <w:sz w:val="20"/>
                <w:szCs w:val="20"/>
                <w:color w:val="auto"/>
              </w:rPr>
            </w:pPr>
            <w:r>
              <w:rPr>
                <w:rFonts w:ascii="Arial" w:cs="Arial" w:eastAsia="Arial" w:hAnsi="Arial"/>
                <w:sz w:val="18"/>
                <w:szCs w:val="18"/>
                <w:color w:val="auto"/>
                <w:w w:val="87"/>
              </w:rPr>
              <w:t>Personal, Food and</w:t>
            </w:r>
          </w:p>
        </w:tc>
        <w:tc>
          <w:tcPr>
            <w:tcW w:w="4220" w:type="dxa"/>
            <w:vAlign w:val="bottom"/>
            <w:vMerge w:val="continue"/>
            <w:shd w:val="clear" w:color="auto" w:fill="CCEEFF"/>
          </w:tcPr>
          <w:p>
            <w:pPr>
              <w:spacing w:after="0"/>
              <w:rPr>
                <w:sz w:val="18"/>
                <w:szCs w:val="18"/>
                <w:color w:val="auto"/>
              </w:rPr>
            </w:pPr>
          </w:p>
        </w:tc>
        <w:tc>
          <w:tcPr>
            <w:tcW w:w="15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9%</w:t>
            </w:r>
          </w:p>
        </w:tc>
        <w:tc>
          <w:tcPr>
            <w:tcW w:w="14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6"/>
        </w:trPr>
        <w:tc>
          <w:tcPr>
            <w:tcW w:w="5620" w:type="dxa"/>
            <w:vAlign w:val="bottom"/>
            <w:gridSpan w:val="2"/>
          </w:tcPr>
          <w:p>
            <w:pPr>
              <w:spacing w:after="0"/>
              <w:rPr>
                <w:sz w:val="20"/>
                <w:szCs w:val="20"/>
                <w:color w:val="auto"/>
              </w:rPr>
            </w:pPr>
            <w:r>
              <w:rPr>
                <w:rFonts w:ascii="Arial" w:cs="Arial" w:eastAsia="Arial" w:hAnsi="Arial"/>
                <w:sz w:val="18"/>
                <w:szCs w:val="18"/>
                <w:color w:val="auto"/>
              </w:rPr>
              <w:t>Business Services</w:t>
            </w:r>
          </w:p>
        </w:tc>
        <w:tc>
          <w:tcPr>
            <w:tcW w:w="1500" w:type="dxa"/>
            <w:vAlign w:val="bottom"/>
            <w:gridSpan w:val="2"/>
          </w:tcPr>
          <w:p>
            <w:pPr>
              <w:jc w:val="right"/>
              <w:ind w:right="340"/>
              <w:spacing w:after="0"/>
              <w:rPr>
                <w:sz w:val="20"/>
                <w:szCs w:val="20"/>
                <w:color w:val="auto"/>
              </w:rPr>
            </w:pPr>
            <w:r>
              <w:rPr>
                <w:rFonts w:ascii="Arial" w:cs="Arial" w:eastAsia="Arial" w:hAnsi="Arial"/>
                <w:sz w:val="18"/>
                <w:szCs w:val="18"/>
                <w:color w:val="auto"/>
              </w:rPr>
              <w:t>8</w:t>
            </w:r>
          </w:p>
        </w:tc>
        <w:tc>
          <w:tcPr>
            <w:tcW w:w="1400" w:type="dxa"/>
            <w:vAlign w:val="bottom"/>
            <w:gridSpan w:val="2"/>
          </w:tcPr>
          <w:p>
            <w:pPr>
              <w:jc w:val="right"/>
              <w:ind w:right="20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6"/>
        </w:trPr>
        <w:tc>
          <w:tcPr>
            <w:tcW w:w="5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Oil and Gas</w:t>
            </w:r>
          </w:p>
        </w:tc>
        <w:tc>
          <w:tcPr>
            <w:tcW w:w="15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8</w:t>
            </w:r>
          </w:p>
        </w:tc>
        <w:tc>
          <w:tcPr>
            <w:tcW w:w="14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5620" w:type="dxa"/>
            <w:vAlign w:val="bottom"/>
            <w:gridSpan w:val="2"/>
          </w:tcPr>
          <w:p>
            <w:pPr>
              <w:spacing w:after="0"/>
              <w:rPr>
                <w:sz w:val="20"/>
                <w:szCs w:val="20"/>
                <w:color w:val="auto"/>
              </w:rPr>
            </w:pPr>
            <w:r>
              <w:rPr>
                <w:rFonts w:ascii="Arial" w:cs="Arial" w:eastAsia="Arial" w:hAnsi="Arial"/>
                <w:sz w:val="18"/>
                <w:szCs w:val="18"/>
                <w:color w:val="auto"/>
              </w:rPr>
              <w:t>Printing and Publishing</w:t>
            </w:r>
          </w:p>
        </w:tc>
        <w:tc>
          <w:tcPr>
            <w:tcW w:w="1500" w:type="dxa"/>
            <w:vAlign w:val="bottom"/>
            <w:gridSpan w:val="2"/>
          </w:tcPr>
          <w:p>
            <w:pPr>
              <w:jc w:val="right"/>
              <w:ind w:right="340"/>
              <w:spacing w:after="0"/>
              <w:rPr>
                <w:sz w:val="20"/>
                <w:szCs w:val="20"/>
                <w:color w:val="auto"/>
              </w:rPr>
            </w:pPr>
            <w:r>
              <w:rPr>
                <w:rFonts w:ascii="Arial" w:cs="Arial" w:eastAsia="Arial" w:hAnsi="Arial"/>
                <w:sz w:val="18"/>
                <w:szCs w:val="18"/>
                <w:color w:val="auto"/>
              </w:rPr>
              <w:t>8</w:t>
            </w:r>
          </w:p>
        </w:tc>
        <w:tc>
          <w:tcPr>
            <w:tcW w:w="1400" w:type="dxa"/>
            <w:vAlign w:val="bottom"/>
            <w:gridSpan w:val="2"/>
          </w:tcPr>
          <w:p>
            <w:pPr>
              <w:jc w:val="right"/>
              <w:ind w:right="20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16"/>
        </w:trPr>
        <w:tc>
          <w:tcPr>
            <w:tcW w:w="5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Consumer Products</w:t>
            </w:r>
          </w:p>
        </w:tc>
        <w:tc>
          <w:tcPr>
            <w:tcW w:w="15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6</w:t>
            </w:r>
          </w:p>
        </w:tc>
        <w:tc>
          <w:tcPr>
            <w:tcW w:w="14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5620" w:type="dxa"/>
            <w:vAlign w:val="bottom"/>
            <w:gridSpan w:val="2"/>
          </w:tcPr>
          <w:p>
            <w:pPr>
              <w:spacing w:after="0"/>
              <w:rPr>
                <w:sz w:val="20"/>
                <w:szCs w:val="20"/>
                <w:color w:val="auto"/>
              </w:rPr>
            </w:pPr>
            <w:r>
              <w:rPr>
                <w:rFonts w:ascii="Arial" w:cs="Arial" w:eastAsia="Arial" w:hAnsi="Arial"/>
                <w:sz w:val="18"/>
                <w:szCs w:val="18"/>
                <w:color w:val="auto"/>
              </w:rPr>
              <w:t>Electronics</w:t>
            </w:r>
          </w:p>
        </w:tc>
        <w:tc>
          <w:tcPr>
            <w:tcW w:w="1500" w:type="dxa"/>
            <w:vAlign w:val="bottom"/>
            <w:gridSpan w:val="2"/>
          </w:tcPr>
          <w:p>
            <w:pPr>
              <w:jc w:val="right"/>
              <w:ind w:right="340"/>
              <w:spacing w:after="0"/>
              <w:rPr>
                <w:sz w:val="20"/>
                <w:szCs w:val="20"/>
                <w:color w:val="auto"/>
              </w:rPr>
            </w:pPr>
            <w:r>
              <w:rPr>
                <w:rFonts w:ascii="Arial" w:cs="Arial" w:eastAsia="Arial" w:hAnsi="Arial"/>
                <w:sz w:val="18"/>
                <w:szCs w:val="18"/>
                <w:color w:val="auto"/>
              </w:rPr>
              <w:t>6</w:t>
            </w:r>
          </w:p>
        </w:tc>
        <w:tc>
          <w:tcPr>
            <w:tcW w:w="1400" w:type="dxa"/>
            <w:vAlign w:val="bottom"/>
            <w:gridSpan w:val="2"/>
          </w:tcPr>
          <w:p>
            <w:pPr>
              <w:jc w:val="right"/>
              <w:ind w:right="20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6"/>
        </w:trPr>
        <w:tc>
          <w:tcPr>
            <w:tcW w:w="5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Healthcare, Education and Childcare</w:t>
            </w:r>
          </w:p>
        </w:tc>
        <w:tc>
          <w:tcPr>
            <w:tcW w:w="15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6</w:t>
            </w:r>
          </w:p>
        </w:tc>
        <w:tc>
          <w:tcPr>
            <w:tcW w:w="14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5620" w:type="dxa"/>
            <w:vAlign w:val="bottom"/>
            <w:gridSpan w:val="2"/>
          </w:tcPr>
          <w:p>
            <w:pPr>
              <w:spacing w:after="0"/>
              <w:rPr>
                <w:sz w:val="20"/>
                <w:szCs w:val="20"/>
                <w:color w:val="auto"/>
              </w:rPr>
            </w:pPr>
            <w:r>
              <w:rPr>
                <w:rFonts w:ascii="Arial" w:cs="Arial" w:eastAsia="Arial" w:hAnsi="Arial"/>
                <w:sz w:val="18"/>
                <w:szCs w:val="18"/>
                <w:color w:val="auto"/>
              </w:rPr>
              <w:t>Chemicals, Plastics and Rubber</w:t>
            </w:r>
          </w:p>
        </w:tc>
        <w:tc>
          <w:tcPr>
            <w:tcW w:w="1500" w:type="dxa"/>
            <w:vAlign w:val="bottom"/>
            <w:gridSpan w:val="2"/>
          </w:tcPr>
          <w:p>
            <w:pPr>
              <w:jc w:val="right"/>
              <w:ind w:right="340"/>
              <w:spacing w:after="0"/>
              <w:rPr>
                <w:sz w:val="20"/>
                <w:szCs w:val="20"/>
                <w:color w:val="auto"/>
              </w:rPr>
            </w:pPr>
            <w:r>
              <w:rPr>
                <w:rFonts w:ascii="Arial" w:cs="Arial" w:eastAsia="Arial" w:hAnsi="Arial"/>
                <w:sz w:val="18"/>
                <w:szCs w:val="18"/>
                <w:color w:val="auto"/>
              </w:rPr>
              <w:t>5</w:t>
            </w:r>
          </w:p>
        </w:tc>
        <w:tc>
          <w:tcPr>
            <w:tcW w:w="1400" w:type="dxa"/>
            <w:vAlign w:val="bottom"/>
            <w:gridSpan w:val="2"/>
          </w:tcPr>
          <w:p>
            <w:pPr>
              <w:jc w:val="right"/>
              <w:ind w:right="20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5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Auto Sector</w:t>
            </w:r>
          </w:p>
        </w:tc>
        <w:tc>
          <w:tcPr>
            <w:tcW w:w="15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4</w:t>
            </w:r>
          </w:p>
        </w:tc>
        <w:tc>
          <w:tcPr>
            <w:tcW w:w="14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5620" w:type="dxa"/>
            <w:vAlign w:val="bottom"/>
            <w:gridSpan w:val="2"/>
          </w:tcPr>
          <w:p>
            <w:pPr>
              <w:spacing w:after="0"/>
              <w:rPr>
                <w:sz w:val="20"/>
                <w:szCs w:val="20"/>
                <w:color w:val="auto"/>
              </w:rPr>
            </w:pPr>
            <w:r>
              <w:rPr>
                <w:rFonts w:ascii="Arial" w:cs="Arial" w:eastAsia="Arial" w:hAnsi="Arial"/>
                <w:sz w:val="18"/>
                <w:szCs w:val="18"/>
                <w:color w:val="auto"/>
              </w:rPr>
              <w:t>Energy/Utilities</w:t>
            </w:r>
          </w:p>
        </w:tc>
        <w:tc>
          <w:tcPr>
            <w:tcW w:w="1500" w:type="dxa"/>
            <w:vAlign w:val="bottom"/>
            <w:gridSpan w:val="2"/>
          </w:tcPr>
          <w:p>
            <w:pPr>
              <w:jc w:val="right"/>
              <w:ind w:right="340"/>
              <w:spacing w:after="0"/>
              <w:rPr>
                <w:sz w:val="20"/>
                <w:szCs w:val="20"/>
                <w:color w:val="auto"/>
              </w:rPr>
            </w:pPr>
            <w:r>
              <w:rPr>
                <w:rFonts w:ascii="Arial" w:cs="Arial" w:eastAsia="Arial" w:hAnsi="Arial"/>
                <w:sz w:val="18"/>
                <w:szCs w:val="18"/>
                <w:color w:val="auto"/>
              </w:rPr>
              <w:t>4</w:t>
            </w:r>
          </w:p>
        </w:tc>
        <w:tc>
          <w:tcPr>
            <w:tcW w:w="1400" w:type="dxa"/>
            <w:vAlign w:val="bottom"/>
            <w:gridSpan w:val="2"/>
          </w:tcPr>
          <w:p>
            <w:pPr>
              <w:jc w:val="right"/>
              <w:ind w:right="20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5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Hotels, Motels, Inns and Gaming</w:t>
            </w:r>
          </w:p>
        </w:tc>
        <w:tc>
          <w:tcPr>
            <w:tcW w:w="15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4</w:t>
            </w:r>
          </w:p>
        </w:tc>
        <w:tc>
          <w:tcPr>
            <w:tcW w:w="14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6"/>
        </w:trPr>
        <w:tc>
          <w:tcPr>
            <w:tcW w:w="5620" w:type="dxa"/>
            <w:vAlign w:val="bottom"/>
            <w:gridSpan w:val="2"/>
          </w:tcPr>
          <w:p>
            <w:pPr>
              <w:spacing w:after="0"/>
              <w:rPr>
                <w:sz w:val="20"/>
                <w:szCs w:val="20"/>
                <w:color w:val="auto"/>
              </w:rPr>
            </w:pPr>
            <w:r>
              <w:rPr>
                <w:rFonts w:ascii="Arial" w:cs="Arial" w:eastAsia="Arial" w:hAnsi="Arial"/>
                <w:sz w:val="18"/>
                <w:szCs w:val="18"/>
                <w:color w:val="auto"/>
              </w:rPr>
              <w:t>Insurance</w:t>
            </w:r>
          </w:p>
        </w:tc>
        <w:tc>
          <w:tcPr>
            <w:tcW w:w="1500" w:type="dxa"/>
            <w:vAlign w:val="bottom"/>
            <w:gridSpan w:val="2"/>
          </w:tcPr>
          <w:p>
            <w:pPr>
              <w:jc w:val="right"/>
              <w:ind w:right="340"/>
              <w:spacing w:after="0"/>
              <w:rPr>
                <w:sz w:val="20"/>
                <w:szCs w:val="20"/>
                <w:color w:val="auto"/>
              </w:rPr>
            </w:pPr>
            <w:r>
              <w:rPr>
                <w:rFonts w:ascii="Arial" w:cs="Arial" w:eastAsia="Arial" w:hAnsi="Arial"/>
                <w:sz w:val="18"/>
                <w:szCs w:val="18"/>
                <w:color w:val="auto"/>
              </w:rPr>
              <w:t>4</w:t>
            </w:r>
          </w:p>
        </w:tc>
        <w:tc>
          <w:tcPr>
            <w:tcW w:w="1400" w:type="dxa"/>
            <w:vAlign w:val="bottom"/>
            <w:gridSpan w:val="2"/>
          </w:tcPr>
          <w:p>
            <w:pPr>
              <w:jc w:val="right"/>
              <w:ind w:right="20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5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Media</w:t>
            </w:r>
          </w:p>
        </w:tc>
        <w:tc>
          <w:tcPr>
            <w:tcW w:w="15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4</w:t>
            </w:r>
          </w:p>
        </w:tc>
        <w:tc>
          <w:tcPr>
            <w:tcW w:w="14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620" w:type="dxa"/>
            <w:vAlign w:val="bottom"/>
            <w:gridSpan w:val="2"/>
          </w:tcPr>
          <w:p>
            <w:pPr>
              <w:spacing w:after="0"/>
              <w:rPr>
                <w:sz w:val="20"/>
                <w:szCs w:val="20"/>
                <w:color w:val="auto"/>
              </w:rPr>
            </w:pPr>
            <w:r>
              <w:rPr>
                <w:rFonts w:ascii="Arial" w:cs="Arial" w:eastAsia="Arial" w:hAnsi="Arial"/>
                <w:sz w:val="18"/>
                <w:szCs w:val="18"/>
                <w:color w:val="auto"/>
              </w:rPr>
              <w:t>Buildings Materials</w:t>
            </w:r>
          </w:p>
        </w:tc>
        <w:tc>
          <w:tcPr>
            <w:tcW w:w="1500" w:type="dxa"/>
            <w:vAlign w:val="bottom"/>
            <w:gridSpan w:val="2"/>
          </w:tcPr>
          <w:p>
            <w:pPr>
              <w:jc w:val="right"/>
              <w:ind w:right="340"/>
              <w:spacing w:after="0"/>
              <w:rPr>
                <w:sz w:val="20"/>
                <w:szCs w:val="20"/>
                <w:color w:val="auto"/>
              </w:rPr>
            </w:pPr>
            <w:r>
              <w:rPr>
                <w:rFonts w:ascii="Arial" w:cs="Arial" w:eastAsia="Arial" w:hAnsi="Arial"/>
                <w:sz w:val="18"/>
                <w:szCs w:val="18"/>
                <w:color w:val="auto"/>
              </w:rPr>
              <w:t>3</w:t>
            </w:r>
          </w:p>
        </w:tc>
        <w:tc>
          <w:tcPr>
            <w:tcW w:w="14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Communication</w:t>
            </w:r>
          </w:p>
        </w:tc>
        <w:tc>
          <w:tcPr>
            <w:tcW w:w="15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w:t>
            </w:r>
          </w:p>
        </w:tc>
        <w:tc>
          <w:tcPr>
            <w:tcW w:w="14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5620" w:type="dxa"/>
            <w:vAlign w:val="bottom"/>
            <w:gridSpan w:val="2"/>
          </w:tcPr>
          <w:p>
            <w:pPr>
              <w:spacing w:after="0"/>
              <w:rPr>
                <w:sz w:val="20"/>
                <w:szCs w:val="20"/>
                <w:color w:val="auto"/>
              </w:rPr>
            </w:pPr>
            <w:r>
              <w:rPr>
                <w:rFonts w:ascii="Arial" w:cs="Arial" w:eastAsia="Arial" w:hAnsi="Arial"/>
                <w:sz w:val="18"/>
                <w:szCs w:val="18"/>
                <w:color w:val="auto"/>
              </w:rPr>
              <w:t>Environmental Services</w:t>
            </w:r>
          </w:p>
        </w:tc>
        <w:tc>
          <w:tcPr>
            <w:tcW w:w="1500" w:type="dxa"/>
            <w:vAlign w:val="bottom"/>
            <w:gridSpan w:val="2"/>
          </w:tcPr>
          <w:p>
            <w:pPr>
              <w:jc w:val="right"/>
              <w:ind w:right="340"/>
              <w:spacing w:after="0"/>
              <w:rPr>
                <w:sz w:val="20"/>
                <w:szCs w:val="20"/>
                <w:color w:val="auto"/>
              </w:rPr>
            </w:pPr>
            <w:r>
              <w:rPr>
                <w:rFonts w:ascii="Arial" w:cs="Arial" w:eastAsia="Arial" w:hAnsi="Arial"/>
                <w:sz w:val="18"/>
                <w:szCs w:val="18"/>
                <w:color w:val="auto"/>
              </w:rPr>
              <w:t>3</w:t>
            </w:r>
          </w:p>
        </w:tc>
        <w:tc>
          <w:tcPr>
            <w:tcW w:w="1400" w:type="dxa"/>
            <w:vAlign w:val="bottom"/>
            <w:gridSpan w:val="2"/>
          </w:tcPr>
          <w:p>
            <w:pPr>
              <w:jc w:val="right"/>
              <w:ind w:right="20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5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Media</w:t>
            </w:r>
          </w:p>
        </w:tc>
        <w:tc>
          <w:tcPr>
            <w:tcW w:w="15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w:t>
            </w:r>
          </w:p>
        </w:tc>
        <w:tc>
          <w:tcPr>
            <w:tcW w:w="14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5620" w:type="dxa"/>
            <w:vAlign w:val="bottom"/>
            <w:gridSpan w:val="2"/>
          </w:tcPr>
          <w:p>
            <w:pPr>
              <w:spacing w:after="0"/>
              <w:rPr>
                <w:sz w:val="20"/>
                <w:szCs w:val="20"/>
                <w:color w:val="auto"/>
              </w:rPr>
            </w:pPr>
            <w:r>
              <w:rPr>
                <w:rFonts w:ascii="Arial" w:cs="Arial" w:eastAsia="Arial" w:hAnsi="Arial"/>
                <w:sz w:val="18"/>
                <w:szCs w:val="18"/>
                <w:color w:val="auto"/>
              </w:rPr>
              <w:t>Distribution</w:t>
            </w:r>
          </w:p>
        </w:tc>
        <w:tc>
          <w:tcPr>
            <w:tcW w:w="1500" w:type="dxa"/>
            <w:vAlign w:val="bottom"/>
            <w:gridSpan w:val="2"/>
          </w:tcPr>
          <w:p>
            <w:pPr>
              <w:jc w:val="right"/>
              <w:ind w:right="340"/>
              <w:spacing w:after="0"/>
              <w:rPr>
                <w:sz w:val="20"/>
                <w:szCs w:val="20"/>
                <w:color w:val="auto"/>
              </w:rPr>
            </w:pPr>
            <w:r>
              <w:rPr>
                <w:rFonts w:ascii="Arial" w:cs="Arial" w:eastAsia="Arial" w:hAnsi="Arial"/>
                <w:sz w:val="18"/>
                <w:szCs w:val="18"/>
                <w:color w:val="auto"/>
              </w:rPr>
              <w:t>2</w:t>
            </w:r>
          </w:p>
        </w:tc>
        <w:tc>
          <w:tcPr>
            <w:tcW w:w="1400" w:type="dxa"/>
            <w:vAlign w:val="bottom"/>
            <w:gridSpan w:val="2"/>
          </w:tcPr>
          <w:p>
            <w:pPr>
              <w:jc w:val="right"/>
              <w:ind w:right="20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5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Diversified Natural Resources, Precious Metals and Minerals</w:t>
            </w:r>
          </w:p>
        </w:tc>
        <w:tc>
          <w:tcPr>
            <w:tcW w:w="15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w:t>
            </w:r>
          </w:p>
        </w:tc>
        <w:tc>
          <w:tcPr>
            <w:tcW w:w="14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5620" w:type="dxa"/>
            <w:vAlign w:val="bottom"/>
            <w:gridSpan w:val="2"/>
          </w:tcPr>
          <w:p>
            <w:pPr>
              <w:spacing w:after="0"/>
              <w:rPr>
                <w:sz w:val="20"/>
                <w:szCs w:val="20"/>
                <w:color w:val="auto"/>
              </w:rPr>
            </w:pPr>
            <w:r>
              <w:rPr>
                <w:rFonts w:ascii="Arial" w:cs="Arial" w:eastAsia="Arial" w:hAnsi="Arial"/>
                <w:sz w:val="18"/>
                <w:szCs w:val="18"/>
                <w:color w:val="auto"/>
              </w:rPr>
              <w:t>Financial Services</w:t>
            </w:r>
          </w:p>
        </w:tc>
        <w:tc>
          <w:tcPr>
            <w:tcW w:w="1500" w:type="dxa"/>
            <w:vAlign w:val="bottom"/>
            <w:gridSpan w:val="2"/>
          </w:tcPr>
          <w:p>
            <w:pPr>
              <w:jc w:val="right"/>
              <w:ind w:right="340"/>
              <w:spacing w:after="0"/>
              <w:rPr>
                <w:sz w:val="20"/>
                <w:szCs w:val="20"/>
                <w:color w:val="auto"/>
              </w:rPr>
            </w:pPr>
            <w:r>
              <w:rPr>
                <w:rFonts w:ascii="Arial" w:cs="Arial" w:eastAsia="Arial" w:hAnsi="Arial"/>
                <w:sz w:val="18"/>
                <w:szCs w:val="18"/>
                <w:color w:val="auto"/>
              </w:rPr>
              <w:t>2</w:t>
            </w:r>
          </w:p>
        </w:tc>
        <w:tc>
          <w:tcPr>
            <w:tcW w:w="14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Mining, Steel, Iron and Non-Precious Metals</w:t>
            </w:r>
          </w:p>
        </w:tc>
        <w:tc>
          <w:tcPr>
            <w:tcW w:w="15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w:t>
            </w:r>
          </w:p>
        </w:tc>
        <w:tc>
          <w:tcPr>
            <w:tcW w:w="14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5620" w:type="dxa"/>
            <w:vAlign w:val="bottom"/>
            <w:gridSpan w:val="2"/>
          </w:tcPr>
          <w:p>
            <w:pPr>
              <w:spacing w:after="0"/>
              <w:rPr>
                <w:sz w:val="20"/>
                <w:szCs w:val="20"/>
                <w:color w:val="auto"/>
              </w:rPr>
            </w:pPr>
            <w:r>
              <w:rPr>
                <w:rFonts w:ascii="Arial" w:cs="Arial" w:eastAsia="Arial" w:hAnsi="Arial"/>
                <w:sz w:val="18"/>
                <w:szCs w:val="18"/>
                <w:color w:val="auto"/>
              </w:rPr>
              <w:t>Retail</w:t>
            </w:r>
          </w:p>
        </w:tc>
        <w:tc>
          <w:tcPr>
            <w:tcW w:w="1500" w:type="dxa"/>
            <w:vAlign w:val="bottom"/>
            <w:gridSpan w:val="2"/>
          </w:tcPr>
          <w:p>
            <w:pPr>
              <w:jc w:val="right"/>
              <w:ind w:right="340"/>
              <w:spacing w:after="0"/>
              <w:rPr>
                <w:sz w:val="20"/>
                <w:szCs w:val="20"/>
                <w:color w:val="auto"/>
              </w:rPr>
            </w:pPr>
            <w:r>
              <w:rPr>
                <w:rFonts w:ascii="Arial" w:cs="Arial" w:eastAsia="Arial" w:hAnsi="Arial"/>
                <w:sz w:val="18"/>
                <w:szCs w:val="18"/>
                <w:color w:val="auto"/>
              </w:rPr>
              <w:t>1</w:t>
            </w:r>
          </w:p>
        </w:tc>
        <w:tc>
          <w:tcPr>
            <w:tcW w:w="14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Cargo Transport</w:t>
            </w:r>
          </w:p>
        </w:tc>
        <w:tc>
          <w:tcPr>
            <w:tcW w:w="15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5620" w:type="dxa"/>
            <w:vAlign w:val="bottom"/>
            <w:gridSpan w:val="2"/>
          </w:tcPr>
          <w:p>
            <w:pPr>
              <w:spacing w:after="0"/>
              <w:rPr>
                <w:sz w:val="20"/>
                <w:szCs w:val="20"/>
                <w:color w:val="auto"/>
              </w:rPr>
            </w:pPr>
            <w:r>
              <w:rPr>
                <w:rFonts w:ascii="Arial" w:cs="Arial" w:eastAsia="Arial" w:hAnsi="Arial"/>
                <w:sz w:val="18"/>
                <w:szCs w:val="18"/>
                <w:color w:val="auto"/>
              </w:rPr>
              <w:t>Other</w:t>
            </w:r>
          </w:p>
        </w:tc>
        <w:tc>
          <w:tcPr>
            <w:tcW w:w="1500" w:type="dxa"/>
            <w:vAlign w:val="bottom"/>
            <w:gridSpan w:val="2"/>
          </w:tcPr>
          <w:p>
            <w:pPr>
              <w:jc w:val="right"/>
              <w:ind w:right="340"/>
              <w:spacing w:after="0"/>
              <w:rPr>
                <w:sz w:val="20"/>
                <w:szCs w:val="20"/>
                <w:color w:val="auto"/>
              </w:rPr>
            </w:pPr>
            <w:r>
              <w:rPr>
                <w:rFonts w:ascii="Arial" w:cs="Arial" w:eastAsia="Arial" w:hAnsi="Arial"/>
                <w:sz w:val="18"/>
                <w:szCs w:val="18"/>
                <w:color w:val="auto"/>
              </w:rPr>
              <w:t>4</w:t>
            </w:r>
          </w:p>
        </w:tc>
        <w:tc>
          <w:tcPr>
            <w:tcW w:w="1400" w:type="dxa"/>
            <w:vAlign w:val="bottom"/>
            <w:gridSpan w:val="2"/>
          </w:tcPr>
          <w:p>
            <w:pPr>
              <w:jc w:val="right"/>
              <w:ind w:right="20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7"/>
        </w:trPr>
        <w:tc>
          <w:tcPr>
            <w:tcW w:w="1400" w:type="dxa"/>
            <w:vAlign w:val="bottom"/>
          </w:tcPr>
          <w:p>
            <w:pPr>
              <w:spacing w:after="0"/>
              <w:rPr>
                <w:sz w:val="2"/>
                <w:szCs w:val="2"/>
                <w:color w:val="auto"/>
              </w:rPr>
            </w:pPr>
          </w:p>
        </w:tc>
        <w:tc>
          <w:tcPr>
            <w:tcW w:w="4220" w:type="dxa"/>
            <w:vAlign w:val="bottom"/>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2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15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100%</w:t>
            </w:r>
          </w:p>
        </w:tc>
        <w:tc>
          <w:tcPr>
            <w:tcW w:w="14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0"/>
        </w:trPr>
        <w:tc>
          <w:tcPr>
            <w:tcW w:w="1400" w:type="dxa"/>
            <w:vAlign w:val="bottom"/>
          </w:tcPr>
          <w:p>
            <w:pPr>
              <w:spacing w:after="0" w:line="20" w:lineRule="exact"/>
              <w:rPr>
                <w:sz w:val="1"/>
                <w:szCs w:val="1"/>
                <w:color w:val="auto"/>
              </w:rPr>
            </w:pPr>
          </w:p>
        </w:tc>
        <w:tc>
          <w:tcPr>
            <w:tcW w:w="422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FAIR VALUE OF FINANCIAL INSTRUMENTS</w:t>
      </w:r>
    </w:p>
    <w:p>
      <w:pPr>
        <w:spacing w:after="0" w:line="121" w:lineRule="exact"/>
        <w:rPr>
          <w:sz w:val="20"/>
          <w:szCs w:val="20"/>
          <w:color w:val="auto"/>
        </w:rPr>
      </w:pPr>
    </w:p>
    <w:p>
      <w:pPr>
        <w:ind w:firstLine="449"/>
        <w:spacing w:after="0" w:line="254" w:lineRule="auto"/>
        <w:rPr>
          <w:sz w:val="20"/>
          <w:szCs w:val="20"/>
          <w:color w:val="auto"/>
        </w:rPr>
      </w:pPr>
      <w:r>
        <w:rPr>
          <w:rFonts w:ascii="Arial" w:cs="Arial" w:eastAsia="Arial" w:hAnsi="Arial"/>
          <w:sz w:val="18"/>
          <w:szCs w:val="18"/>
          <w:color w:val="auto"/>
        </w:rPr>
        <w:t>Fair value, as defined under ASC 820, is the price that we would receive upon selling an investment or pay to transfer a liability in an orderly transaction to a market participant in the principal or most advantageous market for the investment or liability. ASC 820 emphasizes that valuation techniques maximize the use of observable market inputs and minimize the use of unobservable inputs. Inputs refer broadly to the assumptions that market participants would use in pricing an asset or liability, including assumptions about risk. Inputs may be observable or unobservable. Observable inputs reflect the assumptions market participants would use in pricing an asset or liability based on market data obtained from sources independent of us. Unobservable inputs reflect the assumptions market participants would use in pricing an asset or liability based on the best information available to us on the reporting period date.</w:t>
      </w:r>
    </w:p>
    <w:p>
      <w:pPr>
        <w:spacing w:after="0" w:line="19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ASC 820 classifies the inputs used to measure these fair values into the following hierarchies:</w:t>
      </w:r>
    </w:p>
    <w:p>
      <w:pPr>
        <w:spacing w:after="0" w:line="131" w:lineRule="exact"/>
        <w:rPr>
          <w:sz w:val="20"/>
          <w:szCs w:val="20"/>
          <w:color w:val="auto"/>
        </w:rPr>
      </w:pPr>
    </w:p>
    <w:p>
      <w:pPr>
        <w:ind w:left="1180" w:right="720" w:hanging="728"/>
        <w:spacing w:after="0" w:line="277" w:lineRule="auto"/>
        <w:rPr>
          <w:sz w:val="20"/>
          <w:szCs w:val="20"/>
          <w:color w:val="auto"/>
        </w:rPr>
      </w:pPr>
      <w:r>
        <w:rPr>
          <w:rFonts w:ascii="Arial" w:cs="Arial" w:eastAsia="Arial" w:hAnsi="Arial"/>
          <w:sz w:val="18"/>
          <w:szCs w:val="18"/>
          <w:color w:val="auto"/>
        </w:rPr>
        <w:t>Level 1: Inputs that are quoted prices (unadjusted) in active markets for identical assets or liabilities, accessible by us at the measurement date.</w:t>
      </w:r>
    </w:p>
    <w:p>
      <w:pPr>
        <w:spacing w:after="0" w:line="62" w:lineRule="exact"/>
        <w:rPr>
          <w:sz w:val="20"/>
          <w:szCs w:val="20"/>
          <w:color w:val="auto"/>
        </w:rPr>
      </w:pPr>
    </w:p>
    <w:p>
      <w:pPr>
        <w:ind w:left="1180" w:right="540" w:hanging="728"/>
        <w:spacing w:after="0" w:line="263" w:lineRule="auto"/>
        <w:rPr>
          <w:sz w:val="20"/>
          <w:szCs w:val="20"/>
          <w:color w:val="auto"/>
        </w:rPr>
      </w:pPr>
      <w:r>
        <w:rPr>
          <w:rFonts w:ascii="Arial" w:cs="Arial" w:eastAsia="Arial" w:hAnsi="Arial"/>
          <w:sz w:val="18"/>
          <w:szCs w:val="18"/>
          <w:color w:val="auto"/>
        </w:rPr>
        <w:t>Level 2: Inputs that are quoted prices for similar assets or liabilities in active markets, or that are quoted prices for identical or similar assets or liabilities in markets that are not active and inputs that are observable for the asset or liability, either directly or indirectly, for substantially the full term, if applicable, of the financial instrument.</w:t>
      </w:r>
    </w:p>
    <w:p>
      <w:pPr>
        <w:spacing w:after="0" w:line="76" w:lineRule="exact"/>
        <w:rPr>
          <w:sz w:val="20"/>
          <w:szCs w:val="20"/>
          <w:color w:val="auto"/>
        </w:rPr>
      </w:pPr>
    </w:p>
    <w:p>
      <w:pPr>
        <w:ind w:left="1180" w:right="560" w:hanging="728"/>
        <w:spacing w:after="0" w:line="277" w:lineRule="auto"/>
        <w:rPr>
          <w:sz w:val="20"/>
          <w:szCs w:val="20"/>
          <w:color w:val="auto"/>
        </w:rPr>
      </w:pPr>
      <w:r>
        <w:rPr>
          <w:rFonts w:ascii="Arial" w:cs="Arial" w:eastAsia="Arial" w:hAnsi="Arial"/>
          <w:sz w:val="18"/>
          <w:szCs w:val="18"/>
          <w:color w:val="auto"/>
        </w:rPr>
        <w:t>Level 3: Inputs that are unobservable for an asset or liability because they are based on our own assumptions about how market participants would price the asset or liability.</w:t>
      </w:r>
    </w:p>
    <w:p>
      <w:pPr>
        <w:spacing w:after="0" w:line="10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160"/>
          </w:cols>
          <w:pgMar w:left="320" w:top="459" w:right="41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left="340" w:right="2700"/>
        <w:spacing w:after="0" w:line="257" w:lineRule="auto"/>
        <w:rPr>
          <w:sz w:val="20"/>
          <w:szCs w:val="20"/>
          <w:color w:val="auto"/>
        </w:rPr>
      </w:pPr>
      <w:r>
        <w:rPr>
          <w:rFonts w:ascii="Arial" w:cs="Arial" w:eastAsia="Arial" w:hAnsi="Arial"/>
          <w:sz w:val="18"/>
          <w:szCs w:val="18"/>
          <w:b w:val="1"/>
          <w:bCs w:val="1"/>
          <w:color w:val="auto"/>
        </w:rPr>
        <w:t>PENNANTPARK INVESTMENT CORPORATION AND SUBSIDIARIES NOTES TO CONSOLIDATED FINANCIAL STATEMENTS – (Continued) DECEMBER 31, 2013</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143" w:lineRule="exact"/>
        <w:rPr>
          <w:sz w:val="20"/>
          <w:szCs w:val="20"/>
          <w:color w:val="auto"/>
        </w:rPr>
      </w:pPr>
    </w:p>
    <w:p>
      <w:pPr>
        <w:ind w:right="60" w:firstLine="449"/>
        <w:spacing w:after="0" w:line="259" w:lineRule="auto"/>
        <w:rPr>
          <w:sz w:val="20"/>
          <w:szCs w:val="20"/>
          <w:color w:val="auto"/>
        </w:rPr>
      </w:pPr>
      <w:r>
        <w:rPr>
          <w:rFonts w:ascii="Arial" w:cs="Arial" w:eastAsia="Arial" w:hAnsi="Arial"/>
          <w:sz w:val="18"/>
          <w:szCs w:val="18"/>
          <w:color w:val="auto"/>
        </w:rPr>
        <w:t>A financial instrument’s categorization within the valuation hierarchy is based upon the lowest level of input that is significant to the fair value measurement. Generally, most of our investments and Credit Facility are classified as Level 3. Due to the inherent uncertainty of determining the fair value of investments that do not have a readily available market value, the price used in an actual transaction may be different than our valuation and those differences may be material.</w:t>
      </w:r>
    </w:p>
    <w:p>
      <w:pPr>
        <w:spacing w:after="0" w:line="187" w:lineRule="exact"/>
        <w:rPr>
          <w:sz w:val="20"/>
          <w:szCs w:val="20"/>
          <w:color w:val="auto"/>
        </w:rPr>
      </w:pPr>
    </w:p>
    <w:p>
      <w:pPr>
        <w:ind w:right="60" w:firstLine="449"/>
        <w:spacing w:after="0" w:line="255" w:lineRule="auto"/>
        <w:rPr>
          <w:sz w:val="20"/>
          <w:szCs w:val="20"/>
          <w:color w:val="auto"/>
        </w:rPr>
      </w:pPr>
      <w:r>
        <w:rPr>
          <w:rFonts w:ascii="Arial" w:cs="Arial" w:eastAsia="Arial" w:hAnsi="Arial"/>
          <w:sz w:val="18"/>
          <w:szCs w:val="18"/>
          <w:color w:val="auto"/>
        </w:rPr>
        <w:t>The inputs into the determination of fair value may require significant management judgment or estimation. Even if observable market data are available, such information may be the result of consensus pricing information or broker quotes which include a disclaimer that the broker would not be held to such a price in an actual transaction. The non-binding nature of consensus pricing and/or quotes accompanied by disclaimer would result in classification as Level 3 information, assuming no additional corroborating evidence was available. Corroborating evidence that would result in classifying these non-binding broker/dealer bids as a Level 2 asset includes observable market-based transactions for the same or similar assets or other relevant observable market-based inputs that may be used in pricing an asset.</w:t>
      </w:r>
    </w:p>
    <w:p>
      <w:pPr>
        <w:spacing w:after="0" w:line="192" w:lineRule="exact"/>
        <w:rPr>
          <w:sz w:val="20"/>
          <w:szCs w:val="20"/>
          <w:color w:val="auto"/>
        </w:rPr>
      </w:pPr>
    </w:p>
    <w:p>
      <w:pPr>
        <w:ind w:right="60" w:firstLine="449"/>
        <w:spacing w:after="0" w:line="289" w:lineRule="auto"/>
        <w:rPr>
          <w:sz w:val="20"/>
          <w:szCs w:val="20"/>
          <w:color w:val="auto"/>
        </w:rPr>
      </w:pPr>
      <w:r>
        <w:rPr>
          <w:rFonts w:ascii="Arial" w:cs="Arial" w:eastAsia="Arial" w:hAnsi="Arial"/>
          <w:sz w:val="16"/>
          <w:szCs w:val="16"/>
          <w:color w:val="auto"/>
        </w:rPr>
        <w:t>Our investments are generally structured as debt and equity investments in the form of senior secured loans, mezzanine debt and equity co-investments. The transaction price, excluding transaction costs, is typically the best estimate of fair value at inception. When evidence supports a subsequent change to the carrying value from the original transaction price, adjustments are made to reflect the expected exit values. Ongoing reviews by our Investment Adviser and independent valuation firms are based on an assessment of each underlying investment, incorporating valuations that consider the evaluation of financing and sale transactions with third parties, expected cash flows and market-based information including comparable transactions, performance multiples and yields, among other factors. Within our fair value hierarchy table, our investments are generally categorized as first lien, second lien, subordinated debt and preferred and common equity investments. The companies in which we invest are typically highly leveraged, and, in most cases, are not rated by national rating agencies. If such companies were rated, we believe that they would typically receive a rating below investment grade (between BB and CCC under the Standard &amp; Poor’s system) from the national rating agencies.</w:t>
      </w:r>
    </w:p>
    <w:p>
      <w:pPr>
        <w:spacing w:after="0" w:line="166" w:lineRule="exact"/>
        <w:rPr>
          <w:sz w:val="20"/>
          <w:szCs w:val="20"/>
          <w:color w:val="auto"/>
        </w:rPr>
      </w:pPr>
    </w:p>
    <w:p>
      <w:pPr>
        <w:ind w:right="120" w:firstLine="449"/>
        <w:spacing w:after="0" w:line="296" w:lineRule="auto"/>
        <w:rPr>
          <w:sz w:val="20"/>
          <w:szCs w:val="20"/>
          <w:color w:val="auto"/>
        </w:rPr>
      </w:pPr>
      <w:r>
        <w:rPr>
          <w:rFonts w:ascii="Arial" w:cs="Arial" w:eastAsia="Arial" w:hAnsi="Arial"/>
          <w:sz w:val="16"/>
          <w:szCs w:val="16"/>
          <w:color w:val="auto"/>
        </w:rPr>
        <w:t>A review of fair value hierarchy classifications is conducted on a quarterly basis. Changes in our ability to observe valuation inputs may result in a reclassification for certain financial assets or liabilities. Reclassifications impacting Level 3 of the fair value hierarchy are reported as transfers in or out of the Level 3 category as of the end of the quarter in which the reclassifications occur. During the three months ended December 31, 2013, our ability to observe valuation inputs has resulted in no reclassification of assets between any levels. During the three months ended December 31, 2012, our ability to observe valuation inputs resulted in one reclassification of assets between Level 3 to 2 with no other reclassification between levels.</w:t>
      </w:r>
    </w:p>
    <w:p>
      <w:pPr>
        <w:spacing w:after="0" w:line="161" w:lineRule="exact"/>
        <w:rPr>
          <w:sz w:val="20"/>
          <w:szCs w:val="20"/>
          <w:color w:val="auto"/>
        </w:rPr>
      </w:pPr>
    </w:p>
    <w:p>
      <w:pPr>
        <w:ind w:right="60" w:firstLine="449"/>
        <w:spacing w:after="0" w:line="263" w:lineRule="auto"/>
        <w:rPr>
          <w:sz w:val="20"/>
          <w:szCs w:val="20"/>
          <w:color w:val="auto"/>
        </w:rPr>
      </w:pPr>
      <w:r>
        <w:rPr>
          <w:rFonts w:ascii="Arial" w:cs="Arial" w:eastAsia="Arial" w:hAnsi="Arial"/>
          <w:sz w:val="18"/>
          <w:szCs w:val="18"/>
          <w:color w:val="auto"/>
        </w:rPr>
        <w:t>In addition to using the above inputs in cash equivalents, investments, the 2025 Notes and our long-term Credit Facility valuations, we employ the valuation policy approved by our board of directors that is consistent with ASC 820. Consistent with our valuation policy, we evaluate the source of inputs, including any markets in which our investments are trading, in determining fair value. See Note 2.</w:t>
      </w:r>
    </w:p>
    <w:p>
      <w:pPr>
        <w:spacing w:after="0" w:line="184" w:lineRule="exact"/>
        <w:rPr>
          <w:sz w:val="20"/>
          <w:szCs w:val="20"/>
          <w:color w:val="auto"/>
        </w:rPr>
      </w:pPr>
    </w:p>
    <w:p>
      <w:pPr>
        <w:ind w:right="20" w:firstLine="449"/>
        <w:spacing w:after="0" w:line="257" w:lineRule="auto"/>
        <w:rPr>
          <w:sz w:val="20"/>
          <w:szCs w:val="20"/>
          <w:color w:val="auto"/>
        </w:rPr>
      </w:pPr>
      <w:r>
        <w:rPr>
          <w:rFonts w:ascii="Arial" w:cs="Arial" w:eastAsia="Arial" w:hAnsi="Arial"/>
          <w:sz w:val="18"/>
          <w:szCs w:val="18"/>
          <w:color w:val="auto"/>
        </w:rPr>
        <w:t>As outlined in the table below, some of our Level 3 investments using a market approach valuation technique are valued using the average of the bids from brokers or dealers. The bids include a disclaimer, may not have corroborating evidence and may be the result of consensus pricing. The Investment Adviser assesses the source and reliability of bids from brokers or dealers. If the board of directors has a bona fide reason to believe any such bids do not reflect the fair value on an investment, it may independently value such investment by using the valuation procedure that it uses with respect to assets for which market quotations are not readily available.</w:t>
      </w:r>
    </w:p>
    <w:p>
      <w:pPr>
        <w:spacing w:after="0" w:line="188" w:lineRule="exact"/>
        <w:rPr>
          <w:sz w:val="20"/>
          <w:szCs w:val="20"/>
          <w:color w:val="auto"/>
        </w:rPr>
      </w:pPr>
    </w:p>
    <w:p>
      <w:pPr>
        <w:ind w:firstLine="449"/>
        <w:spacing w:after="0" w:line="269" w:lineRule="auto"/>
        <w:rPr>
          <w:sz w:val="20"/>
          <w:szCs w:val="20"/>
          <w:color w:val="auto"/>
        </w:rPr>
      </w:pPr>
      <w:r>
        <w:rPr>
          <w:rFonts w:ascii="Arial" w:cs="Arial" w:eastAsia="Arial" w:hAnsi="Arial"/>
          <w:sz w:val="17"/>
          <w:szCs w:val="17"/>
          <w:color w:val="auto"/>
        </w:rPr>
        <w:t>The remainder of our portfolio, including our long-term Credit Facility, classified as Level 3, was valued using a market comparable or an enterprise market value technique. With respect to investments for which there is no readily available market value, the factors that the board of directors may take into account in pricing our investments at fair value include, as relevant, the nature and realizable value of any collateral, the portfolio company’s ability to make payments, its earnings and discounted cash flow, the markets in which the portfolio company does business, comparison to publicly traded securities and other relevant factors. When an external event such as a purchase transaction, public offering or subsequent equity sale occurs, the pricing indicated by the external event is used to corroborate the valuation. When using earnings multiples to value a portfolio company, the multiple used requires the use of judgment and estimates in determining how a market participant would price such an asset. Generally, the sensitivity of unobservable inputs or combination of inputs such as industry comparable companies, market outlook, consistency, discount rates and reliability of earnings and prospects for growth, or lack thereof, affects the multiple used in pricing an investment. As a result, any change in any one of those factors may have a significant impact on the valuation of an investment.</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240"/>
          </w:cols>
          <w:pgMar w:left="320" w:top="459" w:right="33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left="2560" w:right="480"/>
        <w:spacing w:after="0" w:line="257" w:lineRule="auto"/>
        <w:rPr>
          <w:sz w:val="20"/>
          <w:szCs w:val="20"/>
          <w:color w:val="auto"/>
        </w:rPr>
      </w:pPr>
      <w:r>
        <w:rPr>
          <w:rFonts w:ascii="Arial" w:cs="Arial" w:eastAsia="Arial" w:hAnsi="Arial"/>
          <w:sz w:val="18"/>
          <w:szCs w:val="18"/>
          <w:b w:val="1"/>
          <w:bCs w:val="1"/>
          <w:color w:val="auto"/>
        </w:rPr>
        <w:t>PENNANTPARK INVESTMENT CORPORATION AND SUBSIDIARIES NOTES TO CONSOLIDATED FINANCIAL STATEMENTS – (Continued) DECEMBER 31, 2013</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Our Level 3 valuations techniques, unobservable inputs and ranges were categorized as follows for ASC 820 purposes:</w:t>
      </w:r>
    </w:p>
    <w:p>
      <w:pPr>
        <w:sectPr>
          <w:pgSz w:w="11900" w:h="16838" w:orient="portrait"/>
          <w:cols w:equalWidth="0" w:num="1">
            <w:col w:w="11240"/>
          </w:cols>
          <w:pgMar w:left="320" w:top="459" w:right="339" w:bottom="1440" w:gutter="0" w:footer="0" w:header="0"/>
        </w:sectPr>
      </w:pP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14"/>
          <w:szCs w:val="14"/>
          <w:b w:val="1"/>
          <w:bCs w:val="1"/>
          <w:u w:val="single" w:color="auto"/>
          <w:color w:val="auto"/>
        </w:rPr>
        <w:t>Asset Category</w:t>
      </w:r>
    </w:p>
    <w:p>
      <w:pPr>
        <w:spacing w:after="0" w:line="17" w:lineRule="exact"/>
        <w:rPr>
          <w:sz w:val="20"/>
          <w:szCs w:val="20"/>
          <w:color w:val="auto"/>
        </w:rPr>
      </w:pPr>
    </w:p>
    <w:p>
      <w:pPr>
        <w:spacing w:after="0"/>
        <w:rPr>
          <w:sz w:val="20"/>
          <w:szCs w:val="20"/>
          <w:color w:val="auto"/>
        </w:rPr>
      </w:pPr>
      <w:r>
        <w:rPr>
          <w:rFonts w:ascii="Arial" w:cs="Arial" w:eastAsia="Arial" w:hAnsi="Arial"/>
          <w:sz w:val="12"/>
          <w:szCs w:val="12"/>
          <w:color w:val="auto"/>
        </w:rPr>
        <w:t>First lien, second lien, subordinated debt/corporate notes</w:t>
      </w:r>
    </w:p>
    <w:p>
      <w:pPr>
        <w:spacing w:after="0" w:line="24" w:lineRule="exact"/>
        <w:rPr>
          <w:sz w:val="20"/>
          <w:szCs w:val="20"/>
          <w:color w:val="auto"/>
        </w:rPr>
      </w:pPr>
    </w:p>
    <w:p>
      <w:pPr>
        <w:spacing w:after="0"/>
        <w:rPr>
          <w:sz w:val="20"/>
          <w:szCs w:val="20"/>
          <w:color w:val="auto"/>
        </w:rPr>
      </w:pPr>
      <w:r>
        <w:rPr>
          <w:rFonts w:ascii="Arial" w:cs="Arial" w:eastAsia="Arial" w:hAnsi="Arial"/>
          <w:sz w:val="12"/>
          <w:szCs w:val="12"/>
          <w:color w:val="auto"/>
        </w:rPr>
        <w:t>First lien, second lien, subordinated debt/corporate notes</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Preferred and common equity</w:t>
      </w:r>
    </w:p>
    <w:p>
      <w:pPr>
        <w:spacing w:after="0" w:line="20" w:lineRule="exact"/>
        <w:rPr>
          <w:sz w:val="20"/>
          <w:szCs w:val="20"/>
          <w:color w:val="auto"/>
        </w:rPr>
      </w:pPr>
      <w:r>
        <w:rPr>
          <w:sz w:val="20"/>
          <w:szCs w:val="20"/>
          <w:color w:val="auto"/>
        </w:rPr>
        <w:br w:type="column"/>
      </w:r>
    </w:p>
    <w:p>
      <w:pPr>
        <w:spacing w:after="0" w:line="23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120" w:type="dxa"/>
            <w:vAlign w:val="bottom"/>
          </w:tcPr>
          <w:p>
            <w:pPr>
              <w:spacing w:after="0"/>
              <w:rPr>
                <w:sz w:val="14"/>
                <w:szCs w:val="14"/>
                <w:color w:val="auto"/>
              </w:rPr>
            </w:pPr>
          </w:p>
        </w:tc>
        <w:tc>
          <w:tcPr>
            <w:tcW w:w="124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Fair Value at</w:t>
            </w:r>
          </w:p>
        </w:tc>
        <w:tc>
          <w:tcPr>
            <w:tcW w:w="1540" w:type="dxa"/>
            <w:vAlign w:val="bottom"/>
            <w:gridSpan w:val="2"/>
            <w:vMerge w:val="restart"/>
          </w:tcPr>
          <w:p>
            <w:pPr>
              <w:jc w:val="center"/>
              <w:ind w:right="80"/>
              <w:spacing w:after="0"/>
              <w:rPr>
                <w:sz w:val="20"/>
                <w:szCs w:val="20"/>
                <w:color w:val="auto"/>
              </w:rPr>
            </w:pPr>
            <w:r>
              <w:rPr>
                <w:rFonts w:ascii="Arial" w:cs="Arial" w:eastAsia="Arial" w:hAnsi="Arial"/>
                <w:sz w:val="14"/>
                <w:szCs w:val="14"/>
                <w:b w:val="1"/>
                <w:bCs w:val="1"/>
                <w:color w:val="auto"/>
                <w:w w:val="91"/>
              </w:rPr>
              <w:t>Valuation Technique</w:t>
            </w:r>
          </w:p>
        </w:tc>
        <w:tc>
          <w:tcPr>
            <w:tcW w:w="162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4"/>
              </w:rPr>
              <w:t>Unobservable Input</w:t>
            </w:r>
          </w:p>
        </w:tc>
        <w:tc>
          <w:tcPr>
            <w:tcW w:w="1440" w:type="dxa"/>
            <w:vAlign w:val="bottom"/>
          </w:tcPr>
          <w:p>
            <w:pPr>
              <w:jc w:val="center"/>
              <w:spacing w:after="0"/>
              <w:rPr>
                <w:sz w:val="20"/>
                <w:szCs w:val="20"/>
                <w:color w:val="auto"/>
              </w:rPr>
            </w:pPr>
            <w:r>
              <w:rPr>
                <w:rFonts w:ascii="Arial" w:cs="Arial" w:eastAsia="Arial" w:hAnsi="Arial"/>
                <w:sz w:val="14"/>
                <w:szCs w:val="14"/>
                <w:b w:val="1"/>
                <w:bCs w:val="1"/>
                <w:color w:val="auto"/>
                <w:w w:val="93"/>
              </w:rPr>
              <w:t>Range of Input</w:t>
            </w:r>
          </w:p>
        </w:tc>
        <w:tc>
          <w:tcPr>
            <w:tcW w:w="0" w:type="dxa"/>
            <w:vAlign w:val="bottom"/>
          </w:tcPr>
          <w:p>
            <w:pPr>
              <w:spacing w:after="0"/>
              <w:rPr>
                <w:sz w:val="1"/>
                <w:szCs w:val="1"/>
                <w:color w:val="auto"/>
              </w:rPr>
            </w:pPr>
          </w:p>
        </w:tc>
      </w:tr>
      <w:tr>
        <w:trPr>
          <w:trHeight w:val="171"/>
        </w:trPr>
        <w:tc>
          <w:tcPr>
            <w:tcW w:w="1360" w:type="dxa"/>
            <w:vAlign w:val="bottom"/>
            <w:gridSpan w:val="3"/>
          </w:tcPr>
          <w:p>
            <w:pPr>
              <w:spacing w:after="0"/>
              <w:rPr>
                <w:sz w:val="20"/>
                <w:szCs w:val="20"/>
                <w:color w:val="auto"/>
              </w:rPr>
            </w:pPr>
            <w:r>
              <w:rPr>
                <w:rFonts w:ascii="Arial" w:cs="Arial" w:eastAsia="Arial" w:hAnsi="Arial"/>
                <w:sz w:val="14"/>
                <w:szCs w:val="14"/>
                <w:b w:val="1"/>
                <w:bCs w:val="1"/>
                <w:color w:val="auto"/>
              </w:rPr>
              <w:t>December 31, 2013</w:t>
            </w:r>
          </w:p>
        </w:tc>
        <w:tc>
          <w:tcPr>
            <w:tcW w:w="1540" w:type="dxa"/>
            <w:vAlign w:val="bottom"/>
            <w:gridSpan w:val="2"/>
            <w:vMerge w:val="continue"/>
          </w:tcPr>
          <w:p>
            <w:pPr>
              <w:spacing w:after="0"/>
              <w:rPr>
                <w:sz w:val="14"/>
                <w:szCs w:val="14"/>
                <w:color w:val="auto"/>
              </w:rPr>
            </w:pPr>
          </w:p>
        </w:tc>
        <w:tc>
          <w:tcPr>
            <w:tcW w:w="1620" w:type="dxa"/>
            <w:vAlign w:val="bottom"/>
            <w:gridSpan w:val="2"/>
            <w:vMerge w:val="continue"/>
          </w:tcPr>
          <w:p>
            <w:pPr>
              <w:spacing w:after="0"/>
              <w:rPr>
                <w:sz w:val="14"/>
                <w:szCs w:val="14"/>
                <w:color w:val="auto"/>
              </w:rPr>
            </w:pPr>
          </w:p>
        </w:tc>
        <w:tc>
          <w:tcPr>
            <w:tcW w:w="1440" w:type="dxa"/>
            <w:vAlign w:val="bottom"/>
          </w:tcPr>
          <w:p>
            <w:pPr>
              <w:jc w:val="center"/>
              <w:spacing w:after="0"/>
              <w:rPr>
                <w:sz w:val="20"/>
                <w:szCs w:val="20"/>
                <w:color w:val="auto"/>
              </w:rPr>
            </w:pPr>
            <w:r>
              <w:rPr>
                <w:rFonts w:ascii="Arial" w:cs="Arial" w:eastAsia="Arial" w:hAnsi="Arial"/>
                <w:sz w:val="14"/>
                <w:szCs w:val="14"/>
                <w:b w:val="1"/>
                <w:bCs w:val="1"/>
                <w:color w:val="auto"/>
                <w:w w:val="91"/>
              </w:rPr>
              <w:t>(Weighted Average)</w:t>
            </w:r>
          </w:p>
        </w:tc>
        <w:tc>
          <w:tcPr>
            <w:tcW w:w="0" w:type="dxa"/>
            <w:vAlign w:val="bottom"/>
          </w:tcPr>
          <w:p>
            <w:pPr>
              <w:spacing w:after="0"/>
              <w:rPr>
                <w:sz w:val="1"/>
                <w:szCs w:val="1"/>
                <w:color w:val="auto"/>
              </w:rPr>
            </w:pPr>
          </w:p>
        </w:tc>
      </w:tr>
      <w:tr>
        <w:trPr>
          <w:trHeight w:val="123"/>
        </w:trPr>
        <w:tc>
          <w:tcPr>
            <w:tcW w:w="120" w:type="dxa"/>
            <w:vAlign w:val="bottom"/>
            <w:tcBorders>
              <w:top w:val="single" w:sz="8" w:color="auto"/>
            </w:tcBorders>
          </w:tcPr>
          <w:p>
            <w:pPr>
              <w:spacing w:after="0" w:line="123" w:lineRule="exact"/>
              <w:rPr>
                <w:sz w:val="20"/>
                <w:szCs w:val="20"/>
                <w:color w:val="auto"/>
              </w:rPr>
            </w:pPr>
            <w:r>
              <w:rPr>
                <w:rFonts w:ascii="Arial" w:cs="Arial" w:eastAsia="Arial" w:hAnsi="Arial"/>
                <w:sz w:val="14"/>
                <w:szCs w:val="14"/>
                <w:color w:val="auto"/>
              </w:rPr>
              <w:t>$</w:t>
            </w:r>
          </w:p>
        </w:tc>
        <w:tc>
          <w:tcPr>
            <w:tcW w:w="1060" w:type="dxa"/>
            <w:vAlign w:val="bottom"/>
            <w:tcBorders>
              <w:top w:val="single" w:sz="8" w:color="auto"/>
            </w:tcBorders>
          </w:tcPr>
          <w:p>
            <w:pPr>
              <w:jc w:val="right"/>
              <w:spacing w:after="0" w:line="123" w:lineRule="exact"/>
              <w:rPr>
                <w:sz w:val="20"/>
                <w:szCs w:val="20"/>
                <w:color w:val="auto"/>
              </w:rPr>
            </w:pPr>
            <w:r>
              <w:rPr>
                <w:rFonts w:ascii="Arial" w:cs="Arial" w:eastAsia="Arial" w:hAnsi="Arial"/>
                <w:sz w:val="14"/>
                <w:szCs w:val="14"/>
                <w:color w:val="auto"/>
              </w:rPr>
              <w:t>385,823,905</w:t>
            </w:r>
          </w:p>
        </w:tc>
        <w:tc>
          <w:tcPr>
            <w:tcW w:w="180" w:type="dxa"/>
            <w:vAlign w:val="bottom"/>
          </w:tcPr>
          <w:p>
            <w:pPr>
              <w:spacing w:after="0"/>
              <w:rPr>
                <w:sz w:val="10"/>
                <w:szCs w:val="10"/>
                <w:color w:val="auto"/>
              </w:rPr>
            </w:pPr>
          </w:p>
        </w:tc>
        <w:tc>
          <w:tcPr>
            <w:tcW w:w="1440" w:type="dxa"/>
            <w:vAlign w:val="bottom"/>
            <w:tcBorders>
              <w:top w:val="single" w:sz="8" w:color="auto"/>
            </w:tcBorders>
          </w:tcPr>
          <w:p>
            <w:pPr>
              <w:jc w:val="center"/>
              <w:spacing w:after="0" w:line="123" w:lineRule="exact"/>
              <w:rPr>
                <w:sz w:val="20"/>
                <w:szCs w:val="20"/>
                <w:color w:val="auto"/>
              </w:rPr>
            </w:pPr>
            <w:r>
              <w:rPr>
                <w:rFonts w:ascii="Arial" w:cs="Arial" w:eastAsia="Arial" w:hAnsi="Arial"/>
                <w:sz w:val="14"/>
                <w:szCs w:val="14"/>
                <w:color w:val="auto"/>
                <w:w w:val="94"/>
              </w:rPr>
              <w:t>Market Comparable</w:t>
            </w:r>
          </w:p>
        </w:tc>
        <w:tc>
          <w:tcPr>
            <w:tcW w:w="100" w:type="dxa"/>
            <w:vAlign w:val="bottom"/>
          </w:tcPr>
          <w:p>
            <w:pPr>
              <w:spacing w:after="0"/>
              <w:rPr>
                <w:sz w:val="10"/>
                <w:szCs w:val="10"/>
                <w:color w:val="auto"/>
              </w:rPr>
            </w:pPr>
          </w:p>
        </w:tc>
        <w:tc>
          <w:tcPr>
            <w:tcW w:w="1500" w:type="dxa"/>
            <w:vAlign w:val="bottom"/>
            <w:tcBorders>
              <w:top w:val="single" w:sz="8" w:color="auto"/>
            </w:tcBorders>
          </w:tcPr>
          <w:p>
            <w:pPr>
              <w:jc w:val="center"/>
              <w:spacing w:after="0" w:line="123" w:lineRule="exact"/>
              <w:rPr>
                <w:sz w:val="20"/>
                <w:szCs w:val="20"/>
                <w:color w:val="auto"/>
              </w:rPr>
            </w:pPr>
            <w:r>
              <w:rPr>
                <w:rFonts w:ascii="Arial" w:cs="Arial" w:eastAsia="Arial" w:hAnsi="Arial"/>
                <w:sz w:val="14"/>
                <w:szCs w:val="14"/>
                <w:color w:val="auto"/>
                <w:w w:val="92"/>
              </w:rPr>
              <w:t>Broker/Dealer bid quotes</w:t>
            </w:r>
          </w:p>
        </w:tc>
        <w:tc>
          <w:tcPr>
            <w:tcW w:w="120" w:type="dxa"/>
            <w:vAlign w:val="bottom"/>
          </w:tcPr>
          <w:p>
            <w:pPr>
              <w:spacing w:after="0"/>
              <w:rPr>
                <w:sz w:val="10"/>
                <w:szCs w:val="10"/>
                <w:color w:val="auto"/>
              </w:rPr>
            </w:pPr>
          </w:p>
        </w:tc>
        <w:tc>
          <w:tcPr>
            <w:tcW w:w="1440" w:type="dxa"/>
            <w:vAlign w:val="bottom"/>
            <w:tcBorders>
              <w:top w:val="single" w:sz="8" w:color="auto"/>
            </w:tcBorders>
          </w:tcPr>
          <w:p>
            <w:pPr>
              <w:jc w:val="center"/>
              <w:spacing w:after="0" w:line="123" w:lineRule="exact"/>
              <w:rPr>
                <w:sz w:val="20"/>
                <w:szCs w:val="20"/>
                <w:color w:val="auto"/>
              </w:rPr>
            </w:pPr>
            <w:r>
              <w:rPr>
                <w:rFonts w:ascii="Arial" w:cs="Arial" w:eastAsia="Arial" w:hAnsi="Arial"/>
                <w:sz w:val="14"/>
                <w:szCs w:val="14"/>
                <w:color w:val="auto"/>
              </w:rPr>
              <w:t>N/A</w:t>
            </w:r>
          </w:p>
        </w:tc>
        <w:tc>
          <w:tcPr>
            <w:tcW w:w="0" w:type="dxa"/>
            <w:vAlign w:val="bottom"/>
          </w:tcPr>
          <w:p>
            <w:pPr>
              <w:spacing w:after="0"/>
              <w:rPr>
                <w:sz w:val="1"/>
                <w:szCs w:val="1"/>
                <w:color w:val="auto"/>
              </w:rPr>
            </w:pPr>
          </w:p>
        </w:tc>
      </w:tr>
      <w:tr>
        <w:trPr>
          <w:trHeight w:val="148"/>
        </w:trPr>
        <w:tc>
          <w:tcPr>
            <w:tcW w:w="120" w:type="dxa"/>
            <w:vAlign w:val="bottom"/>
          </w:tcPr>
          <w:p>
            <w:pPr>
              <w:spacing w:after="0"/>
              <w:rPr>
                <w:sz w:val="12"/>
                <w:szCs w:val="12"/>
                <w:color w:val="auto"/>
              </w:rPr>
            </w:pPr>
          </w:p>
        </w:tc>
        <w:tc>
          <w:tcPr>
            <w:tcW w:w="124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634,983,742</w:t>
            </w:r>
          </w:p>
        </w:tc>
        <w:tc>
          <w:tcPr>
            <w:tcW w:w="154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w w:val="94"/>
              </w:rPr>
              <w:t>Market Comparable</w:t>
            </w:r>
          </w:p>
        </w:tc>
        <w:tc>
          <w:tcPr>
            <w:tcW w:w="162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w w:val="97"/>
              </w:rPr>
              <w:t>Market Yield</w:t>
            </w:r>
          </w:p>
        </w:tc>
        <w:tc>
          <w:tcPr>
            <w:tcW w:w="1440" w:type="dxa"/>
            <w:vAlign w:val="bottom"/>
          </w:tcPr>
          <w:p>
            <w:pPr>
              <w:jc w:val="center"/>
              <w:spacing w:after="0" w:line="149" w:lineRule="exact"/>
              <w:rPr>
                <w:sz w:val="20"/>
                <w:szCs w:val="20"/>
                <w:color w:val="auto"/>
              </w:rPr>
            </w:pPr>
            <w:r>
              <w:rPr>
                <w:rFonts w:ascii="Arial" w:cs="Arial" w:eastAsia="Arial" w:hAnsi="Arial"/>
                <w:sz w:val="14"/>
                <w:szCs w:val="14"/>
                <w:color w:val="auto"/>
                <w:w w:val="95"/>
              </w:rPr>
              <w:t>9.8% — 17.5% (13.1%)</w:t>
            </w:r>
          </w:p>
        </w:tc>
        <w:tc>
          <w:tcPr>
            <w:tcW w:w="0" w:type="dxa"/>
            <w:vAlign w:val="bottom"/>
          </w:tcPr>
          <w:p>
            <w:pPr>
              <w:spacing w:after="0"/>
              <w:rPr>
                <w:sz w:val="1"/>
                <w:szCs w:val="1"/>
                <w:color w:val="auto"/>
              </w:rPr>
            </w:pPr>
          </w:p>
        </w:tc>
      </w:tr>
      <w:tr>
        <w:trPr>
          <w:trHeight w:val="167"/>
        </w:trPr>
        <w:tc>
          <w:tcPr>
            <w:tcW w:w="120" w:type="dxa"/>
            <w:vAlign w:val="bottom"/>
          </w:tcPr>
          <w:p>
            <w:pPr>
              <w:spacing w:after="0"/>
              <w:rPr>
                <w:sz w:val="14"/>
                <w:szCs w:val="14"/>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4"/>
                <w:szCs w:val="14"/>
                <w:color w:val="auto"/>
              </w:rPr>
              <w:t>118,871,345</w:t>
            </w:r>
          </w:p>
        </w:tc>
        <w:tc>
          <w:tcPr>
            <w:tcW w:w="1540" w:type="dxa"/>
            <w:vAlign w:val="bottom"/>
            <w:gridSpan w:val="2"/>
          </w:tcPr>
          <w:p>
            <w:pPr>
              <w:jc w:val="center"/>
              <w:ind w:right="100"/>
              <w:spacing w:after="0"/>
              <w:rPr>
                <w:sz w:val="20"/>
                <w:szCs w:val="20"/>
                <w:color w:val="auto"/>
              </w:rPr>
            </w:pPr>
            <w:r>
              <w:rPr>
                <w:rFonts w:ascii="Arial" w:cs="Arial" w:eastAsia="Arial" w:hAnsi="Arial"/>
                <w:sz w:val="14"/>
                <w:szCs w:val="14"/>
                <w:color w:val="auto"/>
                <w:w w:val="93"/>
              </w:rPr>
              <w:t>Enterprise Market Value</w:t>
            </w:r>
          </w:p>
        </w:tc>
        <w:tc>
          <w:tcPr>
            <w:tcW w:w="1620" w:type="dxa"/>
            <w:vAlign w:val="bottom"/>
            <w:gridSpan w:val="2"/>
          </w:tcPr>
          <w:p>
            <w:pPr>
              <w:jc w:val="center"/>
              <w:ind w:right="100"/>
              <w:spacing w:after="0"/>
              <w:rPr>
                <w:sz w:val="20"/>
                <w:szCs w:val="20"/>
                <w:color w:val="auto"/>
              </w:rPr>
            </w:pPr>
            <w:r>
              <w:rPr>
                <w:rFonts w:ascii="Arial" w:cs="Arial" w:eastAsia="Arial" w:hAnsi="Arial"/>
                <w:sz w:val="14"/>
                <w:szCs w:val="14"/>
                <w:color w:val="auto"/>
              </w:rPr>
              <w:t>EBITDA multiple</w:t>
            </w:r>
          </w:p>
        </w:tc>
        <w:tc>
          <w:tcPr>
            <w:tcW w:w="1440" w:type="dxa"/>
            <w:vAlign w:val="bottom"/>
          </w:tcPr>
          <w:p>
            <w:pPr>
              <w:jc w:val="center"/>
              <w:spacing w:after="0"/>
              <w:rPr>
                <w:sz w:val="20"/>
                <w:szCs w:val="20"/>
                <w:color w:val="auto"/>
              </w:rPr>
            </w:pPr>
            <w:r>
              <w:rPr>
                <w:rFonts w:ascii="Arial" w:cs="Arial" w:eastAsia="Arial" w:hAnsi="Arial"/>
                <w:sz w:val="14"/>
                <w:szCs w:val="14"/>
                <w:color w:val="auto"/>
                <w:w w:val="94"/>
              </w:rPr>
              <w:t>3.3 — 14.5 (8.4)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-3347085</wp:posOffset>
            </wp:positionH>
            <wp:positionV relativeFrom="paragraph">
              <wp:posOffset>-290830</wp:posOffset>
            </wp:positionV>
            <wp:extent cx="7132320" cy="10287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02870"/>
                    </a:xfrm>
                    <a:prstGeom prst="rect">
                      <a:avLst/>
                    </a:prstGeom>
                    <a:noFill/>
                  </pic:spPr>
                </pic:pic>
              </a:graphicData>
            </a:graphic>
          </wp:anchor>
        </w:drawing>
        <w:drawing>
          <wp:anchor simplePos="0" relativeHeight="251657728" behindDoc="1" locked="0" layoutInCell="0" allowOverlap="1">
            <wp:simplePos x="0" y="0"/>
            <wp:positionH relativeFrom="column">
              <wp:posOffset>-3347085</wp:posOffset>
            </wp:positionH>
            <wp:positionV relativeFrom="paragraph">
              <wp:posOffset>-93345</wp:posOffset>
            </wp:positionV>
            <wp:extent cx="7132320" cy="9398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93980"/>
                    </a:xfrm>
                    <a:prstGeom prst="rect">
                      <a:avLst/>
                    </a:prstGeom>
                    <a:noFill/>
                  </pic:spPr>
                </pic:pic>
              </a:graphicData>
            </a:graphic>
          </wp:anchor>
        </w:drawing>
      </w:r>
    </w:p>
    <w:p>
      <w:pPr>
        <w:spacing w:after="0" w:line="1" w:lineRule="exact"/>
        <w:rPr>
          <w:sz w:val="20"/>
          <w:szCs w:val="20"/>
          <w:color w:val="auto"/>
        </w:rPr>
      </w:pPr>
    </w:p>
    <w:p>
      <w:pPr>
        <w:sectPr>
          <w:pgSz w:w="11900" w:h="16838" w:orient="portrait"/>
          <w:cols w:equalWidth="0" w:num="2">
            <w:col w:w="4560" w:space="720"/>
            <w:col w:w="5960"/>
          </w:cols>
          <w:pgMar w:left="320" w:top="459" w:right="339" w:bottom="1440" w:gutter="0" w:footer="0" w:header="0"/>
          <w:type w:val="continuous"/>
        </w:sectPr>
      </w:pPr>
    </w:p>
    <w:tbl>
      <w:tblPr>
        <w:tblLayout w:type="fixed"/>
        <w:tblInd w:w="0" w:type="dxa"/>
        <w:tblCellMar>
          <w:top w:w="0" w:type="dxa"/>
          <w:left w:w="0" w:type="dxa"/>
          <w:bottom w:w="0" w:type="dxa"/>
          <w:right w:w="0" w:type="dxa"/>
        </w:tblCellMar>
      </w:tblPr>
      <w:tr>
        <w:trPr>
          <w:trHeight w:val="163"/>
        </w:trPr>
        <w:tc>
          <w:tcPr>
            <w:tcW w:w="5280" w:type="dxa"/>
            <w:vAlign w:val="bottom"/>
          </w:tcPr>
          <w:p>
            <w:pPr>
              <w:spacing w:after="0" w:line="155" w:lineRule="exact"/>
              <w:rPr>
                <w:sz w:val="20"/>
                <w:szCs w:val="20"/>
                <w:color w:val="auto"/>
              </w:rPr>
            </w:pPr>
            <w:r>
              <w:rPr>
                <w:rFonts w:ascii="Arial" w:cs="Arial" w:eastAsia="Arial" w:hAnsi="Arial"/>
                <w:sz w:val="14"/>
                <w:szCs w:val="14"/>
                <w:color w:val="auto"/>
              </w:rPr>
              <w:t>Total Level 3 investments</w:t>
            </w:r>
          </w:p>
        </w:tc>
        <w:tc>
          <w:tcPr>
            <w:tcW w:w="200" w:type="dxa"/>
            <w:vAlign w:val="bottom"/>
            <w:tcBorders>
              <w:top w:val="single" w:sz="8" w:color="auto"/>
              <w:bottom w:val="single" w:sz="8" w:color="auto"/>
            </w:tcBorders>
          </w:tcPr>
          <w:p>
            <w:pPr>
              <w:jc w:val="right"/>
              <w:ind w:right="89"/>
              <w:spacing w:after="0"/>
              <w:rPr>
                <w:sz w:val="20"/>
                <w:szCs w:val="20"/>
                <w:color w:val="auto"/>
              </w:rPr>
            </w:pPr>
            <w:r>
              <w:rPr>
                <w:rFonts w:ascii="Arial" w:cs="Arial" w:eastAsia="Arial" w:hAnsi="Arial"/>
                <w:sz w:val="10"/>
                <w:szCs w:val="10"/>
                <w:color w:val="auto"/>
                <w:w w:val="71"/>
              </w:rPr>
              <w:t>$</w:t>
            </w:r>
          </w:p>
        </w:tc>
        <w:tc>
          <w:tcPr>
            <w:tcW w:w="9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1,139,678,992</w:t>
            </w:r>
          </w:p>
        </w:tc>
        <w:tc>
          <w:tcPr>
            <w:tcW w:w="178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400" w:type="dxa"/>
            <w:vAlign w:val="bottom"/>
          </w:tcPr>
          <w:p>
            <w:pPr>
              <w:spacing w:after="0"/>
              <w:rPr>
                <w:sz w:val="14"/>
                <w:szCs w:val="14"/>
                <w:color w:val="auto"/>
              </w:rPr>
            </w:pPr>
          </w:p>
        </w:tc>
      </w:tr>
      <w:tr>
        <w:trPr>
          <w:trHeight w:val="148"/>
        </w:trPr>
        <w:tc>
          <w:tcPr>
            <w:tcW w:w="52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Long-Term Credit Facility</w:t>
            </w:r>
          </w:p>
        </w:tc>
        <w:tc>
          <w:tcPr>
            <w:tcW w:w="200" w:type="dxa"/>
            <w:vAlign w:val="bottom"/>
            <w:tcBorders>
              <w:bottom w:val="single" w:sz="8" w:color="auto"/>
            </w:tcBorders>
            <w:shd w:val="clear" w:color="auto" w:fill="CCEEFF"/>
          </w:tcPr>
          <w:p>
            <w:pPr>
              <w:jc w:val="right"/>
              <w:ind w:right="89"/>
              <w:spacing w:after="0"/>
              <w:rPr>
                <w:sz w:val="20"/>
                <w:szCs w:val="20"/>
                <w:color w:val="auto"/>
              </w:rPr>
            </w:pPr>
            <w:r>
              <w:rPr>
                <w:rFonts w:ascii="Arial" w:cs="Arial" w:eastAsia="Arial" w:hAnsi="Arial"/>
                <w:sz w:val="10"/>
                <w:szCs w:val="10"/>
                <w:color w:val="auto"/>
                <w:w w:val="71"/>
              </w:rPr>
              <w:t>$</w:t>
            </w:r>
          </w:p>
        </w:tc>
        <w:tc>
          <w:tcPr>
            <w:tcW w:w="98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228,000,000</w:t>
            </w:r>
          </w:p>
        </w:tc>
        <w:tc>
          <w:tcPr>
            <w:tcW w:w="1780" w:type="dxa"/>
            <w:vAlign w:val="bottom"/>
            <w:shd w:val="clear" w:color="auto" w:fill="CCEEFF"/>
          </w:tcPr>
          <w:p>
            <w:pPr>
              <w:ind w:left="320"/>
              <w:spacing w:after="0" w:line="149" w:lineRule="exact"/>
              <w:rPr>
                <w:sz w:val="20"/>
                <w:szCs w:val="20"/>
                <w:color w:val="auto"/>
              </w:rPr>
            </w:pPr>
            <w:r>
              <w:rPr>
                <w:rFonts w:ascii="Arial" w:cs="Arial" w:eastAsia="Arial" w:hAnsi="Arial"/>
                <w:sz w:val="14"/>
                <w:szCs w:val="14"/>
                <w:color w:val="auto"/>
              </w:rPr>
              <w:t>Market Comparable</w:t>
            </w:r>
          </w:p>
        </w:tc>
        <w:tc>
          <w:tcPr>
            <w:tcW w:w="1600" w:type="dxa"/>
            <w:vAlign w:val="bottom"/>
            <w:shd w:val="clear" w:color="auto" w:fill="CCEEFF"/>
          </w:tcPr>
          <w:p>
            <w:pPr>
              <w:ind w:left="320"/>
              <w:spacing w:after="0" w:line="149" w:lineRule="exact"/>
              <w:rPr>
                <w:sz w:val="20"/>
                <w:szCs w:val="20"/>
                <w:color w:val="auto"/>
              </w:rPr>
            </w:pPr>
            <w:r>
              <w:rPr>
                <w:rFonts w:ascii="Arial" w:cs="Arial" w:eastAsia="Arial" w:hAnsi="Arial"/>
                <w:sz w:val="14"/>
                <w:szCs w:val="14"/>
                <w:color w:val="auto"/>
              </w:rPr>
              <w:t>Discount rate</w:t>
            </w:r>
          </w:p>
        </w:tc>
        <w:tc>
          <w:tcPr>
            <w:tcW w:w="1400" w:type="dxa"/>
            <w:vAlign w:val="bottom"/>
            <w:shd w:val="clear" w:color="auto" w:fill="CCEEFF"/>
          </w:tcPr>
          <w:p>
            <w:pPr>
              <w:jc w:val="right"/>
              <w:ind w:right="508"/>
              <w:spacing w:after="0" w:line="149" w:lineRule="exact"/>
              <w:rPr>
                <w:sz w:val="20"/>
                <w:szCs w:val="20"/>
                <w:color w:val="auto"/>
              </w:rPr>
            </w:pPr>
            <w:r>
              <w:rPr>
                <w:rFonts w:ascii="Arial" w:cs="Arial" w:eastAsia="Arial" w:hAnsi="Arial"/>
                <w:sz w:val="14"/>
                <w:szCs w:val="14"/>
                <w:color w:val="auto"/>
              </w:rPr>
              <w:t>3.2%</w:t>
            </w:r>
          </w:p>
        </w:tc>
      </w:tr>
      <w:tr>
        <w:trPr>
          <w:trHeight w:val="20"/>
        </w:trPr>
        <w:tc>
          <w:tcPr>
            <w:tcW w:w="52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459" w:right="339" w:bottom="1440" w:gutter="0" w:footer="0" w:header="0"/>
          <w:type w:val="continuous"/>
        </w:sectPr>
      </w:pPr>
    </w:p>
    <w:p>
      <w:pPr>
        <w:spacing w:after="0" w:line="169" w:lineRule="exact"/>
        <w:rPr>
          <w:sz w:val="20"/>
          <w:szCs w:val="20"/>
          <w:color w:val="auto"/>
        </w:rPr>
      </w:pPr>
    </w:p>
    <w:p>
      <w:pPr>
        <w:spacing w:after="0"/>
        <w:rPr>
          <w:sz w:val="20"/>
          <w:szCs w:val="20"/>
          <w:color w:val="auto"/>
        </w:rPr>
      </w:pPr>
      <w:r>
        <w:rPr>
          <w:rFonts w:ascii="Arial" w:cs="Arial" w:eastAsia="Arial" w:hAnsi="Arial"/>
          <w:sz w:val="14"/>
          <w:szCs w:val="14"/>
          <w:b w:val="1"/>
          <w:bCs w:val="1"/>
          <w:u w:val="single" w:color="auto"/>
          <w:color w:val="auto"/>
        </w:rPr>
        <w:t>Asset Category</w:t>
      </w:r>
    </w:p>
    <w:p>
      <w:pPr>
        <w:spacing w:after="0" w:line="17" w:lineRule="exact"/>
        <w:rPr>
          <w:sz w:val="20"/>
          <w:szCs w:val="20"/>
          <w:color w:val="auto"/>
        </w:rPr>
      </w:pPr>
    </w:p>
    <w:p>
      <w:pPr>
        <w:spacing w:after="0"/>
        <w:rPr>
          <w:sz w:val="20"/>
          <w:szCs w:val="20"/>
          <w:color w:val="auto"/>
        </w:rPr>
      </w:pPr>
      <w:r>
        <w:rPr>
          <w:rFonts w:ascii="Arial" w:cs="Arial" w:eastAsia="Arial" w:hAnsi="Arial"/>
          <w:sz w:val="12"/>
          <w:szCs w:val="12"/>
          <w:color w:val="auto"/>
        </w:rPr>
        <w:t>First lien, second lien, subordinated debt/corporate notes</w:t>
      </w:r>
    </w:p>
    <w:p>
      <w:pPr>
        <w:spacing w:after="0" w:line="24" w:lineRule="exact"/>
        <w:rPr>
          <w:sz w:val="20"/>
          <w:szCs w:val="20"/>
          <w:color w:val="auto"/>
        </w:rPr>
      </w:pPr>
    </w:p>
    <w:p>
      <w:pPr>
        <w:spacing w:after="0"/>
        <w:rPr>
          <w:sz w:val="20"/>
          <w:szCs w:val="20"/>
          <w:color w:val="auto"/>
        </w:rPr>
      </w:pPr>
      <w:r>
        <w:rPr>
          <w:rFonts w:ascii="Arial" w:cs="Arial" w:eastAsia="Arial" w:hAnsi="Arial"/>
          <w:sz w:val="12"/>
          <w:szCs w:val="12"/>
          <w:color w:val="auto"/>
        </w:rPr>
        <w:t>First lien, second lien, subordinated debt/corporate notes</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Preferred and common equity</w:t>
      </w:r>
    </w:p>
    <w:p>
      <w:pPr>
        <w:spacing w:after="0" w:line="20" w:lineRule="exact"/>
        <w:rPr>
          <w:sz w:val="20"/>
          <w:szCs w:val="20"/>
          <w:color w:val="auto"/>
        </w:rPr>
      </w:pPr>
      <w:r>
        <w:rPr>
          <w:sz w:val="20"/>
          <w:szCs w:val="20"/>
          <w:color w:val="auto"/>
        </w:rPr>
        <w:br w:type="column"/>
      </w:r>
    </w:p>
    <w:p>
      <w:pPr>
        <w:spacing w:after="0" w:line="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140" w:type="dxa"/>
            <w:vAlign w:val="bottom"/>
          </w:tcPr>
          <w:p>
            <w:pPr>
              <w:spacing w:after="0"/>
              <w:rPr>
                <w:sz w:val="14"/>
                <w:szCs w:val="14"/>
                <w:color w:val="auto"/>
              </w:rPr>
            </w:pPr>
          </w:p>
        </w:tc>
        <w:tc>
          <w:tcPr>
            <w:tcW w:w="1260" w:type="dxa"/>
            <w:vAlign w:val="bottom"/>
            <w:gridSpan w:val="2"/>
          </w:tcPr>
          <w:p>
            <w:pPr>
              <w:ind w:left="60"/>
              <w:spacing w:after="0"/>
              <w:rPr>
                <w:sz w:val="20"/>
                <w:szCs w:val="20"/>
                <w:color w:val="auto"/>
              </w:rPr>
            </w:pPr>
            <w:r>
              <w:rPr>
                <w:rFonts w:ascii="Arial" w:cs="Arial" w:eastAsia="Arial" w:hAnsi="Arial"/>
                <w:sz w:val="14"/>
                <w:szCs w:val="14"/>
                <w:b w:val="1"/>
                <w:bCs w:val="1"/>
                <w:color w:val="auto"/>
              </w:rPr>
              <w:t>Fair Value at</w:t>
            </w:r>
          </w:p>
        </w:tc>
        <w:tc>
          <w:tcPr>
            <w:tcW w:w="154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1"/>
              </w:rPr>
              <w:t>Valuation Technique</w:t>
            </w:r>
          </w:p>
        </w:tc>
        <w:tc>
          <w:tcPr>
            <w:tcW w:w="158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4"/>
              </w:rPr>
              <w:t>Unobservable Input</w:t>
            </w:r>
          </w:p>
        </w:tc>
        <w:tc>
          <w:tcPr>
            <w:tcW w:w="1440" w:type="dxa"/>
            <w:vAlign w:val="bottom"/>
          </w:tcPr>
          <w:p>
            <w:pPr>
              <w:jc w:val="center"/>
              <w:spacing w:after="0"/>
              <w:rPr>
                <w:sz w:val="20"/>
                <w:szCs w:val="20"/>
                <w:color w:val="auto"/>
              </w:rPr>
            </w:pPr>
            <w:r>
              <w:rPr>
                <w:rFonts w:ascii="Arial" w:cs="Arial" w:eastAsia="Arial" w:hAnsi="Arial"/>
                <w:sz w:val="14"/>
                <w:szCs w:val="14"/>
                <w:b w:val="1"/>
                <w:bCs w:val="1"/>
                <w:color w:val="auto"/>
                <w:w w:val="93"/>
              </w:rPr>
              <w:t>Range of Input</w:t>
            </w:r>
          </w:p>
        </w:tc>
        <w:tc>
          <w:tcPr>
            <w:tcW w:w="0" w:type="dxa"/>
            <w:vAlign w:val="bottom"/>
          </w:tcPr>
          <w:p>
            <w:pPr>
              <w:spacing w:after="0"/>
              <w:rPr>
                <w:sz w:val="1"/>
                <w:szCs w:val="1"/>
                <w:color w:val="auto"/>
              </w:rPr>
            </w:pPr>
          </w:p>
        </w:tc>
      </w:tr>
      <w:tr>
        <w:trPr>
          <w:trHeight w:val="171"/>
        </w:trPr>
        <w:tc>
          <w:tcPr>
            <w:tcW w:w="1400" w:type="dxa"/>
            <w:vAlign w:val="bottom"/>
            <w:gridSpan w:val="3"/>
          </w:tcPr>
          <w:p>
            <w:pPr>
              <w:spacing w:after="0"/>
              <w:rPr>
                <w:sz w:val="20"/>
                <w:szCs w:val="20"/>
                <w:color w:val="auto"/>
              </w:rPr>
            </w:pPr>
            <w:r>
              <w:rPr>
                <w:rFonts w:ascii="Arial" w:cs="Arial" w:eastAsia="Arial" w:hAnsi="Arial"/>
                <w:sz w:val="14"/>
                <w:szCs w:val="14"/>
                <w:b w:val="1"/>
                <w:bCs w:val="1"/>
                <w:color w:val="auto"/>
              </w:rPr>
              <w:t>September 30, 2013</w:t>
            </w:r>
          </w:p>
        </w:tc>
        <w:tc>
          <w:tcPr>
            <w:tcW w:w="1540" w:type="dxa"/>
            <w:vAlign w:val="bottom"/>
            <w:gridSpan w:val="2"/>
            <w:vMerge w:val="continue"/>
          </w:tcPr>
          <w:p>
            <w:pPr>
              <w:spacing w:after="0"/>
              <w:rPr>
                <w:sz w:val="14"/>
                <w:szCs w:val="14"/>
                <w:color w:val="auto"/>
              </w:rPr>
            </w:pPr>
          </w:p>
        </w:tc>
        <w:tc>
          <w:tcPr>
            <w:tcW w:w="1580" w:type="dxa"/>
            <w:vAlign w:val="bottom"/>
            <w:gridSpan w:val="2"/>
            <w:vMerge w:val="continue"/>
          </w:tcPr>
          <w:p>
            <w:pPr>
              <w:spacing w:after="0"/>
              <w:rPr>
                <w:sz w:val="14"/>
                <w:szCs w:val="14"/>
                <w:color w:val="auto"/>
              </w:rPr>
            </w:pPr>
          </w:p>
        </w:tc>
        <w:tc>
          <w:tcPr>
            <w:tcW w:w="1440" w:type="dxa"/>
            <w:vAlign w:val="bottom"/>
          </w:tcPr>
          <w:p>
            <w:pPr>
              <w:jc w:val="center"/>
              <w:spacing w:after="0"/>
              <w:rPr>
                <w:sz w:val="20"/>
                <w:szCs w:val="20"/>
                <w:color w:val="auto"/>
              </w:rPr>
            </w:pPr>
            <w:r>
              <w:rPr>
                <w:rFonts w:ascii="Arial" w:cs="Arial" w:eastAsia="Arial" w:hAnsi="Arial"/>
                <w:sz w:val="14"/>
                <w:szCs w:val="14"/>
                <w:b w:val="1"/>
                <w:bCs w:val="1"/>
                <w:color w:val="auto"/>
                <w:w w:val="91"/>
              </w:rPr>
              <w:t>(Weighted Average)</w:t>
            </w:r>
          </w:p>
        </w:tc>
        <w:tc>
          <w:tcPr>
            <w:tcW w:w="0" w:type="dxa"/>
            <w:vAlign w:val="bottom"/>
          </w:tcPr>
          <w:p>
            <w:pPr>
              <w:spacing w:after="0"/>
              <w:rPr>
                <w:sz w:val="1"/>
                <w:szCs w:val="1"/>
                <w:color w:val="auto"/>
              </w:rPr>
            </w:pPr>
          </w:p>
        </w:tc>
      </w:tr>
      <w:tr>
        <w:trPr>
          <w:trHeight w:val="123"/>
        </w:trPr>
        <w:tc>
          <w:tcPr>
            <w:tcW w:w="140" w:type="dxa"/>
            <w:vAlign w:val="bottom"/>
            <w:tcBorders>
              <w:top w:val="single" w:sz="8" w:color="auto"/>
            </w:tcBorders>
          </w:tcPr>
          <w:p>
            <w:pPr>
              <w:spacing w:after="0" w:line="123" w:lineRule="exact"/>
              <w:rPr>
                <w:sz w:val="20"/>
                <w:szCs w:val="20"/>
                <w:color w:val="auto"/>
              </w:rPr>
            </w:pPr>
            <w:r>
              <w:rPr>
                <w:rFonts w:ascii="Arial" w:cs="Arial" w:eastAsia="Arial" w:hAnsi="Arial"/>
                <w:sz w:val="14"/>
                <w:szCs w:val="14"/>
                <w:color w:val="auto"/>
              </w:rPr>
              <w:t>$</w:t>
            </w:r>
          </w:p>
        </w:tc>
        <w:tc>
          <w:tcPr>
            <w:tcW w:w="1060" w:type="dxa"/>
            <w:vAlign w:val="bottom"/>
            <w:tcBorders>
              <w:top w:val="single" w:sz="8" w:color="auto"/>
            </w:tcBorders>
          </w:tcPr>
          <w:p>
            <w:pPr>
              <w:ind w:left="340"/>
              <w:spacing w:after="0" w:line="123" w:lineRule="exact"/>
              <w:rPr>
                <w:sz w:val="20"/>
                <w:szCs w:val="20"/>
                <w:color w:val="auto"/>
              </w:rPr>
            </w:pPr>
            <w:r>
              <w:rPr>
                <w:rFonts w:ascii="Arial" w:cs="Arial" w:eastAsia="Arial" w:hAnsi="Arial"/>
                <w:sz w:val="14"/>
                <w:szCs w:val="14"/>
                <w:color w:val="auto"/>
                <w:w w:val="89"/>
              </w:rPr>
              <w:t>448,842,468</w:t>
            </w:r>
          </w:p>
        </w:tc>
        <w:tc>
          <w:tcPr>
            <w:tcW w:w="200" w:type="dxa"/>
            <w:vAlign w:val="bottom"/>
          </w:tcPr>
          <w:p>
            <w:pPr>
              <w:spacing w:after="0"/>
              <w:rPr>
                <w:sz w:val="10"/>
                <w:szCs w:val="10"/>
                <w:color w:val="auto"/>
              </w:rPr>
            </w:pPr>
          </w:p>
        </w:tc>
        <w:tc>
          <w:tcPr>
            <w:tcW w:w="1420" w:type="dxa"/>
            <w:vAlign w:val="bottom"/>
            <w:tcBorders>
              <w:top w:val="single" w:sz="8" w:color="auto"/>
            </w:tcBorders>
          </w:tcPr>
          <w:p>
            <w:pPr>
              <w:jc w:val="center"/>
              <w:spacing w:after="0" w:line="123" w:lineRule="exact"/>
              <w:rPr>
                <w:sz w:val="20"/>
                <w:szCs w:val="20"/>
                <w:color w:val="auto"/>
              </w:rPr>
            </w:pPr>
            <w:r>
              <w:rPr>
                <w:rFonts w:ascii="Arial" w:cs="Arial" w:eastAsia="Arial" w:hAnsi="Arial"/>
                <w:sz w:val="14"/>
                <w:szCs w:val="14"/>
                <w:color w:val="auto"/>
                <w:w w:val="92"/>
              </w:rPr>
              <w:t>Market Comparable</w:t>
            </w:r>
          </w:p>
        </w:tc>
        <w:tc>
          <w:tcPr>
            <w:tcW w:w="120" w:type="dxa"/>
            <w:vAlign w:val="bottom"/>
          </w:tcPr>
          <w:p>
            <w:pPr>
              <w:spacing w:after="0"/>
              <w:rPr>
                <w:sz w:val="10"/>
                <w:szCs w:val="10"/>
                <w:color w:val="auto"/>
              </w:rPr>
            </w:pPr>
          </w:p>
        </w:tc>
        <w:tc>
          <w:tcPr>
            <w:tcW w:w="1480" w:type="dxa"/>
            <w:vAlign w:val="bottom"/>
            <w:tcBorders>
              <w:top w:val="single" w:sz="8" w:color="auto"/>
            </w:tcBorders>
          </w:tcPr>
          <w:p>
            <w:pPr>
              <w:jc w:val="center"/>
              <w:spacing w:after="0" w:line="123" w:lineRule="exact"/>
              <w:rPr>
                <w:sz w:val="20"/>
                <w:szCs w:val="20"/>
                <w:color w:val="auto"/>
              </w:rPr>
            </w:pPr>
            <w:r>
              <w:rPr>
                <w:rFonts w:ascii="Arial" w:cs="Arial" w:eastAsia="Arial" w:hAnsi="Arial"/>
                <w:sz w:val="14"/>
                <w:szCs w:val="14"/>
                <w:color w:val="auto"/>
                <w:w w:val="92"/>
              </w:rPr>
              <w:t>Broker/Dealer bid quotes</w:t>
            </w:r>
          </w:p>
        </w:tc>
        <w:tc>
          <w:tcPr>
            <w:tcW w:w="100" w:type="dxa"/>
            <w:vAlign w:val="bottom"/>
          </w:tcPr>
          <w:p>
            <w:pPr>
              <w:spacing w:after="0"/>
              <w:rPr>
                <w:sz w:val="10"/>
                <w:szCs w:val="10"/>
                <w:color w:val="auto"/>
              </w:rPr>
            </w:pPr>
          </w:p>
        </w:tc>
        <w:tc>
          <w:tcPr>
            <w:tcW w:w="1440" w:type="dxa"/>
            <w:vAlign w:val="bottom"/>
            <w:tcBorders>
              <w:top w:val="single" w:sz="8" w:color="auto"/>
            </w:tcBorders>
          </w:tcPr>
          <w:p>
            <w:pPr>
              <w:jc w:val="center"/>
              <w:spacing w:after="0" w:line="123" w:lineRule="exact"/>
              <w:rPr>
                <w:sz w:val="20"/>
                <w:szCs w:val="20"/>
                <w:color w:val="auto"/>
              </w:rPr>
            </w:pPr>
            <w:r>
              <w:rPr>
                <w:rFonts w:ascii="Arial" w:cs="Arial" w:eastAsia="Arial" w:hAnsi="Arial"/>
                <w:sz w:val="14"/>
                <w:szCs w:val="14"/>
                <w:color w:val="auto"/>
              </w:rPr>
              <w:t>N/A</w:t>
            </w:r>
          </w:p>
        </w:tc>
        <w:tc>
          <w:tcPr>
            <w:tcW w:w="0" w:type="dxa"/>
            <w:vAlign w:val="bottom"/>
          </w:tcPr>
          <w:p>
            <w:pPr>
              <w:spacing w:after="0"/>
              <w:rPr>
                <w:sz w:val="1"/>
                <w:szCs w:val="1"/>
                <w:color w:val="auto"/>
              </w:rPr>
            </w:pPr>
          </w:p>
        </w:tc>
      </w:tr>
      <w:tr>
        <w:trPr>
          <w:trHeight w:val="148"/>
        </w:trPr>
        <w:tc>
          <w:tcPr>
            <w:tcW w:w="140" w:type="dxa"/>
            <w:vAlign w:val="bottom"/>
          </w:tcPr>
          <w:p>
            <w:pPr>
              <w:spacing w:after="0"/>
              <w:rPr>
                <w:sz w:val="12"/>
                <w:szCs w:val="12"/>
                <w:color w:val="auto"/>
              </w:rPr>
            </w:pPr>
          </w:p>
        </w:tc>
        <w:tc>
          <w:tcPr>
            <w:tcW w:w="1260" w:type="dxa"/>
            <w:vAlign w:val="bottom"/>
            <w:gridSpan w:val="2"/>
          </w:tcPr>
          <w:p>
            <w:pPr>
              <w:ind w:left="340"/>
              <w:spacing w:after="0" w:line="149" w:lineRule="exact"/>
              <w:rPr>
                <w:sz w:val="20"/>
                <w:szCs w:val="20"/>
                <w:color w:val="auto"/>
              </w:rPr>
            </w:pPr>
            <w:r>
              <w:rPr>
                <w:rFonts w:ascii="Arial" w:cs="Arial" w:eastAsia="Arial" w:hAnsi="Arial"/>
                <w:sz w:val="14"/>
                <w:szCs w:val="14"/>
                <w:color w:val="auto"/>
              </w:rPr>
              <w:t>466,571,947</w:t>
            </w:r>
          </w:p>
        </w:tc>
        <w:tc>
          <w:tcPr>
            <w:tcW w:w="1540" w:type="dxa"/>
            <w:vAlign w:val="bottom"/>
            <w:gridSpan w:val="2"/>
          </w:tcPr>
          <w:p>
            <w:pPr>
              <w:jc w:val="center"/>
              <w:ind w:right="120"/>
              <w:spacing w:after="0" w:line="149" w:lineRule="exact"/>
              <w:rPr>
                <w:sz w:val="20"/>
                <w:szCs w:val="20"/>
                <w:color w:val="auto"/>
              </w:rPr>
            </w:pPr>
            <w:r>
              <w:rPr>
                <w:rFonts w:ascii="Arial" w:cs="Arial" w:eastAsia="Arial" w:hAnsi="Arial"/>
                <w:sz w:val="14"/>
                <w:szCs w:val="14"/>
                <w:color w:val="auto"/>
                <w:w w:val="92"/>
              </w:rPr>
              <w:t>Market Comparable</w:t>
            </w:r>
          </w:p>
        </w:tc>
        <w:tc>
          <w:tcPr>
            <w:tcW w:w="158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w w:val="97"/>
              </w:rPr>
              <w:t>Market Yield</w:t>
            </w:r>
          </w:p>
        </w:tc>
        <w:tc>
          <w:tcPr>
            <w:tcW w:w="1440" w:type="dxa"/>
            <w:vAlign w:val="bottom"/>
          </w:tcPr>
          <w:p>
            <w:pPr>
              <w:jc w:val="center"/>
              <w:spacing w:after="0" w:line="149" w:lineRule="exact"/>
              <w:rPr>
                <w:sz w:val="20"/>
                <w:szCs w:val="20"/>
                <w:color w:val="auto"/>
              </w:rPr>
            </w:pPr>
            <w:r>
              <w:rPr>
                <w:rFonts w:ascii="Arial" w:cs="Arial" w:eastAsia="Arial" w:hAnsi="Arial"/>
                <w:sz w:val="14"/>
                <w:szCs w:val="14"/>
                <w:color w:val="auto"/>
                <w:w w:val="95"/>
              </w:rPr>
              <w:t>9.5% — 21.5% (13.5%)</w:t>
            </w:r>
          </w:p>
        </w:tc>
        <w:tc>
          <w:tcPr>
            <w:tcW w:w="0" w:type="dxa"/>
            <w:vAlign w:val="bottom"/>
          </w:tcPr>
          <w:p>
            <w:pPr>
              <w:spacing w:after="0"/>
              <w:rPr>
                <w:sz w:val="1"/>
                <w:szCs w:val="1"/>
                <w:color w:val="auto"/>
              </w:rPr>
            </w:pPr>
          </w:p>
        </w:tc>
      </w:tr>
      <w:tr>
        <w:trPr>
          <w:trHeight w:val="167"/>
        </w:trPr>
        <w:tc>
          <w:tcPr>
            <w:tcW w:w="140" w:type="dxa"/>
            <w:vAlign w:val="bottom"/>
          </w:tcPr>
          <w:p>
            <w:pPr>
              <w:spacing w:after="0"/>
              <w:rPr>
                <w:sz w:val="14"/>
                <w:szCs w:val="14"/>
                <w:color w:val="auto"/>
              </w:rPr>
            </w:pPr>
          </w:p>
        </w:tc>
        <w:tc>
          <w:tcPr>
            <w:tcW w:w="1260" w:type="dxa"/>
            <w:vAlign w:val="bottom"/>
            <w:gridSpan w:val="2"/>
          </w:tcPr>
          <w:p>
            <w:pPr>
              <w:ind w:left="360"/>
              <w:spacing w:after="0"/>
              <w:rPr>
                <w:sz w:val="20"/>
                <w:szCs w:val="20"/>
                <w:color w:val="auto"/>
              </w:rPr>
            </w:pPr>
            <w:r>
              <w:rPr>
                <w:rFonts w:ascii="Arial" w:cs="Arial" w:eastAsia="Arial" w:hAnsi="Arial"/>
                <w:sz w:val="14"/>
                <w:szCs w:val="14"/>
                <w:color w:val="auto"/>
              </w:rPr>
              <w:t>110,923,751</w:t>
            </w:r>
          </w:p>
        </w:tc>
        <w:tc>
          <w:tcPr>
            <w:tcW w:w="1540" w:type="dxa"/>
            <w:vAlign w:val="bottom"/>
            <w:gridSpan w:val="2"/>
          </w:tcPr>
          <w:p>
            <w:pPr>
              <w:jc w:val="center"/>
              <w:ind w:right="100"/>
              <w:spacing w:after="0"/>
              <w:rPr>
                <w:sz w:val="20"/>
                <w:szCs w:val="20"/>
                <w:color w:val="auto"/>
              </w:rPr>
            </w:pPr>
            <w:r>
              <w:rPr>
                <w:rFonts w:ascii="Arial" w:cs="Arial" w:eastAsia="Arial" w:hAnsi="Arial"/>
                <w:sz w:val="14"/>
                <w:szCs w:val="14"/>
                <w:color w:val="auto"/>
                <w:w w:val="93"/>
              </w:rPr>
              <w:t>Enterprise Market Value</w:t>
            </w:r>
          </w:p>
        </w:tc>
        <w:tc>
          <w:tcPr>
            <w:tcW w:w="1580" w:type="dxa"/>
            <w:vAlign w:val="bottom"/>
            <w:gridSpan w:val="2"/>
          </w:tcPr>
          <w:p>
            <w:pPr>
              <w:jc w:val="center"/>
              <w:ind w:right="100"/>
              <w:spacing w:after="0"/>
              <w:rPr>
                <w:sz w:val="20"/>
                <w:szCs w:val="20"/>
                <w:color w:val="auto"/>
              </w:rPr>
            </w:pPr>
            <w:r>
              <w:rPr>
                <w:rFonts w:ascii="Arial" w:cs="Arial" w:eastAsia="Arial" w:hAnsi="Arial"/>
                <w:sz w:val="14"/>
                <w:szCs w:val="14"/>
                <w:color w:val="auto"/>
              </w:rPr>
              <w:t>EBITDA multiple</w:t>
            </w:r>
          </w:p>
        </w:tc>
        <w:tc>
          <w:tcPr>
            <w:tcW w:w="1440" w:type="dxa"/>
            <w:vAlign w:val="bottom"/>
          </w:tcPr>
          <w:p>
            <w:pPr>
              <w:jc w:val="center"/>
              <w:spacing w:after="0"/>
              <w:rPr>
                <w:sz w:val="20"/>
                <w:szCs w:val="20"/>
                <w:color w:val="auto"/>
              </w:rPr>
            </w:pPr>
            <w:r>
              <w:rPr>
                <w:rFonts w:ascii="Arial" w:cs="Arial" w:eastAsia="Arial" w:hAnsi="Arial"/>
                <w:sz w:val="14"/>
                <w:szCs w:val="14"/>
                <w:color w:val="auto"/>
                <w:w w:val="94"/>
              </w:rPr>
              <w:t>6.0 — 15.0 (9.0)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-3347085</wp:posOffset>
            </wp:positionH>
            <wp:positionV relativeFrom="paragraph">
              <wp:posOffset>-290830</wp:posOffset>
            </wp:positionV>
            <wp:extent cx="7132320" cy="10287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02870"/>
                    </a:xfrm>
                    <a:prstGeom prst="rect">
                      <a:avLst/>
                    </a:prstGeom>
                    <a:noFill/>
                  </pic:spPr>
                </pic:pic>
              </a:graphicData>
            </a:graphic>
          </wp:anchor>
        </w:drawing>
        <w:drawing>
          <wp:anchor simplePos="0" relativeHeight="251657728" behindDoc="1" locked="0" layoutInCell="0" allowOverlap="1">
            <wp:simplePos x="0" y="0"/>
            <wp:positionH relativeFrom="column">
              <wp:posOffset>-3347085</wp:posOffset>
            </wp:positionH>
            <wp:positionV relativeFrom="paragraph">
              <wp:posOffset>-93345</wp:posOffset>
            </wp:positionV>
            <wp:extent cx="7132320" cy="9398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93980"/>
                    </a:xfrm>
                    <a:prstGeom prst="rect">
                      <a:avLst/>
                    </a:prstGeom>
                    <a:noFill/>
                  </pic:spPr>
                </pic:pic>
              </a:graphicData>
            </a:graphic>
          </wp:anchor>
        </w:drawing>
      </w:r>
    </w:p>
    <w:p>
      <w:pPr>
        <w:spacing w:after="0" w:line="1" w:lineRule="exact"/>
        <w:rPr>
          <w:sz w:val="20"/>
          <w:szCs w:val="20"/>
          <w:color w:val="auto"/>
        </w:rPr>
      </w:pPr>
    </w:p>
    <w:p>
      <w:pPr>
        <w:sectPr>
          <w:pgSz w:w="11900" w:h="16838" w:orient="portrait"/>
          <w:cols w:equalWidth="0" w:num="2">
            <w:col w:w="4560" w:space="720"/>
            <w:col w:w="5960"/>
          </w:cols>
          <w:pgMar w:left="320" w:top="459" w:right="339" w:bottom="1440" w:gutter="0" w:footer="0" w:header="0"/>
          <w:type w:val="continuous"/>
        </w:sectPr>
      </w:pPr>
    </w:p>
    <w:tbl>
      <w:tblPr>
        <w:tblLayout w:type="fixed"/>
        <w:tblInd w:w="0" w:type="dxa"/>
        <w:tblCellMar>
          <w:top w:w="0" w:type="dxa"/>
          <w:left w:w="0" w:type="dxa"/>
          <w:bottom w:w="0" w:type="dxa"/>
          <w:right w:w="0" w:type="dxa"/>
        </w:tblCellMar>
      </w:tblPr>
      <w:tr>
        <w:trPr>
          <w:trHeight w:val="163"/>
        </w:trPr>
        <w:tc>
          <w:tcPr>
            <w:tcW w:w="5280" w:type="dxa"/>
            <w:vAlign w:val="bottom"/>
          </w:tcPr>
          <w:p>
            <w:pPr>
              <w:spacing w:after="0" w:line="155" w:lineRule="exact"/>
              <w:rPr>
                <w:sz w:val="20"/>
                <w:szCs w:val="20"/>
                <w:color w:val="auto"/>
              </w:rPr>
            </w:pPr>
            <w:r>
              <w:rPr>
                <w:rFonts w:ascii="Arial" w:cs="Arial" w:eastAsia="Arial" w:hAnsi="Arial"/>
                <w:sz w:val="14"/>
                <w:szCs w:val="14"/>
                <w:color w:val="auto"/>
              </w:rPr>
              <w:t>Total Level 3 investments</w:t>
            </w:r>
          </w:p>
        </w:tc>
        <w:tc>
          <w:tcPr>
            <w:tcW w:w="220" w:type="dxa"/>
            <w:vAlign w:val="bottom"/>
            <w:tcBorders>
              <w:top w:val="single" w:sz="8" w:color="auto"/>
              <w:bottom w:val="single" w:sz="8" w:color="auto"/>
            </w:tcBorders>
          </w:tcPr>
          <w:p>
            <w:pPr>
              <w:jc w:val="right"/>
              <w:ind w:right="109"/>
              <w:spacing w:after="0"/>
              <w:rPr>
                <w:sz w:val="20"/>
                <w:szCs w:val="20"/>
                <w:color w:val="auto"/>
              </w:rPr>
            </w:pPr>
            <w:r>
              <w:rPr>
                <w:rFonts w:ascii="Arial" w:cs="Arial" w:eastAsia="Arial" w:hAnsi="Arial"/>
                <w:sz w:val="10"/>
                <w:szCs w:val="10"/>
                <w:color w:val="auto"/>
                <w:w w:val="71"/>
              </w:rPr>
              <w:t>$</w:t>
            </w:r>
          </w:p>
        </w:tc>
        <w:tc>
          <w:tcPr>
            <w:tcW w:w="9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1,026,338,166</w:t>
            </w:r>
          </w:p>
        </w:tc>
        <w:tc>
          <w:tcPr>
            <w:tcW w:w="180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380" w:type="dxa"/>
            <w:vAlign w:val="bottom"/>
          </w:tcPr>
          <w:p>
            <w:pPr>
              <w:spacing w:after="0"/>
              <w:rPr>
                <w:sz w:val="14"/>
                <w:szCs w:val="14"/>
                <w:color w:val="auto"/>
              </w:rPr>
            </w:pPr>
          </w:p>
        </w:tc>
      </w:tr>
      <w:tr>
        <w:trPr>
          <w:trHeight w:val="148"/>
        </w:trPr>
        <w:tc>
          <w:tcPr>
            <w:tcW w:w="52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Long-Term Credit Facility</w:t>
            </w:r>
          </w:p>
        </w:tc>
        <w:tc>
          <w:tcPr>
            <w:tcW w:w="220" w:type="dxa"/>
            <w:vAlign w:val="bottom"/>
            <w:tcBorders>
              <w:bottom w:val="single" w:sz="8" w:color="auto"/>
            </w:tcBorders>
            <w:shd w:val="clear" w:color="auto" w:fill="CCEEFF"/>
          </w:tcPr>
          <w:p>
            <w:pPr>
              <w:jc w:val="right"/>
              <w:ind w:right="109"/>
              <w:spacing w:after="0"/>
              <w:rPr>
                <w:sz w:val="20"/>
                <w:szCs w:val="20"/>
                <w:color w:val="auto"/>
              </w:rPr>
            </w:pPr>
            <w:r>
              <w:rPr>
                <w:rFonts w:ascii="Arial" w:cs="Arial" w:eastAsia="Arial" w:hAnsi="Arial"/>
                <w:sz w:val="10"/>
                <w:szCs w:val="10"/>
                <w:color w:val="auto"/>
                <w:w w:val="71"/>
              </w:rPr>
              <w:t>$</w:t>
            </w:r>
          </w:p>
        </w:tc>
        <w:tc>
          <w:tcPr>
            <w:tcW w:w="98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117,500,000</w:t>
            </w:r>
          </w:p>
        </w:tc>
        <w:tc>
          <w:tcPr>
            <w:tcW w:w="1800" w:type="dxa"/>
            <w:vAlign w:val="bottom"/>
            <w:shd w:val="clear" w:color="auto" w:fill="CCEEFF"/>
          </w:tcPr>
          <w:p>
            <w:pPr>
              <w:ind w:left="340"/>
              <w:spacing w:after="0" w:line="149" w:lineRule="exact"/>
              <w:rPr>
                <w:sz w:val="20"/>
                <w:szCs w:val="20"/>
                <w:color w:val="auto"/>
              </w:rPr>
            </w:pPr>
            <w:r>
              <w:rPr>
                <w:rFonts w:ascii="Arial" w:cs="Arial" w:eastAsia="Arial" w:hAnsi="Arial"/>
                <w:sz w:val="14"/>
                <w:szCs w:val="14"/>
                <w:color w:val="auto"/>
              </w:rPr>
              <w:t>Market Comparable</w:t>
            </w:r>
          </w:p>
        </w:tc>
        <w:tc>
          <w:tcPr>
            <w:tcW w:w="1580" w:type="dxa"/>
            <w:vAlign w:val="bottom"/>
            <w:shd w:val="clear" w:color="auto" w:fill="CCEEFF"/>
          </w:tcPr>
          <w:p>
            <w:pPr>
              <w:ind w:left="300"/>
              <w:spacing w:after="0" w:line="149" w:lineRule="exact"/>
              <w:rPr>
                <w:sz w:val="20"/>
                <w:szCs w:val="20"/>
                <w:color w:val="auto"/>
              </w:rPr>
            </w:pPr>
            <w:r>
              <w:rPr>
                <w:rFonts w:ascii="Arial" w:cs="Arial" w:eastAsia="Arial" w:hAnsi="Arial"/>
                <w:sz w:val="14"/>
                <w:szCs w:val="14"/>
                <w:color w:val="auto"/>
              </w:rPr>
              <w:t>Discount rate</w:t>
            </w:r>
          </w:p>
        </w:tc>
        <w:tc>
          <w:tcPr>
            <w:tcW w:w="1380" w:type="dxa"/>
            <w:vAlign w:val="bottom"/>
            <w:shd w:val="clear" w:color="auto" w:fill="CCEEFF"/>
          </w:tcPr>
          <w:p>
            <w:pPr>
              <w:jc w:val="right"/>
              <w:ind w:right="488"/>
              <w:spacing w:after="0" w:line="149" w:lineRule="exact"/>
              <w:rPr>
                <w:sz w:val="20"/>
                <w:szCs w:val="20"/>
                <w:color w:val="auto"/>
              </w:rPr>
            </w:pPr>
            <w:r>
              <w:rPr>
                <w:rFonts w:ascii="Arial" w:cs="Arial" w:eastAsia="Arial" w:hAnsi="Arial"/>
                <w:sz w:val="14"/>
                <w:szCs w:val="14"/>
                <w:color w:val="auto"/>
              </w:rPr>
              <w:t>3.6%</w:t>
            </w:r>
          </w:p>
        </w:tc>
      </w:tr>
    </w:tbl>
    <w:p>
      <w:pPr>
        <w:spacing w:after="0" w:line="21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Our cash equivalents, investments, the 2025 Notes and Credit Facility were categorized as follows in the fair value hierarchy for ASC 820 purposes:</w:t>
      </w:r>
    </w:p>
    <w:p>
      <w:pPr>
        <w:spacing w:after="0" w:line="267" w:lineRule="exact"/>
        <w:rPr>
          <w:sz w:val="20"/>
          <w:szCs w:val="20"/>
          <w:color w:val="auto"/>
        </w:rPr>
      </w:pPr>
    </w:p>
    <w:tbl>
      <w:tblPr>
        <w:tblLayout w:type="fixed"/>
        <w:tblInd w:w="460" w:type="dxa"/>
        <w:tblCellMar>
          <w:top w:w="0" w:type="dxa"/>
          <w:left w:w="0" w:type="dxa"/>
          <w:bottom w:w="0" w:type="dxa"/>
          <w:right w:w="0" w:type="dxa"/>
        </w:tblCellMar>
      </w:tblPr>
      <w:tr>
        <w:trPr>
          <w:trHeight w:val="171"/>
        </w:trPr>
        <w:tc>
          <w:tcPr>
            <w:tcW w:w="58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Description</w:t>
            </w:r>
          </w:p>
        </w:tc>
        <w:tc>
          <w:tcPr>
            <w:tcW w:w="6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2440" w:type="dxa"/>
            <w:vAlign w:val="bottom"/>
            <w:tcBorders>
              <w:bottom w:val="single" w:sz="8" w:color="auto"/>
            </w:tcBorders>
            <w:gridSpan w:val="7"/>
          </w:tcPr>
          <w:p>
            <w:pPr>
              <w:ind w:left="300"/>
              <w:spacing w:after="0"/>
              <w:rPr>
                <w:sz w:val="20"/>
                <w:szCs w:val="20"/>
                <w:color w:val="auto"/>
              </w:rPr>
            </w:pPr>
            <w:r>
              <w:rPr>
                <w:rFonts w:ascii="Arial" w:cs="Arial" w:eastAsia="Arial" w:hAnsi="Arial"/>
                <w:sz w:val="14"/>
                <w:szCs w:val="14"/>
                <w:b w:val="1"/>
                <w:bCs w:val="1"/>
                <w:color w:val="auto"/>
                <w:w w:val="99"/>
              </w:rPr>
              <w:t>Fair Value at December 31, 2013</w:t>
            </w:r>
          </w:p>
        </w:tc>
        <w:tc>
          <w:tcPr>
            <w:tcW w:w="1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840" w:type="dxa"/>
            <w:vAlign w:val="bottom"/>
            <w:gridSpan w:val="2"/>
            <w:vMerge w:val="continue"/>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tcPr>
          <w:p>
            <w:pPr>
              <w:jc w:val="right"/>
              <w:ind w:right="68"/>
              <w:spacing w:after="0" w:line="142" w:lineRule="exact"/>
              <w:rPr>
                <w:sz w:val="20"/>
                <w:szCs w:val="20"/>
                <w:color w:val="auto"/>
              </w:rPr>
            </w:pPr>
            <w:r>
              <w:rPr>
                <w:rFonts w:ascii="Arial" w:cs="Arial" w:eastAsia="Arial" w:hAnsi="Arial"/>
                <w:sz w:val="14"/>
                <w:szCs w:val="14"/>
                <w:b w:val="1"/>
                <w:bCs w:val="1"/>
                <w:color w:val="auto"/>
              </w:rPr>
              <w:t>Fair Value</w:t>
            </w: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jc w:val="right"/>
              <w:ind w:right="88"/>
              <w:spacing w:after="0" w:line="142" w:lineRule="exact"/>
              <w:rPr>
                <w:sz w:val="20"/>
                <w:szCs w:val="20"/>
                <w:color w:val="auto"/>
              </w:rPr>
            </w:pPr>
            <w:r>
              <w:rPr>
                <w:rFonts w:ascii="Arial" w:cs="Arial" w:eastAsia="Arial" w:hAnsi="Arial"/>
                <w:sz w:val="14"/>
                <w:szCs w:val="14"/>
                <w:b w:val="1"/>
                <w:bCs w:val="1"/>
                <w:color w:val="auto"/>
              </w:rPr>
              <w:t>Level 1</w:t>
            </w: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gridSpan w:val="2"/>
          </w:tcPr>
          <w:p>
            <w:pPr>
              <w:ind w:left="60"/>
              <w:spacing w:after="0" w:line="142" w:lineRule="exact"/>
              <w:rPr>
                <w:sz w:val="20"/>
                <w:szCs w:val="20"/>
                <w:color w:val="auto"/>
              </w:rPr>
            </w:pPr>
            <w:r>
              <w:rPr>
                <w:rFonts w:ascii="Arial" w:cs="Arial" w:eastAsia="Arial" w:hAnsi="Arial"/>
                <w:sz w:val="14"/>
                <w:szCs w:val="14"/>
                <w:b w:val="1"/>
                <w:bCs w:val="1"/>
                <w:color w:val="auto"/>
              </w:rPr>
              <w:t>Level 2</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jc w:val="right"/>
              <w:ind w:right="188"/>
              <w:spacing w:after="0" w:line="142" w:lineRule="exact"/>
              <w:rPr>
                <w:sz w:val="20"/>
                <w:szCs w:val="20"/>
                <w:color w:val="auto"/>
              </w:rPr>
            </w:pPr>
            <w:r>
              <w:rPr>
                <w:rFonts w:ascii="Arial" w:cs="Arial" w:eastAsia="Arial" w:hAnsi="Arial"/>
                <w:sz w:val="14"/>
                <w:szCs w:val="14"/>
                <w:b w:val="1"/>
                <w:bCs w:val="1"/>
                <w:color w:val="auto"/>
              </w:rPr>
              <w:t>Level 3</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700" w:type="dxa"/>
            <w:vAlign w:val="bottom"/>
            <w:shd w:val="clear" w:color="auto" w:fill="000000"/>
          </w:tcPr>
          <w:p>
            <w:pPr>
              <w:spacing w:after="0" w:line="20" w:lineRule="exact"/>
              <w:rPr>
                <w:sz w:val="1"/>
                <w:szCs w:val="1"/>
                <w:color w:val="auto"/>
              </w:rPr>
            </w:pPr>
          </w:p>
        </w:tc>
        <w:tc>
          <w:tcPr>
            <w:tcW w:w="5140" w:type="dxa"/>
            <w:vAlign w:val="bottom"/>
            <w:tcBorders>
              <w:right w:val="single" w:sz="8" w:color="CCEEFF"/>
            </w:tcBorders>
            <w:shd w:val="clear" w:color="auto" w:fill="CCEEFF"/>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380" w:type="dxa"/>
            <w:vAlign w:val="bottom"/>
            <w:vMerge w:val="restart"/>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60" w:type="dxa"/>
            <w:vAlign w:val="bottom"/>
            <w:vMerge w:val="restart"/>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CEEFF"/>
          </w:tcPr>
          <w:p>
            <w:pPr>
              <w:spacing w:after="0" w:line="20" w:lineRule="exact"/>
              <w:rPr>
                <w:sz w:val="1"/>
                <w:szCs w:val="1"/>
                <w:color w:val="auto"/>
              </w:rPr>
            </w:pPr>
          </w:p>
        </w:tc>
        <w:tc>
          <w:tcPr>
            <w:tcW w:w="160" w:type="dxa"/>
            <w:vAlign w:val="bottom"/>
            <w:vMerge w:val="restart"/>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80" w:type="dxa"/>
            <w:vAlign w:val="bottom"/>
            <w:vMerge w:val="restart"/>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5840" w:type="dxa"/>
            <w:vAlign w:val="bottom"/>
            <w:tcBorders>
              <w:right w:val="single" w:sz="8" w:color="CCEEFF"/>
            </w:tcBorders>
            <w:gridSpan w:val="2"/>
            <w:shd w:val="clear" w:color="auto" w:fill="CCEEFF"/>
          </w:tcPr>
          <w:p>
            <w:pPr>
              <w:spacing w:after="0" w:line="142" w:lineRule="exact"/>
              <w:rPr>
                <w:sz w:val="20"/>
                <w:szCs w:val="20"/>
                <w:color w:val="auto"/>
              </w:rPr>
            </w:pPr>
            <w:r>
              <w:rPr>
                <w:rFonts w:ascii="Arial" w:cs="Arial" w:eastAsia="Arial" w:hAnsi="Arial"/>
                <w:sz w:val="14"/>
                <w:szCs w:val="14"/>
                <w:color w:val="auto"/>
              </w:rPr>
              <w:t>Loan and debt investments</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4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w w:val="91"/>
              </w:rPr>
              <w:t>1,081,205,495</w:t>
            </w:r>
          </w:p>
        </w:tc>
        <w:tc>
          <w:tcPr>
            <w:tcW w:w="380" w:type="dxa"/>
            <w:vAlign w:val="bottom"/>
            <w:vMerge w:val="continue"/>
            <w:shd w:val="clear" w:color="auto" w:fill="CCEEFF"/>
          </w:tcPr>
          <w:p>
            <w:pPr>
              <w:spacing w:after="0"/>
              <w:rPr>
                <w:sz w:val="12"/>
                <w:szCs w:val="12"/>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60" w:type="dxa"/>
            <w:vAlign w:val="bottom"/>
            <w:shd w:val="clear" w:color="auto" w:fill="CCEEFF"/>
          </w:tcPr>
          <w:p>
            <w:pPr>
              <w:jc w:val="right"/>
              <w:ind w:right="8"/>
              <w:spacing w:after="0" w:line="142" w:lineRule="exact"/>
              <w:rPr>
                <w:sz w:val="20"/>
                <w:szCs w:val="20"/>
                <w:color w:val="auto"/>
              </w:rPr>
            </w:pPr>
            <w:r>
              <w:rPr>
                <w:rFonts w:ascii="Arial" w:cs="Arial" w:eastAsia="Arial" w:hAnsi="Arial"/>
                <w:sz w:val="14"/>
                <w:szCs w:val="14"/>
                <w:color w:val="auto"/>
              </w:rPr>
              <w:t>—</w:t>
            </w:r>
          </w:p>
        </w:tc>
        <w:tc>
          <w:tcPr>
            <w:tcW w:w="360" w:type="dxa"/>
            <w:vAlign w:val="bottom"/>
            <w:vMerge w:val="continue"/>
            <w:shd w:val="clear" w:color="auto" w:fill="CCEEFF"/>
          </w:tcPr>
          <w:p>
            <w:pPr>
              <w:spacing w:after="0"/>
              <w:rPr>
                <w:sz w:val="12"/>
                <w:szCs w:val="12"/>
                <w:color w:val="auto"/>
              </w:rPr>
            </w:pPr>
          </w:p>
        </w:tc>
        <w:tc>
          <w:tcPr>
            <w:tcW w:w="8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66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w w:val="91"/>
              </w:rPr>
              <w:t>60,397,848</w:t>
            </w:r>
          </w:p>
        </w:tc>
        <w:tc>
          <w:tcPr>
            <w:tcW w:w="220" w:type="dxa"/>
            <w:vAlign w:val="bottom"/>
            <w:vMerge w:val="continue"/>
            <w:shd w:val="clear" w:color="auto" w:fill="CCEEFF"/>
          </w:tcPr>
          <w:p>
            <w:pPr>
              <w:spacing w:after="0"/>
              <w:rPr>
                <w:sz w:val="12"/>
                <w:szCs w:val="12"/>
                <w:color w:val="auto"/>
              </w:rPr>
            </w:pPr>
          </w:p>
        </w:tc>
        <w:tc>
          <w:tcPr>
            <w:tcW w:w="160" w:type="dxa"/>
            <w:vAlign w:val="bottom"/>
            <w:vMerge w:val="continue"/>
            <w:shd w:val="clear" w:color="auto" w:fill="CCEEFF"/>
          </w:tcPr>
          <w:p>
            <w:pPr>
              <w:spacing w:after="0"/>
              <w:rPr>
                <w:sz w:val="12"/>
                <w:szCs w:val="12"/>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4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w w:val="89"/>
              </w:rPr>
              <w:t>1,020,807,647</w:t>
            </w:r>
          </w:p>
        </w:tc>
        <w:tc>
          <w:tcPr>
            <w:tcW w:w="80" w:type="dxa"/>
            <w:vAlign w:val="bottom"/>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5840" w:type="dxa"/>
            <w:vAlign w:val="bottom"/>
            <w:gridSpan w:val="2"/>
          </w:tcPr>
          <w:p>
            <w:pPr>
              <w:spacing w:after="0" w:line="149" w:lineRule="exact"/>
              <w:rPr>
                <w:sz w:val="20"/>
                <w:szCs w:val="20"/>
                <w:color w:val="auto"/>
              </w:rPr>
            </w:pPr>
            <w:r>
              <w:rPr>
                <w:rFonts w:ascii="Arial" w:cs="Arial" w:eastAsia="Arial" w:hAnsi="Arial"/>
                <w:sz w:val="14"/>
                <w:szCs w:val="14"/>
                <w:color w:val="auto"/>
              </w:rPr>
              <w:t>Equity investments</w:t>
            </w:r>
          </w:p>
        </w:tc>
        <w:tc>
          <w:tcPr>
            <w:tcW w:w="6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128,075,927</w:t>
            </w:r>
          </w:p>
        </w:tc>
        <w:tc>
          <w:tcPr>
            <w:tcW w:w="38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w w:val="99"/>
              </w:rPr>
              <w:t>8,932,323</w:t>
            </w:r>
          </w:p>
        </w:tc>
        <w:tc>
          <w:tcPr>
            <w:tcW w:w="36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272,259</w:t>
            </w: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118,871,345</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5840" w:type="dxa"/>
            <w:vAlign w:val="bottom"/>
            <w:tcBorders>
              <w:right w:val="single" w:sz="8" w:color="CCEEFF"/>
            </w:tcBorders>
            <w:gridSpan w:val="2"/>
            <w:shd w:val="clear" w:color="auto" w:fill="CCEEFF"/>
          </w:tcPr>
          <w:p>
            <w:pPr>
              <w:ind w:left="280"/>
              <w:spacing w:after="0" w:line="149" w:lineRule="exact"/>
              <w:rPr>
                <w:sz w:val="20"/>
                <w:szCs w:val="20"/>
                <w:color w:val="auto"/>
              </w:rPr>
            </w:pPr>
            <w:r>
              <w:rPr>
                <w:rFonts w:ascii="Arial" w:cs="Arial" w:eastAsia="Arial" w:hAnsi="Arial"/>
                <w:sz w:val="14"/>
                <w:szCs w:val="14"/>
                <w:color w:val="auto"/>
              </w:rPr>
              <w:t>Total investments</w:t>
            </w:r>
          </w:p>
        </w:tc>
        <w:tc>
          <w:tcPr>
            <w:tcW w:w="6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1"/>
              </w:rPr>
              <w:t>1,209,281,422</w:t>
            </w: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9"/>
              </w:rPr>
              <w:t>8,932,323</w:t>
            </w:r>
          </w:p>
        </w:tc>
        <w:tc>
          <w:tcPr>
            <w:tcW w:w="3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1"/>
              </w:rPr>
              <w:t>60,670,107</w:t>
            </w: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9"/>
              </w:rPr>
              <w:t>1,139,678,992</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5840" w:type="dxa"/>
            <w:vAlign w:val="bottom"/>
            <w:gridSpan w:val="2"/>
          </w:tcPr>
          <w:p>
            <w:pPr>
              <w:spacing w:after="0" w:line="149" w:lineRule="exact"/>
              <w:rPr>
                <w:sz w:val="20"/>
                <w:szCs w:val="20"/>
                <w:color w:val="auto"/>
              </w:rPr>
            </w:pPr>
            <w:r>
              <w:rPr>
                <w:rFonts w:ascii="Arial" w:cs="Arial" w:eastAsia="Arial" w:hAnsi="Arial"/>
                <w:sz w:val="14"/>
                <w:szCs w:val="14"/>
                <w:color w:val="auto"/>
              </w:rPr>
              <w:t>Cash and cash equivalents</w:t>
            </w:r>
          </w:p>
        </w:tc>
        <w:tc>
          <w:tcPr>
            <w:tcW w:w="6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30,803,635</w:t>
            </w:r>
          </w:p>
        </w:tc>
        <w:tc>
          <w:tcPr>
            <w:tcW w:w="38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w w:val="88"/>
              </w:rPr>
              <w:t>30,803,635</w:t>
            </w:r>
          </w:p>
        </w:tc>
        <w:tc>
          <w:tcPr>
            <w:tcW w:w="36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right"/>
              <w:ind w:right="8"/>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8"/>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5840" w:type="dxa"/>
            <w:vAlign w:val="bottom"/>
            <w:tcBorders>
              <w:right w:val="single" w:sz="8" w:color="CCEEFF"/>
            </w:tcBorders>
            <w:gridSpan w:val="2"/>
            <w:shd w:val="clear" w:color="auto" w:fill="CCEEFF"/>
          </w:tcPr>
          <w:p>
            <w:pPr>
              <w:ind w:left="280"/>
              <w:spacing w:after="0" w:line="149" w:lineRule="exact"/>
              <w:rPr>
                <w:sz w:val="20"/>
                <w:szCs w:val="20"/>
                <w:color w:val="auto"/>
              </w:rPr>
            </w:pPr>
            <w:r>
              <w:rPr>
                <w:rFonts w:ascii="Arial" w:cs="Arial" w:eastAsia="Arial" w:hAnsi="Arial"/>
                <w:sz w:val="14"/>
                <w:szCs w:val="14"/>
                <w:color w:val="auto"/>
              </w:rPr>
              <w:t>Total investments, cash and cash equivalents</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1"/>
              </w:rPr>
              <w:t>1,240,085,057</w:t>
            </w:r>
          </w:p>
        </w:tc>
        <w:tc>
          <w:tcPr>
            <w:tcW w:w="4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u w:val="single" w:color="auto"/>
                <w:color w:val="auto"/>
              </w:rPr>
              <w:t>$</w:t>
            </w: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8"/>
              </w:rPr>
              <w:t>39,735,958</w:t>
            </w:r>
          </w:p>
        </w:tc>
        <w:tc>
          <w:tcPr>
            <w:tcW w:w="4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u w:val="single" w:color="auto"/>
                <w:color w:val="auto"/>
              </w:rPr>
              <w:t>$</w:t>
            </w: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1"/>
              </w:rPr>
              <w:t>60,670,107</w:t>
            </w:r>
          </w:p>
        </w:tc>
        <w:tc>
          <w:tcPr>
            <w:tcW w:w="220" w:type="dxa"/>
            <w:vAlign w:val="bottom"/>
            <w:shd w:val="clear" w:color="auto" w:fill="CCEEFF"/>
          </w:tcPr>
          <w:p>
            <w:pPr>
              <w:spacing w:after="0"/>
              <w:rPr>
                <w:sz w:val="12"/>
                <w:szCs w:val="12"/>
                <w:color w:val="auto"/>
              </w:rPr>
            </w:pPr>
          </w:p>
        </w:tc>
        <w:tc>
          <w:tcPr>
            <w:tcW w:w="2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9"/>
              </w:rPr>
              <w:t>1,139,678,992</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5840" w:type="dxa"/>
            <w:vAlign w:val="bottom"/>
            <w:gridSpan w:val="2"/>
          </w:tcPr>
          <w:p>
            <w:pPr>
              <w:spacing w:after="0" w:line="155" w:lineRule="exact"/>
              <w:rPr>
                <w:sz w:val="20"/>
                <w:szCs w:val="20"/>
                <w:color w:val="auto"/>
              </w:rPr>
            </w:pPr>
            <w:r>
              <w:rPr>
                <w:rFonts w:ascii="Arial" w:cs="Arial" w:eastAsia="Arial" w:hAnsi="Arial"/>
                <w:sz w:val="14"/>
                <w:szCs w:val="14"/>
                <w:color w:val="auto"/>
              </w:rPr>
              <w:t>Long-Term Credit Facility (excluding temporary draw of $12,000,000)</w:t>
            </w:r>
          </w:p>
        </w:tc>
        <w:tc>
          <w:tcPr>
            <w:tcW w:w="60" w:type="dxa"/>
            <w:vAlign w:val="bottom"/>
            <w:tcBorders>
              <w:top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84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228,000,000</w:t>
            </w:r>
          </w:p>
        </w:tc>
        <w:tc>
          <w:tcPr>
            <w:tcW w:w="380" w:type="dxa"/>
            <w:vAlign w:val="bottom"/>
          </w:tcPr>
          <w:p>
            <w:pPr>
              <w:spacing w:after="0"/>
              <w:rPr>
                <w:sz w:val="13"/>
                <w:szCs w:val="13"/>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660" w:type="dxa"/>
            <w:vAlign w:val="bottom"/>
            <w:tcBorders>
              <w:top w:val="single" w:sz="8" w:color="auto"/>
            </w:tcBorders>
          </w:tcPr>
          <w:p>
            <w:pPr>
              <w:jc w:val="right"/>
              <w:ind w:right="8"/>
              <w:spacing w:after="0" w:line="155" w:lineRule="exact"/>
              <w:rPr>
                <w:sz w:val="20"/>
                <w:szCs w:val="20"/>
                <w:color w:val="auto"/>
              </w:rPr>
            </w:pPr>
            <w:r>
              <w:rPr>
                <w:rFonts w:ascii="Arial" w:cs="Arial" w:eastAsia="Arial" w:hAnsi="Arial"/>
                <w:sz w:val="14"/>
                <w:szCs w:val="14"/>
                <w:color w:val="auto"/>
              </w:rPr>
              <w:t>—</w:t>
            </w:r>
          </w:p>
        </w:tc>
        <w:tc>
          <w:tcPr>
            <w:tcW w:w="360" w:type="dxa"/>
            <w:vAlign w:val="bottom"/>
          </w:tcPr>
          <w:p>
            <w:pPr>
              <w:spacing w:after="0"/>
              <w:rPr>
                <w:sz w:val="13"/>
                <w:szCs w:val="13"/>
                <w:color w:val="auto"/>
              </w:rPr>
            </w:pPr>
          </w:p>
        </w:tc>
        <w:tc>
          <w:tcPr>
            <w:tcW w:w="8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660" w:type="dxa"/>
            <w:vAlign w:val="bottom"/>
            <w:tcBorders>
              <w:top w:val="single" w:sz="8" w:color="auto"/>
            </w:tcBorders>
          </w:tcPr>
          <w:p>
            <w:pPr>
              <w:jc w:val="right"/>
              <w:ind w:right="8"/>
              <w:spacing w:after="0" w:line="155"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84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228,000,000</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5840" w:type="dxa"/>
            <w:vAlign w:val="bottom"/>
            <w:tcBorders>
              <w:right w:val="single" w:sz="8" w:color="CCEEFF"/>
            </w:tcBorders>
            <w:gridSpan w:val="2"/>
            <w:shd w:val="clear" w:color="auto" w:fill="CCEEFF"/>
          </w:tcPr>
          <w:p>
            <w:pPr>
              <w:spacing w:after="0" w:line="149" w:lineRule="exact"/>
              <w:rPr>
                <w:sz w:val="20"/>
                <w:szCs w:val="20"/>
                <w:color w:val="auto"/>
              </w:rPr>
            </w:pPr>
            <w:r>
              <w:rPr>
                <w:rFonts w:ascii="Arial" w:cs="Arial" w:eastAsia="Arial" w:hAnsi="Arial"/>
                <w:sz w:val="14"/>
                <w:szCs w:val="14"/>
                <w:color w:val="auto"/>
              </w:rPr>
              <w:t>2025 Notes</w:t>
            </w:r>
          </w:p>
        </w:tc>
        <w:tc>
          <w:tcPr>
            <w:tcW w:w="6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64,296,000</w:t>
            </w: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8"/>
              </w:rPr>
              <w:t>64,296,000</w:t>
            </w:r>
          </w:p>
        </w:tc>
        <w:tc>
          <w:tcPr>
            <w:tcW w:w="3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5"/>
        </w:trPr>
        <w:tc>
          <w:tcPr>
            <w:tcW w:w="5840" w:type="dxa"/>
            <w:vAlign w:val="bottom"/>
            <w:gridSpan w:val="2"/>
          </w:tcPr>
          <w:p>
            <w:pPr>
              <w:spacing w:after="0" w:line="155" w:lineRule="exact"/>
              <w:rPr>
                <w:sz w:val="20"/>
                <w:szCs w:val="20"/>
                <w:color w:val="auto"/>
              </w:rPr>
            </w:pPr>
            <w:r>
              <w:rPr>
                <w:rFonts w:ascii="Arial" w:cs="Arial" w:eastAsia="Arial" w:hAnsi="Arial"/>
                <w:sz w:val="14"/>
                <w:szCs w:val="14"/>
                <w:color w:val="auto"/>
              </w:rPr>
              <w:t>Total debt</w:t>
            </w:r>
          </w:p>
        </w:tc>
        <w:tc>
          <w:tcPr>
            <w:tcW w:w="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8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292,296,000</w:t>
            </w:r>
          </w:p>
        </w:tc>
        <w:tc>
          <w:tcPr>
            <w:tcW w:w="380" w:type="dxa"/>
            <w:vAlign w:val="bottom"/>
          </w:tcPr>
          <w:p>
            <w:pPr>
              <w:spacing w:after="0"/>
              <w:rPr>
                <w:sz w:val="13"/>
                <w:szCs w:val="13"/>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u w:val="single" w:color="auto"/>
                <w:color w:val="auto"/>
                <w:w w:val="71"/>
              </w:rPr>
              <w:t>$</w:t>
            </w:r>
          </w:p>
        </w:tc>
        <w:tc>
          <w:tcPr>
            <w:tcW w:w="6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88"/>
              </w:rPr>
              <w:t>64,296,000</w:t>
            </w:r>
          </w:p>
        </w:tc>
        <w:tc>
          <w:tcPr>
            <w:tcW w:w="360" w:type="dxa"/>
            <w:vAlign w:val="bottom"/>
          </w:tcPr>
          <w:p>
            <w:pPr>
              <w:spacing w:after="0"/>
              <w:rPr>
                <w:sz w:val="13"/>
                <w:szCs w:val="13"/>
                <w:color w:val="auto"/>
              </w:rPr>
            </w:pPr>
          </w:p>
        </w:tc>
        <w:tc>
          <w:tcPr>
            <w:tcW w:w="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660" w:type="dxa"/>
            <w:vAlign w:val="bottom"/>
            <w:tcBorders>
              <w:top w:val="single" w:sz="8" w:color="auto"/>
              <w:bottom w:val="single" w:sz="8" w:color="auto"/>
            </w:tcBorders>
          </w:tcPr>
          <w:p>
            <w:pPr>
              <w:jc w:val="right"/>
              <w:ind w:right="8"/>
              <w:spacing w:after="0" w:line="155"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8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228,000,000</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234" w:lineRule="exact"/>
        <w:rPr>
          <w:sz w:val="20"/>
          <w:szCs w:val="20"/>
          <w:color w:val="auto"/>
        </w:rPr>
      </w:pPr>
    </w:p>
    <w:tbl>
      <w:tblPr>
        <w:tblLayout w:type="fixed"/>
        <w:tblInd w:w="460" w:type="dxa"/>
        <w:tblCellMar>
          <w:top w:w="0" w:type="dxa"/>
          <w:left w:w="0" w:type="dxa"/>
          <w:bottom w:w="0" w:type="dxa"/>
          <w:right w:w="0" w:type="dxa"/>
        </w:tblCellMar>
      </w:tblPr>
      <w:tr>
        <w:trPr>
          <w:trHeight w:val="171"/>
        </w:trPr>
        <w:tc>
          <w:tcPr>
            <w:tcW w:w="45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Description</w:t>
            </w:r>
          </w:p>
        </w:tc>
        <w:tc>
          <w:tcPr>
            <w:tcW w:w="12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2460" w:type="dxa"/>
            <w:vAlign w:val="bottom"/>
            <w:tcBorders>
              <w:bottom w:val="single" w:sz="8" w:color="auto"/>
            </w:tcBorders>
            <w:gridSpan w:val="7"/>
          </w:tcPr>
          <w:p>
            <w:pPr>
              <w:ind w:left="280"/>
              <w:spacing w:after="0"/>
              <w:rPr>
                <w:sz w:val="20"/>
                <w:szCs w:val="20"/>
                <w:color w:val="auto"/>
              </w:rPr>
            </w:pPr>
            <w:r>
              <w:rPr>
                <w:rFonts w:ascii="Arial" w:cs="Arial" w:eastAsia="Arial" w:hAnsi="Arial"/>
                <w:sz w:val="14"/>
                <w:szCs w:val="14"/>
                <w:b w:val="1"/>
                <w:bCs w:val="1"/>
                <w:color w:val="auto"/>
                <w:w w:val="99"/>
              </w:rPr>
              <w:t>Fair Value at September 30, 2013</w:t>
            </w:r>
          </w:p>
        </w:tc>
        <w:tc>
          <w:tcPr>
            <w:tcW w:w="1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580" w:type="dxa"/>
            <w:vAlign w:val="bottom"/>
            <w:gridSpan w:val="2"/>
            <w:vMerge w:val="continue"/>
          </w:tcPr>
          <w:p>
            <w:pPr>
              <w:spacing w:after="0"/>
              <w:rPr>
                <w:sz w:val="12"/>
                <w:szCs w:val="12"/>
                <w:color w:val="auto"/>
              </w:rPr>
            </w:pPr>
          </w:p>
        </w:tc>
        <w:tc>
          <w:tcPr>
            <w:tcW w:w="1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jc w:val="right"/>
              <w:ind w:right="68"/>
              <w:spacing w:after="0" w:line="142" w:lineRule="exact"/>
              <w:rPr>
                <w:sz w:val="20"/>
                <w:szCs w:val="20"/>
                <w:color w:val="auto"/>
              </w:rPr>
            </w:pPr>
            <w:r>
              <w:rPr>
                <w:rFonts w:ascii="Arial" w:cs="Arial" w:eastAsia="Arial" w:hAnsi="Arial"/>
                <w:sz w:val="14"/>
                <w:szCs w:val="14"/>
                <w:b w:val="1"/>
                <w:bCs w:val="1"/>
                <w:color w:val="auto"/>
              </w:rPr>
              <w:t>Fair Value</w:t>
            </w: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jc w:val="right"/>
              <w:ind w:right="88"/>
              <w:spacing w:after="0" w:line="142" w:lineRule="exact"/>
              <w:rPr>
                <w:sz w:val="20"/>
                <w:szCs w:val="20"/>
                <w:color w:val="auto"/>
              </w:rPr>
            </w:pPr>
            <w:r>
              <w:rPr>
                <w:rFonts w:ascii="Arial" w:cs="Arial" w:eastAsia="Arial" w:hAnsi="Arial"/>
                <w:sz w:val="14"/>
                <w:szCs w:val="14"/>
                <w:b w:val="1"/>
                <w:bCs w:val="1"/>
                <w:color w:val="auto"/>
              </w:rPr>
              <w:t>Level 1</w:t>
            </w: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gridSpan w:val="2"/>
          </w:tcPr>
          <w:p>
            <w:pPr>
              <w:ind w:left="60"/>
              <w:spacing w:after="0" w:line="142" w:lineRule="exact"/>
              <w:rPr>
                <w:sz w:val="20"/>
                <w:szCs w:val="20"/>
                <w:color w:val="auto"/>
              </w:rPr>
            </w:pPr>
            <w:r>
              <w:rPr>
                <w:rFonts w:ascii="Arial" w:cs="Arial" w:eastAsia="Arial" w:hAnsi="Arial"/>
                <w:sz w:val="14"/>
                <w:szCs w:val="14"/>
                <w:b w:val="1"/>
                <w:bCs w:val="1"/>
                <w:color w:val="auto"/>
              </w:rPr>
              <w:t>Level 2</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jc w:val="right"/>
              <w:ind w:right="188"/>
              <w:spacing w:after="0" w:line="142" w:lineRule="exact"/>
              <w:rPr>
                <w:sz w:val="20"/>
                <w:szCs w:val="20"/>
                <w:color w:val="auto"/>
              </w:rPr>
            </w:pPr>
            <w:r>
              <w:rPr>
                <w:rFonts w:ascii="Arial" w:cs="Arial" w:eastAsia="Arial" w:hAnsi="Arial"/>
                <w:sz w:val="14"/>
                <w:szCs w:val="14"/>
                <w:b w:val="1"/>
                <w:bCs w:val="1"/>
                <w:color w:val="auto"/>
              </w:rPr>
              <w:t>Level 3</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700" w:type="dxa"/>
            <w:vAlign w:val="bottom"/>
            <w:shd w:val="clear" w:color="auto" w:fill="000000"/>
          </w:tcPr>
          <w:p>
            <w:pPr>
              <w:spacing w:after="0" w:line="20" w:lineRule="exact"/>
              <w:rPr>
                <w:sz w:val="1"/>
                <w:szCs w:val="1"/>
                <w:color w:val="auto"/>
              </w:rPr>
            </w:pPr>
          </w:p>
        </w:tc>
        <w:tc>
          <w:tcPr>
            <w:tcW w:w="3880" w:type="dxa"/>
            <w:vAlign w:val="bottom"/>
            <w:shd w:val="clear" w:color="auto" w:fill="CCEEFF"/>
          </w:tcPr>
          <w:p>
            <w:pPr>
              <w:spacing w:after="0" w:line="20" w:lineRule="exact"/>
              <w:rPr>
                <w:sz w:val="1"/>
                <w:szCs w:val="1"/>
                <w:color w:val="auto"/>
              </w:rPr>
            </w:pPr>
          </w:p>
        </w:tc>
        <w:tc>
          <w:tcPr>
            <w:tcW w:w="1240" w:type="dxa"/>
            <w:vAlign w:val="bottom"/>
            <w:vMerge w:val="restart"/>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380" w:type="dxa"/>
            <w:vAlign w:val="bottom"/>
            <w:vMerge w:val="restart"/>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60" w:type="dxa"/>
            <w:vAlign w:val="bottom"/>
            <w:vMerge w:val="restart"/>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40" w:type="dxa"/>
            <w:vAlign w:val="bottom"/>
            <w:vMerge w:val="restart"/>
            <w:shd w:val="clear" w:color="auto" w:fill="CCEEFF"/>
          </w:tcPr>
          <w:p>
            <w:pPr>
              <w:spacing w:after="0" w:line="20" w:lineRule="exact"/>
              <w:rPr>
                <w:sz w:val="1"/>
                <w:szCs w:val="1"/>
                <w:color w:val="auto"/>
              </w:rPr>
            </w:pPr>
          </w:p>
        </w:tc>
        <w:tc>
          <w:tcPr>
            <w:tcW w:w="140" w:type="dxa"/>
            <w:vAlign w:val="bottom"/>
            <w:vMerge w:val="restart"/>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80" w:type="dxa"/>
            <w:vAlign w:val="bottom"/>
            <w:vMerge w:val="restart"/>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4580" w:type="dxa"/>
            <w:vAlign w:val="bottom"/>
            <w:gridSpan w:val="2"/>
            <w:shd w:val="clear" w:color="auto" w:fill="CCEEFF"/>
          </w:tcPr>
          <w:p>
            <w:pPr>
              <w:spacing w:after="0" w:line="142" w:lineRule="exact"/>
              <w:rPr>
                <w:sz w:val="20"/>
                <w:szCs w:val="20"/>
                <w:color w:val="auto"/>
              </w:rPr>
            </w:pPr>
            <w:r>
              <w:rPr>
                <w:rFonts w:ascii="Arial" w:cs="Arial" w:eastAsia="Arial" w:hAnsi="Arial"/>
                <w:sz w:val="14"/>
                <w:szCs w:val="14"/>
                <w:color w:val="auto"/>
              </w:rPr>
              <w:t>Loan and debt investments</w:t>
            </w:r>
          </w:p>
        </w:tc>
        <w:tc>
          <w:tcPr>
            <w:tcW w:w="1240" w:type="dxa"/>
            <w:vAlign w:val="bottom"/>
            <w:vMerge w:val="continue"/>
            <w:shd w:val="clear" w:color="auto" w:fill="CCEEFF"/>
          </w:tcPr>
          <w:p>
            <w:pPr>
              <w:spacing w:after="0"/>
              <w:rPr>
                <w:sz w:val="12"/>
                <w:szCs w:val="12"/>
                <w:color w:val="auto"/>
              </w:rPr>
            </w:pPr>
          </w:p>
        </w:tc>
        <w:tc>
          <w:tcPr>
            <w:tcW w:w="8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84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959,506,815</w:t>
            </w:r>
          </w:p>
        </w:tc>
        <w:tc>
          <w:tcPr>
            <w:tcW w:w="380" w:type="dxa"/>
            <w:vAlign w:val="bottom"/>
            <w:vMerge w:val="continue"/>
            <w:shd w:val="clear" w:color="auto" w:fill="CCEEFF"/>
          </w:tcPr>
          <w:p>
            <w:pPr>
              <w:spacing w:after="0"/>
              <w:rPr>
                <w:sz w:val="12"/>
                <w:szCs w:val="12"/>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60" w:type="dxa"/>
            <w:vAlign w:val="bottom"/>
            <w:shd w:val="clear" w:color="auto" w:fill="CCEEFF"/>
          </w:tcPr>
          <w:p>
            <w:pPr>
              <w:jc w:val="right"/>
              <w:ind w:right="8"/>
              <w:spacing w:after="0" w:line="142" w:lineRule="exact"/>
              <w:rPr>
                <w:sz w:val="20"/>
                <w:szCs w:val="20"/>
                <w:color w:val="auto"/>
              </w:rPr>
            </w:pPr>
            <w:r>
              <w:rPr>
                <w:rFonts w:ascii="Arial" w:cs="Arial" w:eastAsia="Arial" w:hAnsi="Arial"/>
                <w:sz w:val="14"/>
                <w:szCs w:val="14"/>
                <w:color w:val="auto"/>
              </w:rPr>
              <w:t>—</w:t>
            </w:r>
          </w:p>
        </w:tc>
        <w:tc>
          <w:tcPr>
            <w:tcW w:w="360" w:type="dxa"/>
            <w:vAlign w:val="bottom"/>
            <w:vMerge w:val="continue"/>
            <w:shd w:val="clear" w:color="auto" w:fill="CCEEFF"/>
          </w:tcPr>
          <w:p>
            <w:pPr>
              <w:spacing w:after="0"/>
              <w:rPr>
                <w:sz w:val="12"/>
                <w:szCs w:val="12"/>
                <w:color w:val="auto"/>
              </w:rPr>
            </w:pPr>
          </w:p>
        </w:tc>
        <w:tc>
          <w:tcPr>
            <w:tcW w:w="8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66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w w:val="91"/>
              </w:rPr>
              <w:t>44,092,400</w:t>
            </w:r>
          </w:p>
        </w:tc>
        <w:tc>
          <w:tcPr>
            <w:tcW w:w="240" w:type="dxa"/>
            <w:vAlign w:val="bottom"/>
            <w:vMerge w:val="continue"/>
            <w:shd w:val="clear" w:color="auto" w:fill="CCEEFF"/>
          </w:tcPr>
          <w:p>
            <w:pPr>
              <w:spacing w:after="0"/>
              <w:rPr>
                <w:sz w:val="12"/>
                <w:szCs w:val="12"/>
                <w:color w:val="auto"/>
              </w:rPr>
            </w:pPr>
          </w:p>
        </w:tc>
        <w:tc>
          <w:tcPr>
            <w:tcW w:w="140" w:type="dxa"/>
            <w:vAlign w:val="bottom"/>
            <w:vMerge w:val="continue"/>
            <w:shd w:val="clear" w:color="auto" w:fill="CCEEFF"/>
          </w:tcPr>
          <w:p>
            <w:pPr>
              <w:spacing w:after="0"/>
              <w:rPr>
                <w:sz w:val="12"/>
                <w:szCs w:val="12"/>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4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915,414,415</w:t>
            </w:r>
          </w:p>
        </w:tc>
        <w:tc>
          <w:tcPr>
            <w:tcW w:w="80" w:type="dxa"/>
            <w:vAlign w:val="bottom"/>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4580" w:type="dxa"/>
            <w:vAlign w:val="bottom"/>
            <w:gridSpan w:val="2"/>
          </w:tcPr>
          <w:p>
            <w:pPr>
              <w:spacing w:after="0" w:line="149" w:lineRule="exact"/>
              <w:rPr>
                <w:sz w:val="20"/>
                <w:szCs w:val="20"/>
                <w:color w:val="auto"/>
              </w:rPr>
            </w:pPr>
            <w:r>
              <w:rPr>
                <w:rFonts w:ascii="Arial" w:cs="Arial" w:eastAsia="Arial" w:hAnsi="Arial"/>
                <w:sz w:val="14"/>
                <w:szCs w:val="14"/>
                <w:color w:val="auto"/>
              </w:rPr>
              <w:t>Equity investments</w:t>
            </w:r>
          </w:p>
        </w:tc>
        <w:tc>
          <w:tcPr>
            <w:tcW w:w="124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118,668,738</w:t>
            </w:r>
          </w:p>
        </w:tc>
        <w:tc>
          <w:tcPr>
            <w:tcW w:w="38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w w:val="99"/>
              </w:rPr>
              <w:t>7,539,320</w:t>
            </w:r>
          </w:p>
        </w:tc>
        <w:tc>
          <w:tcPr>
            <w:tcW w:w="36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205,667</w:t>
            </w: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110,923,751</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4580" w:type="dxa"/>
            <w:vAlign w:val="bottom"/>
            <w:gridSpan w:val="2"/>
            <w:shd w:val="clear" w:color="auto" w:fill="CCEEFF"/>
          </w:tcPr>
          <w:p>
            <w:pPr>
              <w:ind w:left="280"/>
              <w:spacing w:after="0" w:line="149" w:lineRule="exact"/>
              <w:rPr>
                <w:sz w:val="20"/>
                <w:szCs w:val="20"/>
                <w:color w:val="auto"/>
              </w:rPr>
            </w:pPr>
            <w:r>
              <w:rPr>
                <w:rFonts w:ascii="Arial" w:cs="Arial" w:eastAsia="Arial" w:hAnsi="Arial"/>
                <w:sz w:val="14"/>
                <w:szCs w:val="14"/>
                <w:color w:val="auto"/>
              </w:rPr>
              <w:t>Total investments</w:t>
            </w:r>
          </w:p>
        </w:tc>
        <w:tc>
          <w:tcPr>
            <w:tcW w:w="1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1"/>
              </w:rPr>
              <w:t>1,078,175,553</w:t>
            </w: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9"/>
              </w:rPr>
              <w:t>7,539,320</w:t>
            </w:r>
          </w:p>
        </w:tc>
        <w:tc>
          <w:tcPr>
            <w:tcW w:w="3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1"/>
              </w:rPr>
              <w:t>44,298,067</w:t>
            </w:r>
          </w:p>
        </w:tc>
        <w:tc>
          <w:tcPr>
            <w:tcW w:w="2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9"/>
              </w:rPr>
              <w:t>1,026,338,166</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4580" w:type="dxa"/>
            <w:vAlign w:val="bottom"/>
            <w:gridSpan w:val="2"/>
          </w:tcPr>
          <w:p>
            <w:pPr>
              <w:spacing w:after="0" w:line="149" w:lineRule="exact"/>
              <w:rPr>
                <w:sz w:val="20"/>
                <w:szCs w:val="20"/>
                <w:color w:val="auto"/>
              </w:rPr>
            </w:pPr>
            <w:r>
              <w:rPr>
                <w:rFonts w:ascii="Arial" w:cs="Arial" w:eastAsia="Arial" w:hAnsi="Arial"/>
                <w:sz w:val="14"/>
                <w:szCs w:val="14"/>
                <w:color w:val="auto"/>
              </w:rPr>
              <w:t>Cash and cash equivalents</w:t>
            </w:r>
          </w:p>
        </w:tc>
        <w:tc>
          <w:tcPr>
            <w:tcW w:w="124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58,440,829</w:t>
            </w:r>
          </w:p>
        </w:tc>
        <w:tc>
          <w:tcPr>
            <w:tcW w:w="38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w w:val="88"/>
              </w:rPr>
              <w:t>58,440,829</w:t>
            </w:r>
          </w:p>
        </w:tc>
        <w:tc>
          <w:tcPr>
            <w:tcW w:w="36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right"/>
              <w:ind w:right="8"/>
              <w:spacing w:after="0" w:line="149"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8"/>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4580" w:type="dxa"/>
            <w:vAlign w:val="bottom"/>
            <w:gridSpan w:val="2"/>
            <w:shd w:val="clear" w:color="auto" w:fill="CCEEFF"/>
          </w:tcPr>
          <w:p>
            <w:pPr>
              <w:ind w:left="280"/>
              <w:spacing w:after="0" w:line="149" w:lineRule="exact"/>
              <w:rPr>
                <w:sz w:val="20"/>
                <w:szCs w:val="20"/>
                <w:color w:val="auto"/>
              </w:rPr>
            </w:pPr>
            <w:r>
              <w:rPr>
                <w:rFonts w:ascii="Arial" w:cs="Arial" w:eastAsia="Arial" w:hAnsi="Arial"/>
                <w:sz w:val="14"/>
                <w:szCs w:val="14"/>
                <w:color w:val="auto"/>
              </w:rPr>
              <w:t>Total investments, cash and cash equivalents</w:t>
            </w:r>
          </w:p>
        </w:tc>
        <w:tc>
          <w:tcPr>
            <w:tcW w:w="13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1"/>
              </w:rPr>
              <w:t>1,136,616,382</w:t>
            </w:r>
          </w:p>
        </w:tc>
        <w:tc>
          <w:tcPr>
            <w:tcW w:w="4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u w:val="single" w:color="auto"/>
                <w:color w:val="auto"/>
              </w:rPr>
              <w:t>$</w:t>
            </w: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8"/>
              </w:rPr>
              <w:t>65,980,149</w:t>
            </w:r>
          </w:p>
        </w:tc>
        <w:tc>
          <w:tcPr>
            <w:tcW w:w="4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u w:val="single" w:color="auto"/>
                <w:color w:val="auto"/>
              </w:rPr>
              <w:t>$</w:t>
            </w: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1"/>
              </w:rPr>
              <w:t>44,298,067</w:t>
            </w:r>
          </w:p>
        </w:tc>
        <w:tc>
          <w:tcPr>
            <w:tcW w:w="240" w:type="dxa"/>
            <w:vAlign w:val="bottom"/>
            <w:shd w:val="clear" w:color="auto" w:fill="CCEEFF"/>
          </w:tcPr>
          <w:p>
            <w:pPr>
              <w:spacing w:after="0"/>
              <w:rPr>
                <w:sz w:val="12"/>
                <w:szCs w:val="12"/>
                <w:color w:val="auto"/>
              </w:rPr>
            </w:pPr>
          </w:p>
        </w:tc>
        <w:tc>
          <w:tcPr>
            <w:tcW w:w="2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9"/>
              </w:rPr>
              <w:t>1,026,338,166</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4580" w:type="dxa"/>
            <w:vAlign w:val="bottom"/>
            <w:gridSpan w:val="2"/>
          </w:tcPr>
          <w:p>
            <w:pPr>
              <w:spacing w:after="0" w:line="155" w:lineRule="exact"/>
              <w:rPr>
                <w:sz w:val="20"/>
                <w:szCs w:val="20"/>
                <w:color w:val="auto"/>
              </w:rPr>
            </w:pPr>
            <w:r>
              <w:rPr>
                <w:rFonts w:ascii="Arial" w:cs="Arial" w:eastAsia="Arial" w:hAnsi="Arial"/>
                <w:sz w:val="14"/>
                <w:szCs w:val="14"/>
                <w:color w:val="auto"/>
              </w:rPr>
              <w:t>Long-Term Credit Facility (excluding temporary draw of $28,000,000)</w:t>
            </w:r>
          </w:p>
        </w:tc>
        <w:tc>
          <w:tcPr>
            <w:tcW w:w="1240" w:type="dxa"/>
            <w:vAlign w:val="bottom"/>
          </w:tcPr>
          <w:p>
            <w:pPr>
              <w:spacing w:after="0"/>
              <w:rPr>
                <w:sz w:val="13"/>
                <w:szCs w:val="13"/>
                <w:color w:val="auto"/>
              </w:rPr>
            </w:pPr>
          </w:p>
        </w:tc>
        <w:tc>
          <w:tcPr>
            <w:tcW w:w="8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84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117,500,000</w:t>
            </w:r>
          </w:p>
        </w:tc>
        <w:tc>
          <w:tcPr>
            <w:tcW w:w="380" w:type="dxa"/>
            <w:vAlign w:val="bottom"/>
          </w:tcPr>
          <w:p>
            <w:pPr>
              <w:spacing w:after="0"/>
              <w:rPr>
                <w:sz w:val="13"/>
                <w:szCs w:val="13"/>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660" w:type="dxa"/>
            <w:vAlign w:val="bottom"/>
            <w:tcBorders>
              <w:top w:val="single" w:sz="8" w:color="auto"/>
            </w:tcBorders>
          </w:tcPr>
          <w:p>
            <w:pPr>
              <w:jc w:val="right"/>
              <w:ind w:right="8"/>
              <w:spacing w:after="0" w:line="155" w:lineRule="exact"/>
              <w:rPr>
                <w:sz w:val="20"/>
                <w:szCs w:val="20"/>
                <w:color w:val="auto"/>
              </w:rPr>
            </w:pPr>
            <w:r>
              <w:rPr>
                <w:rFonts w:ascii="Arial" w:cs="Arial" w:eastAsia="Arial" w:hAnsi="Arial"/>
                <w:sz w:val="14"/>
                <w:szCs w:val="14"/>
                <w:color w:val="auto"/>
              </w:rPr>
              <w:t>—</w:t>
            </w:r>
          </w:p>
        </w:tc>
        <w:tc>
          <w:tcPr>
            <w:tcW w:w="360" w:type="dxa"/>
            <w:vAlign w:val="bottom"/>
          </w:tcPr>
          <w:p>
            <w:pPr>
              <w:spacing w:after="0"/>
              <w:rPr>
                <w:sz w:val="13"/>
                <w:szCs w:val="13"/>
                <w:color w:val="auto"/>
              </w:rPr>
            </w:pPr>
          </w:p>
        </w:tc>
        <w:tc>
          <w:tcPr>
            <w:tcW w:w="8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660" w:type="dxa"/>
            <w:vAlign w:val="bottom"/>
            <w:tcBorders>
              <w:top w:val="single" w:sz="8" w:color="auto"/>
            </w:tcBorders>
          </w:tcPr>
          <w:p>
            <w:pPr>
              <w:jc w:val="right"/>
              <w:ind w:right="8"/>
              <w:spacing w:after="0" w:line="155"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84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117,500,000</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45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2025 Notes</w:t>
            </w:r>
          </w:p>
        </w:tc>
        <w:tc>
          <w:tcPr>
            <w:tcW w:w="1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68,400,000</w:t>
            </w: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8"/>
              </w:rPr>
              <w:t>68,400,000</w:t>
            </w:r>
          </w:p>
        </w:tc>
        <w:tc>
          <w:tcPr>
            <w:tcW w:w="3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5"/>
        </w:trPr>
        <w:tc>
          <w:tcPr>
            <w:tcW w:w="4580" w:type="dxa"/>
            <w:vAlign w:val="bottom"/>
            <w:gridSpan w:val="2"/>
          </w:tcPr>
          <w:p>
            <w:pPr>
              <w:spacing w:after="0" w:line="155" w:lineRule="exact"/>
              <w:rPr>
                <w:sz w:val="20"/>
                <w:szCs w:val="20"/>
                <w:color w:val="auto"/>
              </w:rPr>
            </w:pPr>
            <w:r>
              <w:rPr>
                <w:rFonts w:ascii="Arial" w:cs="Arial" w:eastAsia="Arial" w:hAnsi="Arial"/>
                <w:sz w:val="14"/>
                <w:szCs w:val="14"/>
                <w:color w:val="auto"/>
              </w:rPr>
              <w:t>Total debt</w:t>
            </w:r>
          </w:p>
        </w:tc>
        <w:tc>
          <w:tcPr>
            <w:tcW w:w="1240" w:type="dxa"/>
            <w:vAlign w:val="bottom"/>
          </w:tcPr>
          <w:p>
            <w:pPr>
              <w:spacing w:after="0"/>
              <w:rPr>
                <w:sz w:val="13"/>
                <w:szCs w:val="13"/>
                <w:color w:val="auto"/>
              </w:rPr>
            </w:pPr>
          </w:p>
        </w:tc>
        <w:tc>
          <w:tcPr>
            <w:tcW w:w="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8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185,900,000</w:t>
            </w:r>
          </w:p>
        </w:tc>
        <w:tc>
          <w:tcPr>
            <w:tcW w:w="380" w:type="dxa"/>
            <w:vAlign w:val="bottom"/>
          </w:tcPr>
          <w:p>
            <w:pPr>
              <w:spacing w:after="0"/>
              <w:rPr>
                <w:sz w:val="13"/>
                <w:szCs w:val="13"/>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u w:val="single" w:color="auto"/>
                <w:color w:val="auto"/>
                <w:w w:val="71"/>
              </w:rPr>
              <w:t>$</w:t>
            </w:r>
          </w:p>
        </w:tc>
        <w:tc>
          <w:tcPr>
            <w:tcW w:w="6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88"/>
              </w:rPr>
              <w:t>68,400,000</w:t>
            </w:r>
          </w:p>
        </w:tc>
        <w:tc>
          <w:tcPr>
            <w:tcW w:w="360" w:type="dxa"/>
            <w:vAlign w:val="bottom"/>
          </w:tcPr>
          <w:p>
            <w:pPr>
              <w:spacing w:after="0"/>
              <w:rPr>
                <w:sz w:val="13"/>
                <w:szCs w:val="13"/>
                <w:color w:val="auto"/>
              </w:rPr>
            </w:pPr>
          </w:p>
        </w:tc>
        <w:tc>
          <w:tcPr>
            <w:tcW w:w="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660" w:type="dxa"/>
            <w:vAlign w:val="bottom"/>
            <w:tcBorders>
              <w:top w:val="single" w:sz="8" w:color="auto"/>
              <w:bottom w:val="single" w:sz="8" w:color="auto"/>
            </w:tcBorders>
          </w:tcPr>
          <w:p>
            <w:pPr>
              <w:jc w:val="right"/>
              <w:ind w:right="8"/>
              <w:spacing w:after="0" w:line="155"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8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117,500,000</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72"/>
        </w:trPr>
        <w:tc>
          <w:tcPr>
            <w:tcW w:w="700" w:type="dxa"/>
            <w:vAlign w:val="bottom"/>
          </w:tcPr>
          <w:p>
            <w:pPr>
              <w:spacing w:after="0"/>
              <w:rPr>
                <w:sz w:val="24"/>
                <w:szCs w:val="24"/>
                <w:color w:val="auto"/>
              </w:rPr>
            </w:pPr>
          </w:p>
        </w:tc>
        <w:tc>
          <w:tcPr>
            <w:tcW w:w="3880" w:type="dxa"/>
            <w:vAlign w:val="bottom"/>
          </w:tcPr>
          <w:p>
            <w:pPr>
              <w:spacing w:after="0"/>
              <w:rPr>
                <w:sz w:val="24"/>
                <w:szCs w:val="24"/>
                <w:color w:val="auto"/>
              </w:rPr>
            </w:pPr>
          </w:p>
        </w:tc>
        <w:tc>
          <w:tcPr>
            <w:tcW w:w="1240" w:type="dxa"/>
            <w:vAlign w:val="bottom"/>
          </w:tcPr>
          <w:p>
            <w:pPr>
              <w:jc w:val="right"/>
              <w:ind w:right="479"/>
              <w:spacing w:after="0"/>
              <w:rPr>
                <w:sz w:val="20"/>
                <w:szCs w:val="20"/>
                <w:color w:val="auto"/>
              </w:rPr>
            </w:pPr>
            <w:r>
              <w:rPr>
                <w:rFonts w:ascii="Arial" w:cs="Arial" w:eastAsia="Arial" w:hAnsi="Arial"/>
                <w:sz w:val="18"/>
                <w:szCs w:val="18"/>
                <w:color w:val="auto"/>
              </w:rPr>
              <w:t>23</w:t>
            </w:r>
          </w:p>
        </w:tc>
        <w:tc>
          <w:tcPr>
            <w:tcW w:w="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459" w:right="339" w:bottom="1440" w:gutter="0" w:footer="0" w:header="0"/>
          <w:type w:val="continuous"/>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left="360" w:right="2680"/>
        <w:spacing w:after="0" w:line="257" w:lineRule="auto"/>
        <w:rPr>
          <w:sz w:val="20"/>
          <w:szCs w:val="20"/>
          <w:color w:val="auto"/>
        </w:rPr>
      </w:pPr>
      <w:r>
        <w:rPr>
          <w:rFonts w:ascii="Arial" w:cs="Arial" w:eastAsia="Arial" w:hAnsi="Arial"/>
          <w:sz w:val="18"/>
          <w:szCs w:val="18"/>
          <w:b w:val="1"/>
          <w:bCs w:val="1"/>
          <w:color w:val="auto"/>
        </w:rPr>
        <w:t>PENNANTPARK INVESTMENT CORPORATION AND SUBSIDIARIES NOTES TO CONSOLIDATED FINANCIAL STATEMENTS – (Continued) DECEMBER 31, 2013</w:t>
      </w:r>
    </w:p>
    <w:p>
      <w:pPr>
        <w:spacing w:after="0" w:line="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143" w:lineRule="exact"/>
        <w:rPr>
          <w:sz w:val="20"/>
          <w:szCs w:val="20"/>
          <w:color w:val="auto"/>
        </w:rPr>
      </w:pPr>
    </w:p>
    <w:p>
      <w:pPr>
        <w:ind w:firstLine="449"/>
        <w:spacing w:after="0" w:line="277" w:lineRule="auto"/>
        <w:rPr>
          <w:sz w:val="20"/>
          <w:szCs w:val="20"/>
          <w:color w:val="auto"/>
        </w:rPr>
      </w:pPr>
      <w:r>
        <w:rPr>
          <w:rFonts w:ascii="Arial" w:cs="Arial" w:eastAsia="Arial" w:hAnsi="Arial"/>
          <w:sz w:val="18"/>
          <w:szCs w:val="18"/>
          <w:color w:val="auto"/>
        </w:rPr>
        <w:t>The following tables show a reconciliation of the beginning and ending balances for fair valued investments measured using significant unobservable inputs (Level 3):</w:t>
      </w:r>
    </w:p>
    <w:p>
      <w:pPr>
        <w:spacing w:after="0" w:line="189" w:lineRule="exact"/>
        <w:rPr>
          <w:sz w:val="20"/>
          <w:szCs w:val="20"/>
          <w:color w:val="auto"/>
        </w:rPr>
      </w:pPr>
    </w:p>
    <w:tbl>
      <w:tblPr>
        <w:tblLayout w:type="fixed"/>
        <w:tblInd w:w="46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140" w:type="dxa"/>
            <w:vAlign w:val="bottom"/>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3340" w:type="dxa"/>
            <w:vAlign w:val="bottom"/>
            <w:tcBorders>
              <w:bottom w:val="single" w:sz="8" w:color="auto"/>
            </w:tcBorders>
            <w:gridSpan w:val="9"/>
          </w:tcPr>
          <w:p>
            <w:pPr>
              <w:jc w:val="center"/>
              <w:ind w:right="8"/>
              <w:spacing w:after="0"/>
              <w:rPr>
                <w:sz w:val="20"/>
                <w:szCs w:val="20"/>
                <w:color w:val="auto"/>
              </w:rPr>
            </w:pPr>
            <w:r>
              <w:rPr>
                <w:rFonts w:ascii="Arial" w:cs="Arial" w:eastAsia="Arial" w:hAnsi="Arial"/>
                <w:sz w:val="14"/>
                <w:szCs w:val="14"/>
                <w:b w:val="1"/>
                <w:bCs w:val="1"/>
                <w:color w:val="auto"/>
                <w:w w:val="91"/>
              </w:rPr>
              <w:t>Three months ended December 31, 2013</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68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Description</w:t>
            </w:r>
          </w:p>
        </w:tc>
        <w:tc>
          <w:tcPr>
            <w:tcW w:w="1120" w:type="dxa"/>
            <w:vAlign w:val="bottom"/>
            <w:gridSpan w:val="3"/>
          </w:tcPr>
          <w:p>
            <w:pPr>
              <w:spacing w:after="0" w:line="119" w:lineRule="exact"/>
              <w:rPr>
                <w:sz w:val="20"/>
                <w:szCs w:val="20"/>
                <w:color w:val="auto"/>
              </w:rPr>
            </w:pPr>
            <w:r>
              <w:rPr>
                <w:rFonts w:ascii="Arial" w:cs="Arial" w:eastAsia="Arial" w:hAnsi="Arial"/>
                <w:sz w:val="13"/>
                <w:szCs w:val="13"/>
                <w:b w:val="1"/>
                <w:bCs w:val="1"/>
                <w:color w:val="auto"/>
              </w:rPr>
              <w:t>Loan and debt</w:t>
            </w:r>
          </w:p>
        </w:tc>
        <w:tc>
          <w:tcPr>
            <w:tcW w:w="1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940" w:type="dxa"/>
            <w:vAlign w:val="bottom"/>
            <w:gridSpan w:val="2"/>
          </w:tcPr>
          <w:p>
            <w:pPr>
              <w:jc w:val="center"/>
              <w:ind w:right="280"/>
              <w:spacing w:after="0" w:line="119" w:lineRule="exact"/>
              <w:rPr>
                <w:sz w:val="20"/>
                <w:szCs w:val="20"/>
                <w:color w:val="auto"/>
              </w:rPr>
            </w:pPr>
            <w:r>
              <w:rPr>
                <w:rFonts w:ascii="Arial" w:cs="Arial" w:eastAsia="Arial" w:hAnsi="Arial"/>
                <w:sz w:val="13"/>
                <w:szCs w:val="13"/>
                <w:b w:val="1"/>
                <w:bCs w:val="1"/>
                <w:color w:val="auto"/>
              </w:rPr>
              <w:t>Equity</w:t>
            </w:r>
          </w:p>
        </w:tc>
        <w:tc>
          <w:tcPr>
            <w:tcW w:w="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40" w:type="dxa"/>
            <w:vAlign w:val="bottom"/>
            <w:gridSpan w:val="2"/>
            <w:vMerge w:val="restart"/>
          </w:tcPr>
          <w:p>
            <w:pPr>
              <w:jc w:val="right"/>
              <w:ind w:right="380"/>
              <w:spacing w:after="0"/>
              <w:rPr>
                <w:sz w:val="20"/>
                <w:szCs w:val="20"/>
                <w:color w:val="auto"/>
              </w:rPr>
            </w:pPr>
            <w:r>
              <w:rPr>
                <w:rFonts w:ascii="Arial" w:cs="Arial" w:eastAsia="Arial" w:hAnsi="Arial"/>
                <w:sz w:val="14"/>
                <w:szCs w:val="14"/>
                <w:b w:val="1"/>
                <w:bCs w:val="1"/>
                <w:color w:val="auto"/>
              </w:rPr>
              <w:t>Totals</w:t>
            </w:r>
          </w:p>
        </w:tc>
        <w:tc>
          <w:tcPr>
            <w:tcW w:w="0" w:type="dxa"/>
            <w:vAlign w:val="bottom"/>
          </w:tcPr>
          <w:p>
            <w:pPr>
              <w:spacing w:after="0"/>
              <w:rPr>
                <w:sz w:val="1"/>
                <w:szCs w:val="1"/>
                <w:color w:val="auto"/>
              </w:rPr>
            </w:pPr>
          </w:p>
        </w:tc>
      </w:tr>
      <w:tr>
        <w:trPr>
          <w:trHeight w:val="171"/>
        </w:trPr>
        <w:tc>
          <w:tcPr>
            <w:tcW w:w="6840" w:type="dxa"/>
            <w:vAlign w:val="bottom"/>
            <w:gridSpan w:val="3"/>
            <w:vMerge w:val="continue"/>
          </w:tcPr>
          <w:p>
            <w:pPr>
              <w:spacing w:after="0"/>
              <w:rPr>
                <w:sz w:val="14"/>
                <w:szCs w:val="14"/>
                <w:color w:val="auto"/>
              </w:rPr>
            </w:pPr>
          </w:p>
        </w:tc>
        <w:tc>
          <w:tcPr>
            <w:tcW w:w="60" w:type="dxa"/>
            <w:vAlign w:val="bottom"/>
          </w:tcPr>
          <w:p>
            <w:pPr>
              <w:spacing w:after="0"/>
              <w:rPr>
                <w:sz w:val="14"/>
                <w:szCs w:val="14"/>
                <w:color w:val="auto"/>
              </w:rPr>
            </w:pPr>
          </w:p>
        </w:tc>
        <w:tc>
          <w:tcPr>
            <w:tcW w:w="106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w w:val="88"/>
              </w:rPr>
              <w:t>investments</w:t>
            </w:r>
          </w:p>
        </w:tc>
        <w:tc>
          <w:tcPr>
            <w:tcW w:w="180" w:type="dxa"/>
            <w:vAlign w:val="bottom"/>
          </w:tcPr>
          <w:p>
            <w:pPr>
              <w:spacing w:after="0"/>
              <w:rPr>
                <w:sz w:val="14"/>
                <w:szCs w:val="14"/>
                <w:color w:val="auto"/>
              </w:rPr>
            </w:pPr>
          </w:p>
        </w:tc>
        <w:tc>
          <w:tcPr>
            <w:tcW w:w="100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w w:val="88"/>
              </w:rPr>
              <w:t>investments</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Beginning</w:t>
            </w:r>
          </w:p>
        </w:tc>
        <w:tc>
          <w:tcPr>
            <w:tcW w:w="6140" w:type="dxa"/>
            <w:vAlign w:val="bottom"/>
            <w:tcBorders>
              <w:top w:val="single" w:sz="8" w:color="CCEEFF"/>
              <w:right w:val="single" w:sz="8" w:color="CCEEFF"/>
            </w:tcBorders>
            <w:shd w:val="clear" w:color="auto" w:fill="CCEEFF"/>
          </w:tcPr>
          <w:p>
            <w:pPr>
              <w:spacing w:after="0" w:line="142" w:lineRule="exact"/>
              <w:rPr>
                <w:sz w:val="20"/>
                <w:szCs w:val="20"/>
                <w:color w:val="auto"/>
              </w:rPr>
            </w:pPr>
            <w:r>
              <w:rPr>
                <w:rFonts w:ascii="Arial" w:cs="Arial" w:eastAsia="Arial" w:hAnsi="Arial"/>
                <w:sz w:val="14"/>
                <w:szCs w:val="14"/>
                <w:color w:val="auto"/>
              </w:rPr>
              <w:t>Balance</w:t>
            </w:r>
          </w:p>
        </w:tc>
        <w:tc>
          <w:tcPr>
            <w:tcW w:w="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0"/>
                <w:szCs w:val="10"/>
                <w:color w:val="auto"/>
                <w:w w:val="71"/>
              </w:rPr>
              <w:t>$</w:t>
            </w:r>
          </w:p>
        </w:tc>
        <w:tc>
          <w:tcPr>
            <w:tcW w:w="8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915,414,415</w:t>
            </w:r>
          </w:p>
        </w:tc>
        <w:tc>
          <w:tcPr>
            <w:tcW w:w="22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89"/>
              </w:rPr>
              <w:t>110,923,751</w:t>
            </w:r>
          </w:p>
        </w:tc>
        <w:tc>
          <w:tcPr>
            <w:tcW w:w="20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91"/>
              </w:rPr>
              <w:t>1,026,338,166</w:t>
            </w:r>
          </w:p>
        </w:tc>
        <w:tc>
          <w:tcPr>
            <w:tcW w:w="10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820" w:type="dxa"/>
            <w:vAlign w:val="bottom"/>
            <w:gridSpan w:val="2"/>
          </w:tcPr>
          <w:p>
            <w:pPr>
              <w:ind w:left="260"/>
              <w:spacing w:after="0" w:line="149" w:lineRule="exact"/>
              <w:rPr>
                <w:sz w:val="20"/>
                <w:szCs w:val="20"/>
                <w:color w:val="auto"/>
              </w:rPr>
            </w:pPr>
            <w:r>
              <w:rPr>
                <w:rFonts w:ascii="Arial" w:cs="Arial" w:eastAsia="Arial" w:hAnsi="Arial"/>
                <w:sz w:val="14"/>
                <w:szCs w:val="14"/>
                <w:color w:val="auto"/>
              </w:rPr>
              <w:t>Realized gains</w:t>
            </w:r>
          </w:p>
        </w:tc>
        <w:tc>
          <w:tcPr>
            <w:tcW w:w="6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3,942,358</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27,862</w:t>
            </w: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3,970,220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820" w:type="dxa"/>
            <w:vAlign w:val="bottom"/>
            <w:tcBorders>
              <w:right w:val="single" w:sz="8" w:color="CCEEFF"/>
            </w:tcBorders>
            <w:gridSpan w:val="2"/>
            <w:shd w:val="clear" w:color="auto" w:fill="CCEEFF"/>
          </w:tcPr>
          <w:p>
            <w:pPr>
              <w:ind w:left="260"/>
              <w:spacing w:after="0" w:line="149" w:lineRule="exact"/>
              <w:rPr>
                <w:sz w:val="20"/>
                <w:szCs w:val="20"/>
                <w:color w:val="auto"/>
              </w:rPr>
            </w:pPr>
            <w:r>
              <w:rPr>
                <w:rFonts w:ascii="Arial" w:cs="Arial" w:eastAsia="Arial" w:hAnsi="Arial"/>
                <w:sz w:val="14"/>
                <w:szCs w:val="14"/>
                <w:color w:val="auto"/>
              </w:rPr>
              <w:t>Unrealized appreciation (depreciation)</w:t>
            </w:r>
          </w:p>
        </w:tc>
        <w:tc>
          <w:tcPr>
            <w:tcW w:w="6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28,198</w:t>
            </w:r>
          </w:p>
        </w:tc>
        <w:tc>
          <w:tcPr>
            <w:tcW w:w="2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(315,010)</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(286,812)</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820" w:type="dxa"/>
            <w:vAlign w:val="bottom"/>
            <w:gridSpan w:val="2"/>
          </w:tcPr>
          <w:p>
            <w:pPr>
              <w:ind w:left="260"/>
              <w:spacing w:after="0" w:line="149" w:lineRule="exact"/>
              <w:rPr>
                <w:sz w:val="20"/>
                <w:szCs w:val="20"/>
                <w:color w:val="auto"/>
              </w:rPr>
            </w:pPr>
            <w:r>
              <w:rPr>
                <w:rFonts w:ascii="Arial" w:cs="Arial" w:eastAsia="Arial" w:hAnsi="Arial"/>
                <w:sz w:val="14"/>
                <w:szCs w:val="14"/>
                <w:color w:val="auto"/>
              </w:rPr>
              <w:t>Purchases, PIK, net discount accretion and non-cash exchanges</w:t>
            </w:r>
          </w:p>
        </w:tc>
        <w:tc>
          <w:tcPr>
            <w:tcW w:w="6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230,540,785</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9,961,278</w:t>
            </w: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240,502,063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820" w:type="dxa"/>
            <w:vAlign w:val="bottom"/>
            <w:tcBorders>
              <w:right w:val="single" w:sz="8" w:color="CCEEFF"/>
            </w:tcBorders>
            <w:gridSpan w:val="2"/>
            <w:shd w:val="clear" w:color="auto" w:fill="CCEEFF"/>
          </w:tcPr>
          <w:p>
            <w:pPr>
              <w:ind w:left="260"/>
              <w:spacing w:after="0" w:line="149" w:lineRule="exact"/>
              <w:rPr>
                <w:sz w:val="20"/>
                <w:szCs w:val="20"/>
                <w:color w:val="auto"/>
              </w:rPr>
            </w:pPr>
            <w:r>
              <w:rPr>
                <w:rFonts w:ascii="Arial" w:cs="Arial" w:eastAsia="Arial" w:hAnsi="Arial"/>
                <w:sz w:val="14"/>
                <w:szCs w:val="14"/>
                <w:color w:val="auto"/>
              </w:rPr>
              <w:t>Sales, repayments and non-cash exchanges</w:t>
            </w:r>
          </w:p>
        </w:tc>
        <w:tc>
          <w:tcPr>
            <w:tcW w:w="6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w w:val="98"/>
              </w:rPr>
              <w:t>(129,118,109)</w:t>
            </w:r>
          </w:p>
        </w:tc>
        <w:tc>
          <w:tcPr>
            <w:tcW w:w="1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(1,726,536)</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w w:val="98"/>
              </w:rPr>
              <w:t>(130,844,645)</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6820" w:type="dxa"/>
            <w:vAlign w:val="bottom"/>
            <w:gridSpan w:val="2"/>
          </w:tcPr>
          <w:p>
            <w:pPr>
              <w:ind w:left="260"/>
              <w:spacing w:after="0" w:line="149" w:lineRule="exact"/>
              <w:rPr>
                <w:sz w:val="20"/>
                <w:szCs w:val="20"/>
                <w:color w:val="auto"/>
              </w:rPr>
            </w:pPr>
            <w:r>
              <w:rPr>
                <w:rFonts w:ascii="Arial" w:cs="Arial" w:eastAsia="Arial" w:hAnsi="Arial"/>
                <w:sz w:val="14"/>
                <w:szCs w:val="14"/>
                <w:color w:val="auto"/>
              </w:rPr>
              <w:t>Transfers in/out of Level 3</w:t>
            </w:r>
          </w:p>
        </w:tc>
        <w:tc>
          <w:tcPr>
            <w:tcW w:w="6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8"/>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ind w:right="9"/>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8"/>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820" w:type="dxa"/>
            <w:vAlign w:val="bottom"/>
            <w:tcBorders>
              <w:right w:val="single" w:sz="8" w:color="CCEEFF"/>
            </w:tcBorders>
            <w:gridSpan w:val="2"/>
            <w:shd w:val="clear" w:color="auto" w:fill="CCEEFF"/>
          </w:tcPr>
          <w:p>
            <w:pPr>
              <w:spacing w:after="0" w:line="149" w:lineRule="exact"/>
              <w:rPr>
                <w:sz w:val="20"/>
                <w:szCs w:val="20"/>
                <w:color w:val="auto"/>
              </w:rPr>
            </w:pPr>
            <w:r>
              <w:rPr>
                <w:rFonts w:ascii="Arial" w:cs="Arial" w:eastAsia="Arial" w:hAnsi="Arial"/>
                <w:sz w:val="14"/>
                <w:szCs w:val="14"/>
                <w:color w:val="auto"/>
              </w:rPr>
              <w:t>Ending Balance</w:t>
            </w:r>
          </w:p>
        </w:tc>
        <w:tc>
          <w:tcPr>
            <w:tcW w:w="60" w:type="dxa"/>
            <w:vAlign w:val="bottom"/>
            <w:shd w:val="clear" w:color="auto" w:fill="CCEEFF"/>
          </w:tcPr>
          <w:p>
            <w:pPr>
              <w:spacing w:after="0"/>
              <w:rPr>
                <w:sz w:val="20"/>
                <w:szCs w:val="20"/>
                <w:color w:val="auto"/>
              </w:rPr>
            </w:pPr>
            <w:r>
              <w:rPr>
                <w:rFonts w:ascii="Arial" w:cs="Arial" w:eastAsia="Arial" w:hAnsi="Arial"/>
                <w:sz w:val="10"/>
                <w:szCs w:val="10"/>
                <w:color w:val="auto"/>
                <w:w w:val="71"/>
              </w:rPr>
              <w:t>$</w:t>
            </w: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1"/>
              </w:rPr>
              <w:t>1,020,807,647</w:t>
            </w:r>
          </w:p>
        </w:tc>
        <w:tc>
          <w:tcPr>
            <w:tcW w:w="220" w:type="dxa"/>
            <w:vAlign w:val="bottom"/>
            <w:shd w:val="clear" w:color="auto" w:fill="CCEEFF"/>
          </w:tcPr>
          <w:p>
            <w:pPr>
              <w:spacing w:after="0"/>
              <w:rPr>
                <w:sz w:val="12"/>
                <w:szCs w:val="12"/>
                <w:color w:val="auto"/>
              </w:rPr>
            </w:pPr>
          </w:p>
        </w:tc>
        <w:tc>
          <w:tcPr>
            <w:tcW w:w="2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u w:val="single" w:color="auto"/>
                <w:color w:val="auto"/>
              </w:rPr>
              <w:t>$</w:t>
            </w: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9"/>
              </w:rPr>
              <w:t>118,871,345</w:t>
            </w:r>
          </w:p>
        </w:tc>
        <w:tc>
          <w:tcPr>
            <w:tcW w:w="200" w:type="dxa"/>
            <w:vAlign w:val="bottom"/>
            <w:shd w:val="clear" w:color="auto" w:fill="CCEEFF"/>
          </w:tcPr>
          <w:p>
            <w:pPr>
              <w:spacing w:after="0"/>
              <w:rPr>
                <w:sz w:val="12"/>
                <w:szCs w:val="12"/>
                <w:color w:val="auto"/>
              </w:rPr>
            </w:pPr>
          </w:p>
        </w:tc>
        <w:tc>
          <w:tcPr>
            <w:tcW w:w="2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1"/>
              </w:rPr>
              <w:t>1,139,678,992</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7"/>
        </w:trPr>
        <w:tc>
          <w:tcPr>
            <w:tcW w:w="6840" w:type="dxa"/>
            <w:vAlign w:val="bottom"/>
            <w:gridSpan w:val="3"/>
          </w:tcPr>
          <w:p>
            <w:pPr>
              <w:spacing w:after="0" w:line="137" w:lineRule="exact"/>
              <w:rPr>
                <w:sz w:val="20"/>
                <w:szCs w:val="20"/>
                <w:color w:val="auto"/>
              </w:rPr>
            </w:pPr>
            <w:r>
              <w:rPr>
                <w:rFonts w:ascii="Arial" w:cs="Arial" w:eastAsia="Arial" w:hAnsi="Arial"/>
                <w:sz w:val="14"/>
                <w:szCs w:val="14"/>
                <w:color w:val="auto"/>
              </w:rPr>
              <w:t>Net change in unrealized appreciation (depreciation) for the fiscal quarter reported within the net change in</w:t>
            </w:r>
          </w:p>
        </w:tc>
        <w:tc>
          <w:tcPr>
            <w:tcW w:w="60" w:type="dxa"/>
            <w:vAlign w:val="bottom"/>
            <w:tcBorders>
              <w:top w:val="single" w:sz="8" w:color="auto"/>
            </w:tcBorders>
          </w:tcPr>
          <w:p>
            <w:pPr>
              <w:spacing w:after="0"/>
              <w:rPr>
                <w:sz w:val="11"/>
                <w:szCs w:val="11"/>
                <w:color w:val="auto"/>
              </w:rPr>
            </w:pPr>
          </w:p>
        </w:tc>
        <w:tc>
          <w:tcPr>
            <w:tcW w:w="840" w:type="dxa"/>
            <w:vAlign w:val="bottom"/>
            <w:tcBorders>
              <w:top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740" w:type="dxa"/>
            <w:vAlign w:val="bottom"/>
            <w:tcBorders>
              <w:top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84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6840" w:type="dxa"/>
            <w:vAlign w:val="bottom"/>
            <w:gridSpan w:val="3"/>
          </w:tcPr>
          <w:p>
            <w:pPr>
              <w:spacing w:after="0" w:line="149" w:lineRule="exact"/>
              <w:rPr>
                <w:sz w:val="20"/>
                <w:szCs w:val="20"/>
                <w:color w:val="auto"/>
              </w:rPr>
            </w:pPr>
            <w:r>
              <w:rPr>
                <w:rFonts w:ascii="Arial" w:cs="Arial" w:eastAsia="Arial" w:hAnsi="Arial"/>
                <w:sz w:val="14"/>
                <w:szCs w:val="14"/>
                <w:color w:val="auto"/>
                <w:w w:val="99"/>
              </w:rPr>
              <w:t>unrealized appreciation (depreciation) on investments in our Consolidated Statement of Operations attributable</w:t>
            </w:r>
          </w:p>
        </w:tc>
        <w:tc>
          <w:tcPr>
            <w:tcW w:w="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6840" w:type="dxa"/>
            <w:vAlign w:val="bottom"/>
            <w:gridSpan w:val="3"/>
          </w:tcPr>
          <w:p>
            <w:pPr>
              <w:spacing w:after="0"/>
              <w:rPr>
                <w:sz w:val="20"/>
                <w:szCs w:val="20"/>
                <w:color w:val="auto"/>
              </w:rPr>
            </w:pPr>
            <w:r>
              <w:rPr>
                <w:rFonts w:ascii="Arial" w:cs="Arial" w:eastAsia="Arial" w:hAnsi="Arial"/>
                <w:sz w:val="14"/>
                <w:szCs w:val="14"/>
                <w:color w:val="auto"/>
              </w:rPr>
              <w:t>to our Level 3 assets still held at the reporting date</w:t>
            </w:r>
          </w:p>
        </w:tc>
        <w:tc>
          <w:tcPr>
            <w:tcW w:w="60" w:type="dxa"/>
            <w:vAlign w:val="bottom"/>
          </w:tcPr>
          <w:p>
            <w:pPr>
              <w:spacing w:after="0"/>
              <w:rPr>
                <w:sz w:val="20"/>
                <w:szCs w:val="20"/>
                <w:color w:val="auto"/>
              </w:rPr>
            </w:pPr>
            <w:r>
              <w:rPr>
                <w:rFonts w:ascii="Arial" w:cs="Arial" w:eastAsia="Arial" w:hAnsi="Arial"/>
                <w:sz w:val="10"/>
                <w:szCs w:val="10"/>
                <w:color w:val="auto"/>
                <w:w w:val="71"/>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5,968,997</w:t>
            </w:r>
          </w:p>
        </w:tc>
        <w:tc>
          <w:tcPr>
            <w:tcW w:w="220" w:type="dxa"/>
            <w:vAlign w:val="bottom"/>
          </w:tcPr>
          <w:p>
            <w:pPr>
              <w:spacing w:after="0"/>
              <w:rPr>
                <w:sz w:val="14"/>
                <w:szCs w:val="14"/>
                <w:color w:val="auto"/>
              </w:rPr>
            </w:pPr>
          </w:p>
        </w:tc>
        <w:tc>
          <w:tcPr>
            <w:tcW w:w="2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160"/>
              <w:spacing w:after="0"/>
              <w:rPr>
                <w:sz w:val="20"/>
                <w:szCs w:val="20"/>
                <w:color w:val="auto"/>
              </w:rPr>
            </w:pPr>
            <w:r>
              <w:rPr>
                <w:rFonts w:ascii="Arial" w:cs="Arial" w:eastAsia="Arial" w:hAnsi="Arial"/>
                <w:sz w:val="14"/>
                <w:szCs w:val="14"/>
                <w:color w:val="auto"/>
              </w:rPr>
              <w:t>(315,010)</w:t>
            </w:r>
          </w:p>
        </w:tc>
        <w:tc>
          <w:tcPr>
            <w:tcW w:w="26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5,653,987</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140" w:type="dxa"/>
            <w:vAlign w:val="bottom"/>
            <w:tcBorders>
              <w:right w:val="single" w:sz="8" w:color="auto"/>
            </w:tcBorders>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4" w:lineRule="exact"/>
        <w:rPr>
          <w:sz w:val="20"/>
          <w:szCs w:val="20"/>
          <w:color w:val="auto"/>
        </w:rPr>
      </w:pPr>
    </w:p>
    <w:tbl>
      <w:tblPr>
        <w:tblLayout w:type="fixed"/>
        <w:tblInd w:w="46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200" w:type="dxa"/>
            <w:vAlign w:val="bottom"/>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3280" w:type="dxa"/>
            <w:vAlign w:val="bottom"/>
            <w:tcBorders>
              <w:bottom w:val="single" w:sz="8" w:color="auto"/>
            </w:tcBorders>
            <w:gridSpan w:val="8"/>
          </w:tcPr>
          <w:p>
            <w:pPr>
              <w:jc w:val="right"/>
              <w:ind w:right="388"/>
              <w:spacing w:after="0"/>
              <w:rPr>
                <w:sz w:val="20"/>
                <w:szCs w:val="20"/>
                <w:color w:val="auto"/>
              </w:rPr>
            </w:pPr>
            <w:r>
              <w:rPr>
                <w:rFonts w:ascii="Arial" w:cs="Arial" w:eastAsia="Arial" w:hAnsi="Arial"/>
                <w:sz w:val="14"/>
                <w:szCs w:val="14"/>
                <w:b w:val="1"/>
                <w:bCs w:val="1"/>
                <w:color w:val="auto"/>
              </w:rPr>
              <w:t>Three months ended December 31, 2012</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69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Description</w:t>
            </w:r>
          </w:p>
        </w:tc>
        <w:tc>
          <w:tcPr>
            <w:tcW w:w="1100" w:type="dxa"/>
            <w:vAlign w:val="bottom"/>
            <w:gridSpan w:val="3"/>
          </w:tcPr>
          <w:p>
            <w:pPr>
              <w:jc w:val="right"/>
              <w:ind w:right="220"/>
              <w:spacing w:after="0" w:line="119" w:lineRule="exact"/>
              <w:rPr>
                <w:sz w:val="20"/>
                <w:szCs w:val="20"/>
                <w:color w:val="auto"/>
              </w:rPr>
            </w:pPr>
            <w:r>
              <w:rPr>
                <w:rFonts w:ascii="Arial" w:cs="Arial" w:eastAsia="Arial" w:hAnsi="Arial"/>
                <w:sz w:val="13"/>
                <w:szCs w:val="13"/>
                <w:b w:val="1"/>
                <w:bCs w:val="1"/>
                <w:color w:val="auto"/>
                <w:w w:val="96"/>
              </w:rPr>
              <w:t>Loan and debt</w:t>
            </w:r>
          </w:p>
        </w:tc>
        <w:tc>
          <w:tcPr>
            <w:tcW w:w="180" w:type="dxa"/>
            <w:vAlign w:val="bottom"/>
          </w:tcPr>
          <w:p>
            <w:pPr>
              <w:spacing w:after="0"/>
              <w:rPr>
                <w:sz w:val="10"/>
                <w:szCs w:val="10"/>
                <w:color w:val="auto"/>
              </w:rPr>
            </w:pPr>
          </w:p>
        </w:tc>
        <w:tc>
          <w:tcPr>
            <w:tcW w:w="1040" w:type="dxa"/>
            <w:vAlign w:val="bottom"/>
            <w:gridSpan w:val="2"/>
          </w:tcPr>
          <w:p>
            <w:pPr>
              <w:jc w:val="right"/>
              <w:ind w:right="420"/>
              <w:spacing w:after="0" w:line="119" w:lineRule="exact"/>
              <w:rPr>
                <w:sz w:val="20"/>
                <w:szCs w:val="20"/>
                <w:color w:val="auto"/>
              </w:rPr>
            </w:pPr>
            <w:r>
              <w:rPr>
                <w:rFonts w:ascii="Arial" w:cs="Arial" w:eastAsia="Arial" w:hAnsi="Arial"/>
                <w:sz w:val="13"/>
                <w:szCs w:val="13"/>
                <w:b w:val="1"/>
                <w:bCs w:val="1"/>
                <w:color w:val="auto"/>
              </w:rPr>
              <w:t>Equity</w:t>
            </w: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80" w:type="dxa"/>
            <w:vAlign w:val="bottom"/>
            <w:gridSpan w:val="2"/>
            <w:vMerge w:val="restart"/>
          </w:tcPr>
          <w:p>
            <w:pPr>
              <w:jc w:val="right"/>
              <w:ind w:right="340"/>
              <w:spacing w:after="0"/>
              <w:rPr>
                <w:sz w:val="20"/>
                <w:szCs w:val="20"/>
                <w:color w:val="auto"/>
              </w:rPr>
            </w:pPr>
            <w:r>
              <w:rPr>
                <w:rFonts w:ascii="Arial" w:cs="Arial" w:eastAsia="Arial" w:hAnsi="Arial"/>
                <w:sz w:val="14"/>
                <w:szCs w:val="14"/>
                <w:b w:val="1"/>
                <w:bCs w:val="1"/>
                <w:color w:val="auto"/>
              </w:rPr>
              <w:t>Totals</w:t>
            </w:r>
          </w:p>
        </w:tc>
        <w:tc>
          <w:tcPr>
            <w:tcW w:w="0" w:type="dxa"/>
            <w:vAlign w:val="bottom"/>
          </w:tcPr>
          <w:p>
            <w:pPr>
              <w:spacing w:after="0"/>
              <w:rPr>
                <w:sz w:val="1"/>
                <w:szCs w:val="1"/>
                <w:color w:val="auto"/>
              </w:rPr>
            </w:pPr>
          </w:p>
        </w:tc>
      </w:tr>
      <w:tr>
        <w:trPr>
          <w:trHeight w:val="171"/>
        </w:trPr>
        <w:tc>
          <w:tcPr>
            <w:tcW w:w="6900" w:type="dxa"/>
            <w:vAlign w:val="bottom"/>
            <w:gridSpan w:val="3"/>
            <w:vMerge w:val="continue"/>
          </w:tcPr>
          <w:p>
            <w:pPr>
              <w:spacing w:after="0"/>
              <w:rPr>
                <w:sz w:val="14"/>
                <w:szCs w:val="14"/>
                <w:color w:val="auto"/>
              </w:rPr>
            </w:pPr>
          </w:p>
        </w:tc>
        <w:tc>
          <w:tcPr>
            <w:tcW w:w="60" w:type="dxa"/>
            <w:vAlign w:val="bottom"/>
          </w:tcPr>
          <w:p>
            <w:pPr>
              <w:spacing w:after="0"/>
              <w:rPr>
                <w:sz w:val="14"/>
                <w:szCs w:val="14"/>
                <w:color w:val="auto"/>
              </w:rPr>
            </w:pPr>
          </w:p>
        </w:tc>
        <w:tc>
          <w:tcPr>
            <w:tcW w:w="104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w w:val="88"/>
              </w:rPr>
              <w:t>investments</w:t>
            </w:r>
          </w:p>
        </w:tc>
        <w:tc>
          <w:tcPr>
            <w:tcW w:w="180" w:type="dxa"/>
            <w:vAlign w:val="bottom"/>
          </w:tcPr>
          <w:p>
            <w:pPr>
              <w:spacing w:after="0"/>
              <w:rPr>
                <w:sz w:val="14"/>
                <w:szCs w:val="14"/>
                <w:color w:val="auto"/>
              </w:rPr>
            </w:pPr>
          </w:p>
        </w:tc>
        <w:tc>
          <w:tcPr>
            <w:tcW w:w="104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w w:val="90"/>
              </w:rPr>
              <w:t>investments</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Beginning</w:t>
            </w:r>
          </w:p>
        </w:tc>
        <w:tc>
          <w:tcPr>
            <w:tcW w:w="6200" w:type="dxa"/>
            <w:vAlign w:val="bottom"/>
            <w:tcBorders>
              <w:top w:val="single" w:sz="8" w:color="CCEEFF"/>
              <w:right w:val="single" w:sz="8" w:color="CCEEFF"/>
            </w:tcBorders>
            <w:shd w:val="clear" w:color="auto" w:fill="CCEEFF"/>
          </w:tcPr>
          <w:p>
            <w:pPr>
              <w:spacing w:after="0" w:line="142" w:lineRule="exact"/>
              <w:rPr>
                <w:sz w:val="20"/>
                <w:szCs w:val="20"/>
                <w:color w:val="auto"/>
              </w:rPr>
            </w:pPr>
            <w:r>
              <w:rPr>
                <w:rFonts w:ascii="Arial" w:cs="Arial" w:eastAsia="Arial" w:hAnsi="Arial"/>
                <w:sz w:val="14"/>
                <w:szCs w:val="14"/>
                <w:color w:val="auto"/>
              </w:rPr>
              <w:t>Balance</w:t>
            </w:r>
          </w:p>
        </w:tc>
        <w:tc>
          <w:tcPr>
            <w:tcW w:w="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848,424,071</w:t>
            </w:r>
          </w:p>
        </w:tc>
        <w:tc>
          <w:tcPr>
            <w:tcW w:w="20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CCEEFF"/>
            </w:tcBorders>
            <w:shd w:val="clear" w:color="auto" w:fill="CCEEFF"/>
          </w:tcPr>
          <w:p>
            <w:pPr>
              <w:spacing w:after="0"/>
              <w:rPr>
                <w:sz w:val="12"/>
                <w:szCs w:val="12"/>
                <w:color w:val="auto"/>
              </w:rPr>
            </w:pPr>
          </w:p>
        </w:tc>
        <w:tc>
          <w:tcPr>
            <w:tcW w:w="8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89"/>
              </w:rPr>
              <w:t>$ 101,323,123</w:t>
            </w:r>
          </w:p>
        </w:tc>
        <w:tc>
          <w:tcPr>
            <w:tcW w:w="22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7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97"/>
              </w:rPr>
              <w:t>949,747,194</w:t>
            </w:r>
          </w:p>
        </w:tc>
        <w:tc>
          <w:tcPr>
            <w:tcW w:w="10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880" w:type="dxa"/>
            <w:vAlign w:val="bottom"/>
            <w:gridSpan w:val="2"/>
          </w:tcPr>
          <w:p>
            <w:pPr>
              <w:ind w:left="260"/>
              <w:spacing w:after="0" w:line="149" w:lineRule="exact"/>
              <w:rPr>
                <w:sz w:val="20"/>
                <w:szCs w:val="20"/>
                <w:color w:val="auto"/>
              </w:rPr>
            </w:pPr>
            <w:r>
              <w:rPr>
                <w:rFonts w:ascii="Arial" w:cs="Arial" w:eastAsia="Arial" w:hAnsi="Arial"/>
                <w:sz w:val="14"/>
                <w:szCs w:val="14"/>
                <w:color w:val="auto"/>
              </w:rPr>
              <w:t>Realized gains (losses)</w:t>
            </w:r>
          </w:p>
        </w:tc>
        <w:tc>
          <w:tcPr>
            <w:tcW w:w="6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2,221,132</w:t>
            </w:r>
          </w:p>
        </w:tc>
        <w:tc>
          <w:tcPr>
            <w:tcW w:w="200" w:type="dxa"/>
            <w:vAlign w:val="bottom"/>
          </w:tcPr>
          <w:p>
            <w:pPr>
              <w:spacing w:after="0"/>
              <w:rPr>
                <w:sz w:val="12"/>
                <w:szCs w:val="12"/>
                <w:color w:val="auto"/>
              </w:rPr>
            </w:pPr>
          </w:p>
        </w:tc>
        <w:tc>
          <w:tcPr>
            <w:tcW w:w="1220" w:type="dxa"/>
            <w:vAlign w:val="bottom"/>
            <w:gridSpan w:val="3"/>
          </w:tcPr>
          <w:p>
            <w:pPr>
              <w:jc w:val="right"/>
              <w:ind w:right="180"/>
              <w:spacing w:after="0" w:line="149" w:lineRule="exact"/>
              <w:rPr>
                <w:sz w:val="20"/>
                <w:szCs w:val="20"/>
                <w:color w:val="auto"/>
              </w:rPr>
            </w:pPr>
            <w:r>
              <w:rPr>
                <w:rFonts w:ascii="Arial" w:cs="Arial" w:eastAsia="Arial" w:hAnsi="Arial"/>
                <w:sz w:val="14"/>
                <w:szCs w:val="14"/>
                <w:color w:val="auto"/>
              </w:rPr>
              <w:t>(1,350,000)</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871,132</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880" w:type="dxa"/>
            <w:vAlign w:val="bottom"/>
            <w:tcBorders>
              <w:right w:val="single" w:sz="8" w:color="CCEEFF"/>
            </w:tcBorders>
            <w:gridSpan w:val="2"/>
            <w:shd w:val="clear" w:color="auto" w:fill="CCEEFF"/>
          </w:tcPr>
          <w:p>
            <w:pPr>
              <w:ind w:left="260"/>
              <w:spacing w:after="0" w:line="149" w:lineRule="exact"/>
              <w:rPr>
                <w:sz w:val="20"/>
                <w:szCs w:val="20"/>
                <w:color w:val="auto"/>
              </w:rPr>
            </w:pPr>
            <w:r>
              <w:rPr>
                <w:rFonts w:ascii="Arial" w:cs="Arial" w:eastAsia="Arial" w:hAnsi="Arial"/>
                <w:sz w:val="14"/>
                <w:szCs w:val="14"/>
                <w:color w:val="auto"/>
              </w:rPr>
              <w:t>Unrealized appreciation (depreciation)</w:t>
            </w:r>
          </w:p>
        </w:tc>
        <w:tc>
          <w:tcPr>
            <w:tcW w:w="6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24,742,287</w:t>
            </w:r>
          </w:p>
        </w:tc>
        <w:tc>
          <w:tcPr>
            <w:tcW w:w="200" w:type="dxa"/>
            <w:vAlign w:val="bottom"/>
            <w:shd w:val="clear" w:color="auto" w:fill="CCEEFF"/>
          </w:tcPr>
          <w:p>
            <w:pPr>
              <w:spacing w:after="0"/>
              <w:rPr>
                <w:sz w:val="12"/>
                <w:szCs w:val="12"/>
                <w:color w:val="auto"/>
              </w:rPr>
            </w:pPr>
          </w:p>
        </w:tc>
        <w:tc>
          <w:tcPr>
            <w:tcW w:w="1220" w:type="dxa"/>
            <w:vAlign w:val="bottom"/>
            <w:gridSpan w:val="3"/>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(19,387,772)</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5,354,515</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880" w:type="dxa"/>
            <w:vAlign w:val="bottom"/>
            <w:gridSpan w:val="2"/>
          </w:tcPr>
          <w:p>
            <w:pPr>
              <w:ind w:left="260"/>
              <w:spacing w:after="0" w:line="149" w:lineRule="exact"/>
              <w:rPr>
                <w:sz w:val="20"/>
                <w:szCs w:val="20"/>
                <w:color w:val="auto"/>
              </w:rPr>
            </w:pPr>
            <w:r>
              <w:rPr>
                <w:rFonts w:ascii="Arial" w:cs="Arial" w:eastAsia="Arial" w:hAnsi="Arial"/>
                <w:sz w:val="14"/>
                <w:szCs w:val="14"/>
                <w:color w:val="auto"/>
              </w:rPr>
              <w:t>Purchases, PIK, net discount accretion and non-cash exchanges</w:t>
            </w:r>
          </w:p>
        </w:tc>
        <w:tc>
          <w:tcPr>
            <w:tcW w:w="6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168,081,857</w:t>
            </w:r>
          </w:p>
        </w:tc>
        <w:tc>
          <w:tcPr>
            <w:tcW w:w="200" w:type="dxa"/>
            <w:vAlign w:val="bottom"/>
          </w:tcPr>
          <w:p>
            <w:pPr>
              <w:spacing w:after="0"/>
              <w:rPr>
                <w:sz w:val="12"/>
                <w:szCs w:val="12"/>
                <w:color w:val="auto"/>
              </w:rPr>
            </w:pPr>
          </w:p>
        </w:tc>
        <w:tc>
          <w:tcPr>
            <w:tcW w:w="10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25,652,726</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w w:val="97"/>
              </w:rPr>
              <w:t>193,734,583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880" w:type="dxa"/>
            <w:vAlign w:val="bottom"/>
            <w:tcBorders>
              <w:right w:val="single" w:sz="8" w:color="CCEEFF"/>
            </w:tcBorders>
            <w:gridSpan w:val="2"/>
            <w:shd w:val="clear" w:color="auto" w:fill="CCEEFF"/>
          </w:tcPr>
          <w:p>
            <w:pPr>
              <w:ind w:left="260"/>
              <w:spacing w:after="0" w:line="149" w:lineRule="exact"/>
              <w:rPr>
                <w:sz w:val="20"/>
                <w:szCs w:val="20"/>
                <w:color w:val="auto"/>
              </w:rPr>
            </w:pPr>
            <w:r>
              <w:rPr>
                <w:rFonts w:ascii="Arial" w:cs="Arial" w:eastAsia="Arial" w:hAnsi="Arial"/>
                <w:sz w:val="14"/>
                <w:szCs w:val="14"/>
                <w:color w:val="auto"/>
              </w:rPr>
              <w:t>Sales, repayments and non-cash exchanges</w:t>
            </w:r>
          </w:p>
        </w:tc>
        <w:tc>
          <w:tcPr>
            <w:tcW w:w="6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w w:val="98"/>
              </w:rPr>
              <w:t>(141,014,536)</w:t>
            </w:r>
          </w:p>
        </w:tc>
        <w:tc>
          <w:tcPr>
            <w:tcW w:w="1220" w:type="dxa"/>
            <w:vAlign w:val="bottom"/>
            <w:gridSpan w:val="3"/>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(700,000)</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w w:val="91"/>
              </w:rPr>
              <w:t>(141,714,536)</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880" w:type="dxa"/>
            <w:vAlign w:val="bottom"/>
            <w:gridSpan w:val="2"/>
          </w:tcPr>
          <w:p>
            <w:pPr>
              <w:ind w:left="260"/>
              <w:spacing w:after="0" w:line="149" w:lineRule="exact"/>
              <w:rPr>
                <w:sz w:val="20"/>
                <w:szCs w:val="20"/>
                <w:color w:val="auto"/>
              </w:rPr>
            </w:pPr>
            <w:r>
              <w:rPr>
                <w:rFonts w:ascii="Arial" w:cs="Arial" w:eastAsia="Arial" w:hAnsi="Arial"/>
                <w:sz w:val="14"/>
                <w:szCs w:val="14"/>
                <w:color w:val="auto"/>
              </w:rPr>
              <w:t>Transfers in/out of Level 3</w:t>
            </w:r>
          </w:p>
        </w:tc>
        <w:tc>
          <w:tcPr>
            <w:tcW w:w="60" w:type="dxa"/>
            <w:vAlign w:val="bottom"/>
          </w:tcPr>
          <w:p>
            <w:pPr>
              <w:spacing w:after="0"/>
              <w:rPr>
                <w:sz w:val="12"/>
                <w:szCs w:val="12"/>
                <w:color w:val="auto"/>
              </w:rPr>
            </w:pPr>
          </w:p>
        </w:tc>
        <w:tc>
          <w:tcPr>
            <w:tcW w:w="104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(12,840,000)</w:t>
            </w:r>
          </w:p>
        </w:tc>
        <w:tc>
          <w:tcPr>
            <w:tcW w:w="180" w:type="dxa"/>
            <w:vAlign w:val="bottom"/>
          </w:tcPr>
          <w:p>
            <w:pPr>
              <w:spacing w:after="0"/>
              <w:rPr>
                <w:sz w:val="12"/>
                <w:szCs w:val="12"/>
                <w:color w:val="auto"/>
              </w:rPr>
            </w:pPr>
          </w:p>
        </w:tc>
        <w:tc>
          <w:tcPr>
            <w:tcW w:w="104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(12,840,000)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80" w:type="dxa"/>
            <w:vAlign w:val="bottom"/>
          </w:tcPr>
          <w:p>
            <w:pPr>
              <w:spacing w:after="0"/>
              <w:rPr>
                <w:sz w:val="2"/>
                <w:szCs w:val="2"/>
                <w:color w:val="auto"/>
              </w:rPr>
            </w:pPr>
          </w:p>
        </w:tc>
        <w:tc>
          <w:tcPr>
            <w:tcW w:w="620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8"/>
        </w:trPr>
        <w:tc>
          <w:tcPr>
            <w:tcW w:w="20" w:type="dxa"/>
            <w:vAlign w:val="bottom"/>
            <w:vMerge w:val="continue"/>
          </w:tcPr>
          <w:p>
            <w:pPr>
              <w:spacing w:after="0"/>
              <w:rPr>
                <w:sz w:val="12"/>
                <w:szCs w:val="12"/>
                <w:color w:val="auto"/>
              </w:rPr>
            </w:pPr>
          </w:p>
        </w:tc>
        <w:tc>
          <w:tcPr>
            <w:tcW w:w="6880" w:type="dxa"/>
            <w:vAlign w:val="bottom"/>
            <w:tcBorders>
              <w:right w:val="single" w:sz="8" w:color="CCEEFF"/>
            </w:tcBorders>
            <w:gridSpan w:val="2"/>
            <w:shd w:val="clear" w:color="auto" w:fill="CCEEFF"/>
          </w:tcPr>
          <w:p>
            <w:pPr>
              <w:spacing w:after="0" w:line="149" w:lineRule="exact"/>
              <w:rPr>
                <w:sz w:val="20"/>
                <w:szCs w:val="20"/>
                <w:color w:val="auto"/>
              </w:rPr>
            </w:pPr>
            <w:r>
              <w:rPr>
                <w:rFonts w:ascii="Arial" w:cs="Arial" w:eastAsia="Arial" w:hAnsi="Arial"/>
                <w:sz w:val="14"/>
                <w:szCs w:val="14"/>
                <w:color w:val="auto"/>
              </w:rPr>
              <w:t>Ending Balance</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889,614,811</w:t>
            </w:r>
          </w:p>
        </w:tc>
        <w:tc>
          <w:tcPr>
            <w:tcW w:w="20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$ 105,538,077</w:t>
            </w:r>
          </w:p>
        </w:tc>
        <w:tc>
          <w:tcPr>
            <w:tcW w:w="220" w:type="dxa"/>
            <w:vAlign w:val="bottom"/>
            <w:shd w:val="clear" w:color="auto" w:fill="CCEEFF"/>
          </w:tcPr>
          <w:p>
            <w:pPr>
              <w:spacing w:after="0"/>
              <w:rPr>
                <w:sz w:val="12"/>
                <w:szCs w:val="12"/>
                <w:color w:val="auto"/>
              </w:rPr>
            </w:pPr>
          </w:p>
        </w:tc>
        <w:tc>
          <w:tcPr>
            <w:tcW w:w="2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7"/>
              </w:rPr>
              <w:t>995,152,888</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7"/>
        </w:trPr>
        <w:tc>
          <w:tcPr>
            <w:tcW w:w="6900" w:type="dxa"/>
            <w:vAlign w:val="bottom"/>
            <w:gridSpan w:val="3"/>
          </w:tcPr>
          <w:p>
            <w:pPr>
              <w:spacing w:after="0" w:line="137" w:lineRule="exact"/>
              <w:rPr>
                <w:sz w:val="20"/>
                <w:szCs w:val="20"/>
                <w:color w:val="auto"/>
              </w:rPr>
            </w:pPr>
            <w:r>
              <w:rPr>
                <w:rFonts w:ascii="Arial" w:cs="Arial" w:eastAsia="Arial" w:hAnsi="Arial"/>
                <w:sz w:val="14"/>
                <w:szCs w:val="14"/>
                <w:color w:val="auto"/>
              </w:rPr>
              <w:t>Net change in unrealized appreciation (depreciation) for the fiscal quarter reported within the net change in</w:t>
            </w:r>
          </w:p>
        </w:tc>
        <w:tc>
          <w:tcPr>
            <w:tcW w:w="60" w:type="dxa"/>
            <w:vAlign w:val="bottom"/>
            <w:tcBorders>
              <w:top w:val="single" w:sz="8" w:color="auto"/>
            </w:tcBorders>
          </w:tcPr>
          <w:p>
            <w:pPr>
              <w:spacing w:after="0"/>
              <w:rPr>
                <w:sz w:val="11"/>
                <w:szCs w:val="11"/>
                <w:color w:val="auto"/>
              </w:rPr>
            </w:pPr>
          </w:p>
        </w:tc>
        <w:tc>
          <w:tcPr>
            <w:tcW w:w="840" w:type="dxa"/>
            <w:vAlign w:val="bottom"/>
            <w:tcBorders>
              <w:top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Borders>
              <w:top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78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6900" w:type="dxa"/>
            <w:vAlign w:val="bottom"/>
            <w:gridSpan w:val="3"/>
          </w:tcPr>
          <w:p>
            <w:pPr>
              <w:spacing w:after="0" w:line="149" w:lineRule="exact"/>
              <w:rPr>
                <w:sz w:val="20"/>
                <w:szCs w:val="20"/>
                <w:color w:val="auto"/>
              </w:rPr>
            </w:pPr>
            <w:r>
              <w:rPr>
                <w:rFonts w:ascii="Arial" w:cs="Arial" w:eastAsia="Arial" w:hAnsi="Arial"/>
                <w:sz w:val="14"/>
                <w:szCs w:val="14"/>
                <w:color w:val="auto"/>
                <w:w w:val="97"/>
              </w:rPr>
              <w:t>unrealized appreciation (depreciation) on investments in our Consolidated Statement of Operations attributable to</w:t>
            </w:r>
          </w:p>
        </w:tc>
        <w:tc>
          <w:tcPr>
            <w:tcW w:w="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6900" w:type="dxa"/>
            <w:vAlign w:val="bottom"/>
            <w:gridSpan w:val="3"/>
          </w:tcPr>
          <w:p>
            <w:pPr>
              <w:spacing w:after="0"/>
              <w:rPr>
                <w:sz w:val="20"/>
                <w:szCs w:val="20"/>
                <w:color w:val="auto"/>
              </w:rPr>
            </w:pPr>
            <w:r>
              <w:rPr>
                <w:rFonts w:ascii="Arial" w:cs="Arial" w:eastAsia="Arial" w:hAnsi="Arial"/>
                <w:sz w:val="14"/>
                <w:szCs w:val="14"/>
                <w:color w:val="auto"/>
              </w:rPr>
              <w:t>our Level 3 assets still held at the reporting date</w:t>
            </w: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24,636,464</w:t>
            </w: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4"/>
                <w:szCs w:val="14"/>
                <w:color w:val="auto"/>
                <w:w w:val="92"/>
              </w:rPr>
              <w:t>$ (14,167,304)</w:t>
            </w:r>
          </w:p>
        </w:tc>
        <w:tc>
          <w:tcPr>
            <w:tcW w:w="2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10,469,160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200" w:type="dxa"/>
            <w:vAlign w:val="bottom"/>
            <w:tcBorders>
              <w:right w:val="single" w:sz="8" w:color="auto"/>
            </w:tcBorders>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right="200" w:firstLine="449"/>
        <w:spacing w:after="0" w:line="277" w:lineRule="auto"/>
        <w:rPr>
          <w:sz w:val="20"/>
          <w:szCs w:val="20"/>
          <w:color w:val="auto"/>
        </w:rPr>
      </w:pPr>
      <w:r>
        <w:rPr>
          <w:rFonts w:ascii="Arial" w:cs="Arial" w:eastAsia="Arial" w:hAnsi="Arial"/>
          <w:sz w:val="18"/>
          <w:szCs w:val="18"/>
          <w:color w:val="auto"/>
        </w:rPr>
        <w:t>The following table shows a reconciliation of the beginning and ending balances for fair valued liabilities measured using significant unobservable inputs (Level 3):</w:t>
      </w:r>
    </w:p>
    <w:p>
      <w:pPr>
        <w:spacing w:after="0" w:line="189" w:lineRule="exact"/>
        <w:rPr>
          <w:sz w:val="20"/>
          <w:szCs w:val="20"/>
          <w:color w:val="auto"/>
        </w:rPr>
      </w:pPr>
    </w:p>
    <w:tbl>
      <w:tblPr>
        <w:tblLayout w:type="fixed"/>
        <w:tblInd w:w="1360" w:type="dxa"/>
        <w:tblCellMar>
          <w:top w:w="0" w:type="dxa"/>
          <w:left w:w="0" w:type="dxa"/>
          <w:bottom w:w="0" w:type="dxa"/>
          <w:right w:w="0" w:type="dxa"/>
        </w:tblCellMar>
      </w:tblPr>
      <w:tr>
        <w:trPr>
          <w:trHeight w:val="171"/>
        </w:trPr>
        <w:tc>
          <w:tcPr>
            <w:tcW w:w="900" w:type="dxa"/>
            <w:vAlign w:val="bottom"/>
          </w:tcPr>
          <w:p>
            <w:pPr>
              <w:spacing w:after="0"/>
              <w:rPr>
                <w:sz w:val="14"/>
                <w:szCs w:val="14"/>
                <w:color w:val="auto"/>
              </w:rPr>
            </w:pPr>
          </w:p>
        </w:tc>
        <w:tc>
          <w:tcPr>
            <w:tcW w:w="5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0" w:type="dxa"/>
            <w:vAlign w:val="bottom"/>
            <w:gridSpan w:val="6"/>
          </w:tcPr>
          <w:p>
            <w:pPr>
              <w:jc w:val="center"/>
              <w:ind w:right="160"/>
              <w:spacing w:after="0"/>
              <w:rPr>
                <w:sz w:val="20"/>
                <w:szCs w:val="20"/>
                <w:color w:val="auto"/>
              </w:rPr>
            </w:pPr>
            <w:r>
              <w:rPr>
                <w:rFonts w:ascii="Arial" w:cs="Arial" w:eastAsia="Arial" w:hAnsi="Arial"/>
                <w:sz w:val="14"/>
                <w:szCs w:val="14"/>
                <w:b w:val="1"/>
                <w:bCs w:val="1"/>
                <w:color w:val="auto"/>
                <w:w w:val="96"/>
              </w:rPr>
              <w:t>Carrying / Fair Value</w:t>
            </w:r>
          </w:p>
        </w:tc>
        <w:tc>
          <w:tcPr>
            <w:tcW w:w="0" w:type="dxa"/>
            <w:vAlign w:val="bottom"/>
          </w:tcPr>
          <w:p>
            <w:pPr>
              <w:spacing w:after="0"/>
              <w:rPr>
                <w:sz w:val="1"/>
                <w:szCs w:val="1"/>
                <w:color w:val="auto"/>
              </w:rPr>
            </w:pPr>
          </w:p>
        </w:tc>
      </w:tr>
      <w:tr>
        <w:trPr>
          <w:trHeight w:val="119"/>
        </w:trPr>
        <w:tc>
          <w:tcPr>
            <w:tcW w:w="900" w:type="dxa"/>
            <w:vAlign w:val="bottom"/>
          </w:tcPr>
          <w:p>
            <w:pPr>
              <w:spacing w:after="0"/>
              <w:rPr>
                <w:sz w:val="10"/>
                <w:szCs w:val="10"/>
                <w:color w:val="auto"/>
              </w:rPr>
            </w:pPr>
          </w:p>
        </w:tc>
        <w:tc>
          <w:tcPr>
            <w:tcW w:w="534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2120" w:type="dxa"/>
            <w:vAlign w:val="bottom"/>
            <w:tcBorders>
              <w:top w:val="single" w:sz="8" w:color="auto"/>
            </w:tcBorders>
            <w:gridSpan w:val="5"/>
          </w:tcPr>
          <w:p>
            <w:pPr>
              <w:jc w:val="center"/>
              <w:ind w:right="28"/>
              <w:spacing w:after="0" w:line="119" w:lineRule="exact"/>
              <w:rPr>
                <w:sz w:val="20"/>
                <w:szCs w:val="20"/>
                <w:color w:val="auto"/>
              </w:rPr>
            </w:pPr>
            <w:r>
              <w:rPr>
                <w:rFonts w:ascii="Arial" w:cs="Arial" w:eastAsia="Arial" w:hAnsi="Arial"/>
                <w:sz w:val="13"/>
                <w:szCs w:val="13"/>
                <w:b w:val="1"/>
                <w:bCs w:val="1"/>
                <w:color w:val="auto"/>
                <w:w w:val="98"/>
              </w:rPr>
              <w:t>Three months ended</w:t>
            </w: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900" w:type="dxa"/>
            <w:vAlign w:val="bottom"/>
            <w:vMerge w:val="restart"/>
          </w:tcPr>
          <w:p>
            <w:pPr>
              <w:spacing w:after="0"/>
              <w:rPr>
                <w:sz w:val="20"/>
                <w:szCs w:val="20"/>
                <w:color w:val="auto"/>
              </w:rPr>
            </w:pPr>
            <w:r>
              <w:rPr>
                <w:rFonts w:ascii="Arial" w:cs="Arial" w:eastAsia="Arial" w:hAnsi="Arial"/>
                <w:sz w:val="14"/>
                <w:szCs w:val="14"/>
                <w:b w:val="1"/>
                <w:bCs w:val="1"/>
                <w:color w:val="auto"/>
                <w:w w:val="94"/>
              </w:rPr>
              <w:t>Credit Facility</w:t>
            </w:r>
          </w:p>
        </w:tc>
        <w:tc>
          <w:tcPr>
            <w:tcW w:w="5340" w:type="dxa"/>
            <w:vAlign w:val="bottom"/>
            <w:vMerge w:val="restart"/>
          </w:tcPr>
          <w:p>
            <w:pPr>
              <w:spacing w:after="0"/>
              <w:rPr>
                <w:sz w:val="14"/>
                <w:szCs w:val="14"/>
                <w:color w:val="auto"/>
              </w:rPr>
            </w:pPr>
          </w:p>
        </w:tc>
        <w:tc>
          <w:tcPr>
            <w:tcW w:w="80" w:type="dxa"/>
            <w:vAlign w:val="bottom"/>
          </w:tcPr>
          <w:p>
            <w:pPr>
              <w:spacing w:after="0"/>
              <w:rPr>
                <w:sz w:val="14"/>
                <w:szCs w:val="14"/>
                <w:color w:val="auto"/>
              </w:rPr>
            </w:pPr>
          </w:p>
        </w:tc>
        <w:tc>
          <w:tcPr>
            <w:tcW w:w="2200" w:type="dxa"/>
            <w:vAlign w:val="bottom"/>
            <w:gridSpan w:val="6"/>
          </w:tcPr>
          <w:p>
            <w:pPr>
              <w:jc w:val="center"/>
              <w:ind w:right="160"/>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42"/>
        </w:trPr>
        <w:tc>
          <w:tcPr>
            <w:tcW w:w="900" w:type="dxa"/>
            <w:vAlign w:val="bottom"/>
            <w:tcBorders>
              <w:bottom w:val="single" w:sz="8" w:color="auto"/>
            </w:tcBorders>
            <w:vMerge w:val="continue"/>
          </w:tcPr>
          <w:p>
            <w:pPr>
              <w:spacing w:after="0"/>
              <w:rPr>
                <w:sz w:val="12"/>
                <w:szCs w:val="12"/>
                <w:color w:val="auto"/>
              </w:rPr>
            </w:pPr>
          </w:p>
        </w:tc>
        <w:tc>
          <w:tcPr>
            <w:tcW w:w="5340" w:type="dxa"/>
            <w:vAlign w:val="bottom"/>
            <w:tcBorders>
              <w:bottom w:val="single" w:sz="8" w:color="CCEEFF"/>
            </w:tcBorders>
            <w:vMerge w:val="continue"/>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760" w:type="dxa"/>
            <w:vAlign w:val="bottom"/>
            <w:tcBorders>
              <w:top w:val="single" w:sz="8" w:color="auto"/>
              <w:bottom w:val="single" w:sz="8" w:color="auto"/>
            </w:tcBorders>
          </w:tcPr>
          <w:p>
            <w:pPr>
              <w:jc w:val="right"/>
              <w:ind w:right="208"/>
              <w:spacing w:after="0" w:line="142" w:lineRule="exact"/>
              <w:rPr>
                <w:sz w:val="20"/>
                <w:szCs w:val="20"/>
                <w:color w:val="auto"/>
              </w:rPr>
            </w:pPr>
            <w:r>
              <w:rPr>
                <w:rFonts w:ascii="Arial" w:cs="Arial" w:eastAsia="Arial" w:hAnsi="Arial"/>
                <w:sz w:val="14"/>
                <w:szCs w:val="14"/>
                <w:b w:val="1"/>
                <w:bCs w:val="1"/>
                <w:color w:val="auto"/>
              </w:rPr>
              <w:t>2013</w:t>
            </w:r>
          </w:p>
        </w:tc>
        <w:tc>
          <w:tcPr>
            <w:tcW w:w="20" w:type="dxa"/>
            <w:vAlign w:val="bottom"/>
            <w:tcBorders>
              <w:top w:val="single" w:sz="8" w:color="auto"/>
              <w:bottom w:val="single" w:sz="8" w:color="CCEEFF"/>
            </w:tcBorders>
          </w:tcPr>
          <w:p>
            <w:pPr>
              <w:spacing w:after="0"/>
              <w:rPr>
                <w:sz w:val="12"/>
                <w:szCs w:val="12"/>
                <w:color w:val="auto"/>
              </w:rPr>
            </w:pPr>
          </w:p>
        </w:tc>
        <w:tc>
          <w:tcPr>
            <w:tcW w:w="480" w:type="dxa"/>
            <w:vAlign w:val="bottom"/>
            <w:tcBorders>
              <w:top w:val="single" w:sz="8" w:color="auto"/>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780" w:type="dxa"/>
            <w:vAlign w:val="bottom"/>
            <w:tcBorders>
              <w:top w:val="single" w:sz="8" w:color="auto"/>
              <w:bottom w:val="single" w:sz="8" w:color="auto"/>
            </w:tcBorders>
          </w:tcPr>
          <w:p>
            <w:pPr>
              <w:jc w:val="right"/>
              <w:ind w:right="208"/>
              <w:spacing w:after="0" w:line="142" w:lineRule="exact"/>
              <w:rPr>
                <w:sz w:val="20"/>
                <w:szCs w:val="20"/>
                <w:color w:val="auto"/>
              </w:rPr>
            </w:pPr>
            <w:r>
              <w:rPr>
                <w:rFonts w:ascii="Arial" w:cs="Arial" w:eastAsia="Arial" w:hAnsi="Arial"/>
                <w:sz w:val="14"/>
                <w:szCs w:val="14"/>
                <w:b w:val="1"/>
                <w:bCs w:val="1"/>
                <w:color w:val="auto"/>
              </w:rPr>
              <w:t>2012</w:t>
            </w:r>
          </w:p>
        </w:tc>
        <w:tc>
          <w:tcPr>
            <w:tcW w:w="8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240" w:type="dxa"/>
            <w:vAlign w:val="bottom"/>
            <w:gridSpan w:val="2"/>
            <w:shd w:val="clear" w:color="auto" w:fill="CCEEFF"/>
          </w:tcPr>
          <w:p>
            <w:pPr>
              <w:spacing w:after="0" w:line="142" w:lineRule="exact"/>
              <w:rPr>
                <w:sz w:val="20"/>
                <w:szCs w:val="20"/>
                <w:color w:val="auto"/>
              </w:rPr>
            </w:pPr>
            <w:r>
              <w:rPr>
                <w:rFonts w:ascii="Arial" w:cs="Arial" w:eastAsia="Arial" w:hAnsi="Arial"/>
                <w:sz w:val="14"/>
                <w:szCs w:val="14"/>
                <w:color w:val="auto"/>
              </w:rPr>
              <w:t>Beginning Balance (Cost – $117,500,000 and $109,500,000, respectively)</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6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w w:val="95"/>
              </w:rPr>
              <w:t>117,500,000</w:t>
            </w:r>
          </w:p>
        </w:tc>
        <w:tc>
          <w:tcPr>
            <w:tcW w:w="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78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w w:val="97"/>
              </w:rPr>
              <w:t>108,952,500</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240" w:type="dxa"/>
            <w:vAlign w:val="bottom"/>
            <w:gridSpan w:val="2"/>
          </w:tcPr>
          <w:p>
            <w:pPr>
              <w:ind w:left="280"/>
              <w:spacing w:after="0" w:line="149" w:lineRule="exact"/>
              <w:rPr>
                <w:sz w:val="20"/>
                <w:szCs w:val="20"/>
                <w:color w:val="auto"/>
              </w:rPr>
            </w:pPr>
            <w:r>
              <w:rPr>
                <w:rFonts w:ascii="Arial" w:cs="Arial" w:eastAsia="Arial" w:hAnsi="Arial"/>
                <w:sz w:val="14"/>
                <w:szCs w:val="14"/>
                <w:color w:val="auto"/>
              </w:rPr>
              <w:t>Total unrealized depreciation included in earnings</w:t>
            </w:r>
          </w:p>
        </w:tc>
        <w:tc>
          <w:tcPr>
            <w:tcW w:w="80" w:type="dxa"/>
            <w:vAlign w:val="bottom"/>
          </w:tcPr>
          <w:p>
            <w:pPr>
              <w:spacing w:after="0"/>
              <w:rPr>
                <w:sz w:val="12"/>
                <w:szCs w:val="12"/>
                <w:color w:val="auto"/>
              </w:rPr>
            </w:pPr>
          </w:p>
        </w:tc>
        <w:tc>
          <w:tcPr>
            <w:tcW w:w="1260" w:type="dxa"/>
            <w:vAlign w:val="bottom"/>
            <w:gridSpan w:val="3"/>
          </w:tcPr>
          <w:p>
            <w:pPr>
              <w:jc w:val="right"/>
              <w:ind w:right="56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8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547,500</w:t>
            </w:r>
          </w:p>
        </w:tc>
        <w:tc>
          <w:tcPr>
            <w:tcW w:w="0" w:type="dxa"/>
            <w:vAlign w:val="bottom"/>
          </w:tcPr>
          <w:p>
            <w:pPr>
              <w:spacing w:after="0"/>
              <w:rPr>
                <w:sz w:val="1"/>
                <w:szCs w:val="1"/>
                <w:color w:val="auto"/>
              </w:rPr>
            </w:pPr>
          </w:p>
        </w:tc>
      </w:tr>
      <w:tr>
        <w:trPr>
          <w:trHeight w:val="149"/>
        </w:trPr>
        <w:tc>
          <w:tcPr>
            <w:tcW w:w="6240" w:type="dxa"/>
            <w:vAlign w:val="bottom"/>
            <w:gridSpan w:val="2"/>
            <w:shd w:val="clear" w:color="auto" w:fill="CCEEFF"/>
          </w:tcPr>
          <w:p>
            <w:pPr>
              <w:ind w:left="280"/>
              <w:spacing w:after="0" w:line="149" w:lineRule="exact"/>
              <w:rPr>
                <w:sz w:val="20"/>
                <w:szCs w:val="20"/>
                <w:color w:val="auto"/>
              </w:rPr>
            </w:pPr>
            <w:r>
              <w:rPr>
                <w:rFonts w:ascii="Arial" w:cs="Arial" w:eastAsia="Arial" w:hAnsi="Arial"/>
                <w:sz w:val="14"/>
                <w:szCs w:val="14"/>
                <w:color w:val="auto"/>
              </w:rPr>
              <w:t>Borrowings</w:t>
            </w:r>
            <w:r>
              <w:rPr>
                <w:rFonts w:ascii="Arial" w:cs="Arial" w:eastAsia="Arial" w:hAnsi="Arial"/>
                <w:sz w:val="12"/>
                <w:szCs w:val="12"/>
                <w:color w:val="auto"/>
              </w:rPr>
              <w:t>(1)</w:t>
            </w:r>
          </w:p>
        </w:tc>
        <w:tc>
          <w:tcPr>
            <w:tcW w:w="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w w:val="95"/>
              </w:rPr>
              <w:t>222,500,000</w:t>
            </w:r>
          </w:p>
        </w:tc>
        <w:tc>
          <w:tcPr>
            <w:tcW w:w="4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w w:val="97"/>
              </w:rPr>
              <w:t>215,800,000</w:t>
            </w:r>
          </w:p>
        </w:tc>
        <w:tc>
          <w:tcPr>
            <w:tcW w:w="0" w:type="dxa"/>
            <w:vAlign w:val="bottom"/>
          </w:tcPr>
          <w:p>
            <w:pPr>
              <w:spacing w:after="0"/>
              <w:rPr>
                <w:sz w:val="1"/>
                <w:szCs w:val="1"/>
                <w:color w:val="auto"/>
              </w:rPr>
            </w:pPr>
          </w:p>
        </w:tc>
      </w:tr>
      <w:tr>
        <w:trPr>
          <w:trHeight w:val="148"/>
        </w:trPr>
        <w:tc>
          <w:tcPr>
            <w:tcW w:w="6240" w:type="dxa"/>
            <w:vAlign w:val="bottom"/>
            <w:gridSpan w:val="2"/>
          </w:tcPr>
          <w:p>
            <w:pPr>
              <w:ind w:left="280"/>
              <w:spacing w:after="0" w:line="149" w:lineRule="exact"/>
              <w:rPr>
                <w:sz w:val="20"/>
                <w:szCs w:val="20"/>
                <w:color w:val="auto"/>
              </w:rPr>
            </w:pPr>
            <w:r>
              <w:rPr>
                <w:rFonts w:ascii="Arial" w:cs="Arial" w:eastAsia="Arial" w:hAnsi="Arial"/>
                <w:sz w:val="14"/>
                <w:szCs w:val="14"/>
                <w:color w:val="auto"/>
              </w:rPr>
              <w:t>Repayments</w:t>
            </w:r>
            <w:r>
              <w:rPr>
                <w:rFonts w:ascii="Arial" w:cs="Arial" w:eastAsia="Arial" w:hAnsi="Arial"/>
                <w:sz w:val="12"/>
                <w:szCs w:val="12"/>
                <w:color w:val="auto"/>
              </w:rPr>
              <w:t>(1)</w:t>
            </w:r>
          </w:p>
        </w:tc>
        <w:tc>
          <w:tcPr>
            <w:tcW w:w="80" w:type="dxa"/>
            <w:vAlign w:val="bottom"/>
          </w:tcPr>
          <w:p>
            <w:pPr>
              <w:spacing w:after="0"/>
              <w:rPr>
                <w:sz w:val="12"/>
                <w:szCs w:val="12"/>
                <w:color w:val="auto"/>
              </w:rPr>
            </w:pPr>
          </w:p>
        </w:tc>
        <w:tc>
          <w:tcPr>
            <w:tcW w:w="1260" w:type="dxa"/>
            <w:vAlign w:val="bottom"/>
            <w:gridSpan w:val="3"/>
          </w:tcPr>
          <w:p>
            <w:pPr>
              <w:jc w:val="right"/>
              <w:ind w:right="440"/>
              <w:spacing w:after="0" w:line="149" w:lineRule="exact"/>
              <w:rPr>
                <w:sz w:val="20"/>
                <w:szCs w:val="20"/>
                <w:color w:val="auto"/>
              </w:rPr>
            </w:pPr>
            <w:r>
              <w:rPr>
                <w:rFonts w:ascii="Arial" w:cs="Arial" w:eastAsia="Arial" w:hAnsi="Arial"/>
                <w:sz w:val="14"/>
                <w:szCs w:val="14"/>
                <w:color w:val="auto"/>
                <w:w w:val="91"/>
              </w:rPr>
              <w:t>(112,000,000)</w:t>
            </w:r>
          </w:p>
        </w:tc>
        <w:tc>
          <w:tcPr>
            <w:tcW w:w="80" w:type="dxa"/>
            <w:vAlign w:val="bottom"/>
          </w:tcPr>
          <w:p>
            <w:pPr>
              <w:spacing w:after="0"/>
              <w:rPr>
                <w:sz w:val="12"/>
                <w:szCs w:val="12"/>
                <w:color w:val="auto"/>
              </w:rPr>
            </w:pPr>
          </w:p>
        </w:tc>
        <w:tc>
          <w:tcPr>
            <w:tcW w:w="86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w w:val="91"/>
              </w:rPr>
              <w:t>(113,800,000)</w:t>
            </w:r>
          </w:p>
        </w:tc>
        <w:tc>
          <w:tcPr>
            <w:tcW w:w="0" w:type="dxa"/>
            <w:vAlign w:val="bottom"/>
          </w:tcPr>
          <w:p>
            <w:pPr>
              <w:spacing w:after="0"/>
              <w:rPr>
                <w:sz w:val="1"/>
                <w:szCs w:val="1"/>
                <w:color w:val="auto"/>
              </w:rPr>
            </w:pPr>
          </w:p>
        </w:tc>
      </w:tr>
      <w:tr>
        <w:trPr>
          <w:trHeight w:val="148"/>
        </w:trPr>
        <w:tc>
          <w:tcPr>
            <w:tcW w:w="6240" w:type="dxa"/>
            <w:vAlign w:val="bottom"/>
            <w:gridSpan w:val="2"/>
            <w:shd w:val="clear" w:color="auto" w:fill="CCEEFF"/>
          </w:tcPr>
          <w:p>
            <w:pPr>
              <w:ind w:left="280"/>
              <w:spacing w:after="0" w:line="149" w:lineRule="exact"/>
              <w:rPr>
                <w:sz w:val="20"/>
                <w:szCs w:val="20"/>
                <w:color w:val="auto"/>
              </w:rPr>
            </w:pPr>
            <w:r>
              <w:rPr>
                <w:rFonts w:ascii="Arial" w:cs="Arial" w:eastAsia="Arial" w:hAnsi="Arial"/>
                <w:sz w:val="14"/>
                <w:szCs w:val="14"/>
                <w:color w:val="auto"/>
              </w:rPr>
              <w:t>Transfers in and/or out of Level 3</w:t>
            </w:r>
          </w:p>
        </w:tc>
        <w:tc>
          <w:tcPr>
            <w:tcW w:w="80" w:type="dxa"/>
            <w:vAlign w:val="bottom"/>
            <w:shd w:val="clear" w:color="auto" w:fill="CCEEFF"/>
          </w:tcPr>
          <w:p>
            <w:pPr>
              <w:spacing w:after="0"/>
              <w:rPr>
                <w:sz w:val="12"/>
                <w:szCs w:val="12"/>
                <w:color w:val="auto"/>
              </w:rPr>
            </w:pPr>
          </w:p>
        </w:tc>
        <w:tc>
          <w:tcPr>
            <w:tcW w:w="1260" w:type="dxa"/>
            <w:vAlign w:val="bottom"/>
            <w:gridSpan w:val="3"/>
            <w:shd w:val="clear" w:color="auto" w:fill="CCEEFF"/>
          </w:tcPr>
          <w:p>
            <w:pPr>
              <w:jc w:val="right"/>
              <w:ind w:right="56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6"/>
        </w:trPr>
        <w:tc>
          <w:tcPr>
            <w:tcW w:w="6240" w:type="dxa"/>
            <w:vAlign w:val="bottom"/>
            <w:gridSpan w:val="2"/>
          </w:tcPr>
          <w:p>
            <w:pPr>
              <w:spacing w:after="0" w:line="155" w:lineRule="exact"/>
              <w:rPr>
                <w:sz w:val="20"/>
                <w:szCs w:val="20"/>
                <w:color w:val="auto"/>
              </w:rPr>
            </w:pPr>
            <w:r>
              <w:rPr>
                <w:rFonts w:ascii="Arial" w:cs="Arial" w:eastAsia="Arial" w:hAnsi="Arial"/>
                <w:sz w:val="14"/>
                <w:szCs w:val="14"/>
                <w:color w:val="auto"/>
              </w:rPr>
              <w:t>Ending Balance (Cost – $228,000,000 and $211,500,000, respectively)</w:t>
            </w: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76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w w:val="95"/>
              </w:rPr>
              <w:t>228,000,000</w:t>
            </w:r>
          </w:p>
        </w:tc>
        <w:tc>
          <w:tcPr>
            <w:tcW w:w="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78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w w:val="97"/>
              </w:rPr>
              <w:t>211,500,000</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6240" w:type="dxa"/>
            <w:vAlign w:val="bottom"/>
            <w:gridSpan w:val="2"/>
            <w:shd w:val="clear" w:color="auto" w:fill="CCEEFF"/>
          </w:tcPr>
          <w:p>
            <w:pPr>
              <w:ind w:left="280"/>
              <w:spacing w:after="0" w:line="149" w:lineRule="exact"/>
              <w:rPr>
                <w:sz w:val="20"/>
                <w:szCs w:val="20"/>
                <w:color w:val="auto"/>
              </w:rPr>
            </w:pPr>
            <w:r>
              <w:rPr>
                <w:rFonts w:ascii="Arial" w:cs="Arial" w:eastAsia="Arial" w:hAnsi="Arial"/>
                <w:sz w:val="14"/>
                <w:szCs w:val="14"/>
                <w:color w:val="auto"/>
              </w:rPr>
              <w:t>Temporary draws outstanding, at cost</w:t>
            </w:r>
          </w:p>
        </w:tc>
        <w:tc>
          <w:tcPr>
            <w:tcW w:w="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12,000,000</w:t>
            </w:r>
          </w:p>
        </w:tc>
        <w:tc>
          <w:tcPr>
            <w:tcW w:w="4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28,000,000</w:t>
            </w:r>
          </w:p>
        </w:tc>
        <w:tc>
          <w:tcPr>
            <w:tcW w:w="0" w:type="dxa"/>
            <w:vAlign w:val="bottom"/>
          </w:tcPr>
          <w:p>
            <w:pPr>
              <w:spacing w:after="0"/>
              <w:rPr>
                <w:sz w:val="1"/>
                <w:szCs w:val="1"/>
                <w:color w:val="auto"/>
              </w:rPr>
            </w:pPr>
          </w:p>
        </w:tc>
      </w:tr>
      <w:tr>
        <w:trPr>
          <w:trHeight w:val="155"/>
        </w:trPr>
        <w:tc>
          <w:tcPr>
            <w:tcW w:w="6240" w:type="dxa"/>
            <w:vAlign w:val="bottom"/>
            <w:gridSpan w:val="2"/>
          </w:tcPr>
          <w:p>
            <w:pPr>
              <w:spacing w:after="0" w:line="155" w:lineRule="exact"/>
              <w:rPr>
                <w:sz w:val="20"/>
                <w:szCs w:val="20"/>
                <w:color w:val="auto"/>
              </w:rPr>
            </w:pPr>
            <w:r>
              <w:rPr>
                <w:rFonts w:ascii="Arial" w:cs="Arial" w:eastAsia="Arial" w:hAnsi="Arial"/>
                <w:sz w:val="14"/>
                <w:szCs w:val="14"/>
                <w:color w:val="auto"/>
              </w:rPr>
              <w:t>Ending Balance (Cost – $240,000,000 and $239,500,000, respectively)</w:t>
            </w: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7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95"/>
              </w:rPr>
              <w:t>240,000,000</w:t>
            </w:r>
          </w:p>
        </w:tc>
        <w:tc>
          <w:tcPr>
            <w:tcW w:w="20" w:type="dxa"/>
            <w:vAlign w:val="bottom"/>
            <w:tcBorders>
              <w:bottom w:val="single" w:sz="8" w:color="auto"/>
            </w:tcBorders>
          </w:tcPr>
          <w:p>
            <w:pPr>
              <w:spacing w:after="0"/>
              <w:rPr>
                <w:sz w:val="13"/>
                <w:szCs w:val="13"/>
                <w:color w:val="auto"/>
              </w:rPr>
            </w:pPr>
          </w:p>
        </w:tc>
        <w:tc>
          <w:tcPr>
            <w:tcW w:w="480" w:type="dxa"/>
            <w:vAlign w:val="bottom"/>
          </w:tcPr>
          <w:p>
            <w:pPr>
              <w:spacing w:after="0"/>
              <w:rPr>
                <w:sz w:val="13"/>
                <w:szCs w:val="13"/>
                <w:color w:val="auto"/>
              </w:rPr>
            </w:pPr>
          </w:p>
        </w:tc>
        <w:tc>
          <w:tcPr>
            <w:tcW w:w="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7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97"/>
              </w:rPr>
              <w:t>239,500,000</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93980</wp:posOffset>
            </wp:positionV>
            <wp:extent cx="71120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1200" cy="8255"/>
                    </a:xfrm>
                    <a:prstGeom prst="rect">
                      <a:avLst/>
                    </a:prstGeom>
                    <a:noFill/>
                  </pic:spPr>
                </pic:pic>
              </a:graphicData>
            </a:graphic>
          </wp:anchor>
        </w:drawing>
      </w:r>
    </w:p>
    <w:p>
      <w:pPr>
        <w:spacing w:after="0" w:line="168" w:lineRule="exact"/>
        <w:rPr>
          <w:sz w:val="20"/>
          <w:szCs w:val="20"/>
          <w:color w:val="auto"/>
        </w:rPr>
      </w:pPr>
    </w:p>
    <w:p>
      <w:pPr>
        <w:ind w:left="460" w:hanging="452"/>
        <w:spacing w:after="0"/>
        <w:tabs>
          <w:tab w:leader="none" w:pos="460" w:val="left"/>
        </w:tabs>
        <w:numPr>
          <w:ilvl w:val="0"/>
          <w:numId w:val="6"/>
        </w:numPr>
        <w:rPr>
          <w:rFonts w:ascii="Arial" w:cs="Arial" w:eastAsia="Arial" w:hAnsi="Arial"/>
          <w:sz w:val="15"/>
          <w:szCs w:val="15"/>
          <w:color w:val="auto"/>
        </w:rPr>
      </w:pPr>
      <w:r>
        <w:rPr>
          <w:rFonts w:ascii="Arial" w:cs="Arial" w:eastAsia="Arial" w:hAnsi="Arial"/>
          <w:sz w:val="18"/>
          <w:szCs w:val="18"/>
          <w:color w:val="auto"/>
        </w:rPr>
        <w:t>Excludes temporary draws.</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220"/>
          </w:cols>
          <w:pgMar w:left="320" w:top="459" w:right="35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left="340" w:right="2700"/>
        <w:spacing w:after="0" w:line="257" w:lineRule="auto"/>
        <w:rPr>
          <w:sz w:val="20"/>
          <w:szCs w:val="20"/>
          <w:color w:val="auto"/>
        </w:rPr>
      </w:pPr>
      <w:r>
        <w:rPr>
          <w:rFonts w:ascii="Arial" w:cs="Arial" w:eastAsia="Arial" w:hAnsi="Arial"/>
          <w:sz w:val="18"/>
          <w:szCs w:val="18"/>
          <w:b w:val="1"/>
          <w:bCs w:val="1"/>
          <w:color w:val="auto"/>
        </w:rPr>
        <w:t>PENNANTPARK INVESTMENT CORPORATION AND SUBSIDIARIES NOTES TO CONSOLIDATED FINANCIAL STATEMENTS – (Continued) DECEMBER 31, 2013</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43" w:lineRule="exact"/>
        <w:rPr>
          <w:sz w:val="20"/>
          <w:szCs w:val="20"/>
          <w:color w:val="auto"/>
        </w:rPr>
      </w:pPr>
    </w:p>
    <w:p>
      <w:pPr>
        <w:ind w:right="120" w:firstLine="449"/>
        <w:spacing w:after="0" w:line="268" w:lineRule="auto"/>
        <w:rPr>
          <w:sz w:val="20"/>
          <w:szCs w:val="20"/>
          <w:color w:val="auto"/>
        </w:rPr>
      </w:pPr>
      <w:r>
        <w:rPr>
          <w:rFonts w:ascii="Arial" w:cs="Arial" w:eastAsia="Arial" w:hAnsi="Arial"/>
          <w:sz w:val="17"/>
          <w:szCs w:val="17"/>
          <w:color w:val="auto"/>
        </w:rPr>
        <w:t>We adopted ASC 825-10, which provides companies with an option to report selected financial assets and liabilities at fair value, and made an irrevocable election to apply ASC 825-10 to our Credit Facility and our 2025 Notes. We elected to use the fair value option for the Credit Facility and the 2025 Notes to align the measurement attributes of both our assets and liabilities while mitigating volatility in earnings from using different measurement attributes. ASC 825-10 establishes presentation and disclosure requirements designed to facilitate comparisons between companies that choose different measurement attributes for similar types of assets and liabilities and to more easily understand the effect on earnings of a company’s choice to use fair value. ASC 825-10 also requires entities to display the fair value of the selected assets and liabilities on the face of the Consolidated Statement of Assets and Liabilities and changes in fair value of the Credit Facility and 2025 Notes are reported in our Consolidated Statement of Operations. We elected not to apply ASC 825-10 to any other financial assets or liabilities, including the SBA debentures. For the three months ended December 31, 2013 and 2012, our Credit Facility and 2025 Notes had a net change in unrealized depreciation (appreciation) of $4.1 million and $(0.5) million, respectively. As of December 31, 2013 and September 30, 2013, net unrealized depreciation on our Credit Facility and 2025 Notes totaled $7.0 million and $2.9 million, respectively. We use a nationally recognized independent valuation service to measure the fair value of our Credit Facility in a manner consistent with the valuation process that the board of directors uses to value our investments. Our 2025 Notes trade on the NYSE, under the ticker “PNTA” and we use the closing price on the exchange to determine their fair value.</w:t>
      </w: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TRANSACTIONS WITH AFFILIATED COMPANIES</w:t>
      </w:r>
    </w:p>
    <w:p>
      <w:pPr>
        <w:spacing w:after="0" w:line="229" w:lineRule="exact"/>
        <w:rPr>
          <w:sz w:val="20"/>
          <w:szCs w:val="20"/>
          <w:color w:val="auto"/>
        </w:rPr>
      </w:pPr>
    </w:p>
    <w:p>
      <w:pPr>
        <w:ind w:firstLine="449"/>
        <w:spacing w:after="0" w:line="259" w:lineRule="auto"/>
        <w:rPr>
          <w:sz w:val="20"/>
          <w:szCs w:val="20"/>
          <w:color w:val="auto"/>
        </w:rPr>
      </w:pPr>
      <w:r>
        <w:rPr>
          <w:rFonts w:ascii="Arial" w:cs="Arial" w:eastAsia="Arial" w:hAnsi="Arial"/>
          <w:sz w:val="18"/>
          <w:szCs w:val="18"/>
          <w:color w:val="auto"/>
        </w:rPr>
        <w:t>An affiliated portfolio company is a company in which we have ownership of 5% or more of its voting securities. A non-controlled affiliate is a portfolio company in which we own less than 25% of its voting securities and a controlled affiliate is a portfolio company in which we own 25% or more of its voting securities. Transactions related to our funded investments with both controlled and non-controlled affiliates for the three months ended December 31, 2013 were as follows: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240" w:type="dxa"/>
            <w:vAlign w:val="bottom"/>
          </w:tcPr>
          <w:p>
            <w:pPr>
              <w:spacing w:after="0"/>
              <w:rPr>
                <w:sz w:val="14"/>
                <w:szCs w:val="14"/>
                <w:color w:val="auto"/>
              </w:rPr>
            </w:pPr>
          </w:p>
        </w:tc>
        <w:tc>
          <w:tcPr>
            <w:tcW w:w="3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Fair Value at</w:t>
            </w:r>
          </w:p>
        </w:tc>
        <w:tc>
          <w:tcPr>
            <w:tcW w:w="960" w:type="dxa"/>
            <w:vAlign w:val="bottom"/>
            <w:gridSpan w:val="3"/>
          </w:tcPr>
          <w:p>
            <w:pPr>
              <w:ind w:left="20"/>
              <w:spacing w:after="0"/>
              <w:rPr>
                <w:sz w:val="20"/>
                <w:szCs w:val="20"/>
                <w:color w:val="auto"/>
              </w:rPr>
            </w:pPr>
            <w:r>
              <w:rPr>
                <w:rFonts w:ascii="Arial" w:cs="Arial" w:eastAsia="Arial" w:hAnsi="Arial"/>
                <w:sz w:val="14"/>
                <w:szCs w:val="14"/>
                <w:b w:val="1"/>
                <w:bCs w:val="1"/>
                <w:color w:val="auto"/>
                <w:w w:val="96"/>
              </w:rPr>
              <w:t>Purchases of /</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gridSpan w:val="2"/>
          </w:tcPr>
          <w:p>
            <w:pPr>
              <w:ind w:left="60"/>
              <w:spacing w:after="0"/>
              <w:rPr>
                <w:sz w:val="20"/>
                <w:szCs w:val="20"/>
                <w:color w:val="auto"/>
              </w:rPr>
            </w:pPr>
            <w:r>
              <w:rPr>
                <w:rFonts w:ascii="Arial" w:cs="Arial" w:eastAsia="Arial" w:hAnsi="Arial"/>
                <w:sz w:val="14"/>
                <w:szCs w:val="14"/>
                <w:b w:val="1"/>
                <w:bCs w:val="1"/>
                <w:color w:val="auto"/>
              </w:rPr>
              <w:t>Sale of /</w:t>
            </w:r>
          </w:p>
        </w:tc>
        <w:tc>
          <w:tcPr>
            <w:tcW w:w="60" w:type="dxa"/>
            <w:vAlign w:val="bottom"/>
          </w:tcPr>
          <w:p>
            <w:pPr>
              <w:spacing w:after="0"/>
              <w:rPr>
                <w:sz w:val="14"/>
                <w:szCs w:val="14"/>
                <w:color w:val="auto"/>
              </w:rPr>
            </w:pPr>
          </w:p>
        </w:tc>
        <w:tc>
          <w:tcPr>
            <w:tcW w:w="78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Income</w:t>
            </w:r>
          </w:p>
        </w:tc>
        <w:tc>
          <w:tcPr>
            <w:tcW w:w="120" w:type="dxa"/>
            <w:vAlign w:val="bottom"/>
          </w:tcPr>
          <w:p>
            <w:pPr>
              <w:spacing w:after="0"/>
              <w:rPr>
                <w:sz w:val="14"/>
                <w:szCs w:val="14"/>
                <w:color w:val="auto"/>
              </w:rPr>
            </w:pPr>
          </w:p>
        </w:tc>
        <w:tc>
          <w:tcPr>
            <w:tcW w:w="112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Fair Value at</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gridSpan w:val="2"/>
          </w:tcPr>
          <w:p>
            <w:pPr>
              <w:ind w:left="200"/>
              <w:spacing w:after="0"/>
              <w:rPr>
                <w:sz w:val="20"/>
                <w:szCs w:val="20"/>
                <w:color w:val="auto"/>
              </w:rPr>
            </w:pPr>
            <w:r>
              <w:rPr>
                <w:rFonts w:ascii="Arial" w:cs="Arial" w:eastAsia="Arial" w:hAnsi="Arial"/>
                <w:sz w:val="14"/>
                <w:szCs w:val="14"/>
                <w:b w:val="1"/>
                <w:bCs w:val="1"/>
                <w:color w:val="auto"/>
              </w:rPr>
              <w:t>Net</w:t>
            </w:r>
          </w:p>
        </w:tc>
        <w:tc>
          <w:tcPr>
            <w:tcW w:w="0" w:type="dxa"/>
            <w:vAlign w:val="bottom"/>
          </w:tcPr>
          <w:p>
            <w:pPr>
              <w:spacing w:after="0"/>
              <w:rPr>
                <w:sz w:val="1"/>
                <w:szCs w:val="1"/>
                <w:color w:val="auto"/>
              </w:rPr>
            </w:pPr>
          </w:p>
        </w:tc>
      </w:tr>
      <w:tr>
        <w:trPr>
          <w:trHeight w:val="149"/>
        </w:trPr>
        <w:tc>
          <w:tcPr>
            <w:tcW w:w="45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 of Investment</w:t>
            </w:r>
          </w:p>
        </w:tc>
        <w:tc>
          <w:tcPr>
            <w:tcW w:w="120" w:type="dxa"/>
            <w:vAlign w:val="bottom"/>
          </w:tcPr>
          <w:p>
            <w:pPr>
              <w:spacing w:after="0"/>
              <w:rPr>
                <w:sz w:val="12"/>
                <w:szCs w:val="12"/>
                <w:color w:val="auto"/>
              </w:rPr>
            </w:pPr>
          </w:p>
        </w:tc>
        <w:tc>
          <w:tcPr>
            <w:tcW w:w="1240" w:type="dxa"/>
            <w:vAlign w:val="bottom"/>
            <w:gridSpan w:val="2"/>
            <w:vMerge w:val="continue"/>
          </w:tcPr>
          <w:p>
            <w:pPr>
              <w:spacing w:after="0"/>
              <w:rPr>
                <w:sz w:val="12"/>
                <w:szCs w:val="12"/>
                <w:color w:val="auto"/>
              </w:rPr>
            </w:pPr>
          </w:p>
        </w:tc>
        <w:tc>
          <w:tcPr>
            <w:tcW w:w="960" w:type="dxa"/>
            <w:vAlign w:val="bottom"/>
            <w:gridSpan w:val="3"/>
          </w:tcPr>
          <w:p>
            <w:pPr>
              <w:ind w:left="60"/>
              <w:spacing w:after="0" w:line="149" w:lineRule="exact"/>
              <w:rPr>
                <w:sz w:val="20"/>
                <w:szCs w:val="20"/>
                <w:color w:val="auto"/>
              </w:rPr>
            </w:pPr>
            <w:r>
              <w:rPr>
                <w:rFonts w:ascii="Arial" w:cs="Arial" w:eastAsia="Arial" w:hAnsi="Arial"/>
                <w:sz w:val="14"/>
                <w:szCs w:val="14"/>
                <w:b w:val="1"/>
                <w:bCs w:val="1"/>
                <w:color w:val="auto"/>
              </w:rPr>
              <w:t>Advances to</w:t>
            </w:r>
          </w:p>
        </w:tc>
        <w:tc>
          <w:tcPr>
            <w:tcW w:w="80" w:type="dxa"/>
            <w:vAlign w:val="bottom"/>
          </w:tcPr>
          <w:p>
            <w:pPr>
              <w:spacing w:after="0"/>
              <w:rPr>
                <w:sz w:val="12"/>
                <w:szCs w:val="12"/>
                <w:color w:val="auto"/>
              </w:rPr>
            </w:pPr>
          </w:p>
        </w:tc>
        <w:tc>
          <w:tcPr>
            <w:tcW w:w="1080" w:type="dxa"/>
            <w:vAlign w:val="bottom"/>
            <w:gridSpan w:val="3"/>
          </w:tcPr>
          <w:p>
            <w:pPr>
              <w:ind w:left="40"/>
              <w:spacing w:after="0" w:line="149" w:lineRule="exact"/>
              <w:rPr>
                <w:sz w:val="20"/>
                <w:szCs w:val="20"/>
                <w:color w:val="auto"/>
              </w:rPr>
            </w:pPr>
            <w:r>
              <w:rPr>
                <w:rFonts w:ascii="Arial" w:cs="Arial" w:eastAsia="Arial" w:hAnsi="Arial"/>
                <w:sz w:val="14"/>
                <w:szCs w:val="14"/>
                <w:b w:val="1"/>
                <w:bCs w:val="1"/>
                <w:color w:val="auto"/>
              </w:rPr>
              <w:t>Distributions</w:t>
            </w:r>
          </w:p>
        </w:tc>
        <w:tc>
          <w:tcPr>
            <w:tcW w:w="60" w:type="dxa"/>
            <w:vAlign w:val="bottom"/>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w w:val="98"/>
              </w:rPr>
              <w:t>Realized Gains</w:t>
            </w:r>
          </w:p>
        </w:tc>
        <w:tc>
          <w:tcPr>
            <w:tcW w:w="0" w:type="dxa"/>
            <w:vAlign w:val="bottom"/>
          </w:tcPr>
          <w:p>
            <w:pPr>
              <w:spacing w:after="0"/>
              <w:rPr>
                <w:sz w:val="1"/>
                <w:szCs w:val="1"/>
                <w:color w:val="auto"/>
              </w:rPr>
            </w:pPr>
          </w:p>
        </w:tc>
      </w:tr>
      <w:tr>
        <w:trPr>
          <w:trHeight w:val="171"/>
        </w:trPr>
        <w:tc>
          <w:tcPr>
            <w:tcW w:w="4580" w:type="dxa"/>
            <w:vAlign w:val="bottom"/>
            <w:gridSpan w:val="2"/>
            <w:vMerge w:val="continue"/>
          </w:tcPr>
          <w:p>
            <w:pPr>
              <w:spacing w:after="0"/>
              <w:rPr>
                <w:sz w:val="14"/>
                <w:szCs w:val="14"/>
                <w:color w:val="auto"/>
              </w:rPr>
            </w:pPr>
          </w:p>
        </w:tc>
        <w:tc>
          <w:tcPr>
            <w:tcW w:w="1360" w:type="dxa"/>
            <w:vAlign w:val="bottom"/>
            <w:gridSpan w:val="3"/>
          </w:tcPr>
          <w:p>
            <w:pPr>
              <w:spacing w:after="0"/>
              <w:rPr>
                <w:sz w:val="20"/>
                <w:szCs w:val="20"/>
                <w:color w:val="auto"/>
              </w:rPr>
            </w:pPr>
            <w:r>
              <w:rPr>
                <w:rFonts w:ascii="Arial" w:cs="Arial" w:eastAsia="Arial" w:hAnsi="Arial"/>
                <w:sz w:val="14"/>
                <w:szCs w:val="14"/>
                <w:b w:val="1"/>
                <w:bCs w:val="1"/>
                <w:color w:val="auto"/>
              </w:rPr>
              <w:t>September 30, 2013</w:t>
            </w:r>
          </w:p>
        </w:tc>
        <w:tc>
          <w:tcPr>
            <w:tcW w:w="120" w:type="dxa"/>
            <w:vAlign w:val="bottom"/>
          </w:tcPr>
          <w:p>
            <w:pPr>
              <w:spacing w:after="0"/>
              <w:rPr>
                <w:sz w:val="14"/>
                <w:szCs w:val="14"/>
                <w:color w:val="auto"/>
              </w:rPr>
            </w:pPr>
          </w:p>
        </w:tc>
        <w:tc>
          <w:tcPr>
            <w:tcW w:w="840" w:type="dxa"/>
            <w:vAlign w:val="bottom"/>
            <w:gridSpan w:val="2"/>
          </w:tcPr>
          <w:p>
            <w:pPr>
              <w:ind w:left="40"/>
              <w:spacing w:after="0"/>
              <w:rPr>
                <w:sz w:val="20"/>
                <w:szCs w:val="20"/>
                <w:color w:val="auto"/>
              </w:rPr>
            </w:pPr>
            <w:r>
              <w:rPr>
                <w:rFonts w:ascii="Arial" w:cs="Arial" w:eastAsia="Arial" w:hAnsi="Arial"/>
                <w:sz w:val="14"/>
                <w:szCs w:val="14"/>
                <w:b w:val="1"/>
                <w:bCs w:val="1"/>
                <w:color w:val="auto"/>
              </w:rPr>
              <w:t>Affiliates</w:t>
            </w:r>
          </w:p>
        </w:tc>
        <w:tc>
          <w:tcPr>
            <w:tcW w:w="80" w:type="dxa"/>
            <w:vAlign w:val="bottom"/>
          </w:tcPr>
          <w:p>
            <w:pPr>
              <w:spacing w:after="0"/>
              <w:rPr>
                <w:sz w:val="14"/>
                <w:szCs w:val="14"/>
                <w:color w:val="auto"/>
              </w:rPr>
            </w:pPr>
          </w:p>
        </w:tc>
        <w:tc>
          <w:tcPr>
            <w:tcW w:w="1080" w:type="dxa"/>
            <w:vAlign w:val="bottom"/>
            <w:gridSpan w:val="3"/>
          </w:tcPr>
          <w:p>
            <w:pPr>
              <w:spacing w:after="0"/>
              <w:rPr>
                <w:sz w:val="20"/>
                <w:szCs w:val="20"/>
                <w:color w:val="auto"/>
              </w:rPr>
            </w:pPr>
            <w:r>
              <w:rPr>
                <w:rFonts w:ascii="Arial" w:cs="Arial" w:eastAsia="Arial" w:hAnsi="Arial"/>
                <w:sz w:val="14"/>
                <w:szCs w:val="14"/>
                <w:b w:val="1"/>
                <w:bCs w:val="1"/>
                <w:color w:val="auto"/>
              </w:rPr>
              <w:t>from Affiliates</w:t>
            </w:r>
          </w:p>
        </w:tc>
        <w:tc>
          <w:tcPr>
            <w:tcW w:w="60" w:type="dxa"/>
            <w:vAlign w:val="bottom"/>
          </w:tcPr>
          <w:p>
            <w:pPr>
              <w:spacing w:after="0"/>
              <w:rPr>
                <w:sz w:val="14"/>
                <w:szCs w:val="14"/>
                <w:color w:val="auto"/>
              </w:rPr>
            </w:pPr>
          </w:p>
        </w:tc>
        <w:tc>
          <w:tcPr>
            <w:tcW w:w="78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89"/>
              </w:rPr>
              <w:t>Accrued</w:t>
            </w:r>
          </w:p>
        </w:tc>
        <w:tc>
          <w:tcPr>
            <w:tcW w:w="1240" w:type="dxa"/>
            <w:vAlign w:val="bottom"/>
            <w:gridSpan w:val="3"/>
          </w:tcPr>
          <w:p>
            <w:pPr>
              <w:spacing w:after="0"/>
              <w:rPr>
                <w:sz w:val="20"/>
                <w:szCs w:val="20"/>
                <w:color w:val="auto"/>
              </w:rPr>
            </w:pPr>
            <w:r>
              <w:rPr>
                <w:rFonts w:ascii="Arial" w:cs="Arial" w:eastAsia="Arial" w:hAnsi="Arial"/>
                <w:sz w:val="14"/>
                <w:szCs w:val="14"/>
                <w:b w:val="1"/>
                <w:bCs w:val="1"/>
                <w:color w:val="auto"/>
                <w:w w:val="96"/>
              </w:rPr>
              <w:t>December 31, 2013</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gridSpan w:val="2"/>
          </w:tcPr>
          <w:p>
            <w:pPr>
              <w:ind w:left="60"/>
              <w:spacing w:after="0"/>
              <w:rPr>
                <w:sz w:val="20"/>
                <w:szCs w:val="20"/>
                <w:color w:val="auto"/>
              </w:rPr>
            </w:pPr>
            <w:r>
              <w:rPr>
                <w:rFonts w:ascii="Arial" w:cs="Arial" w:eastAsia="Arial" w:hAnsi="Arial"/>
                <w:sz w:val="14"/>
                <w:szCs w:val="14"/>
                <w:b w:val="1"/>
                <w:bCs w:val="1"/>
                <w:color w:val="auto"/>
              </w:rPr>
              <w:t>(Losses)</w:t>
            </w:r>
          </w:p>
        </w:tc>
        <w:tc>
          <w:tcPr>
            <w:tcW w:w="0" w:type="dxa"/>
            <w:vAlign w:val="bottom"/>
          </w:tcPr>
          <w:p>
            <w:pPr>
              <w:spacing w:after="0"/>
              <w:rPr>
                <w:sz w:val="1"/>
                <w:szCs w:val="1"/>
                <w:color w:val="auto"/>
              </w:rPr>
            </w:pPr>
          </w:p>
        </w:tc>
      </w:tr>
      <w:tr>
        <w:trPr>
          <w:trHeight w:val="129"/>
        </w:trPr>
        <w:tc>
          <w:tcPr>
            <w:tcW w:w="1240" w:type="dxa"/>
            <w:vAlign w:val="bottom"/>
            <w:tcBorders>
              <w:top w:val="single" w:sz="8" w:color="auto"/>
            </w:tcBorders>
            <w:shd w:val="clear" w:color="auto" w:fill="CCEEFF"/>
          </w:tcPr>
          <w:p>
            <w:pPr>
              <w:spacing w:after="0" w:line="129" w:lineRule="exact"/>
              <w:rPr>
                <w:sz w:val="20"/>
                <w:szCs w:val="20"/>
                <w:color w:val="auto"/>
              </w:rPr>
            </w:pPr>
            <w:r>
              <w:rPr>
                <w:rFonts w:ascii="Arial" w:cs="Arial" w:eastAsia="Arial" w:hAnsi="Arial"/>
                <w:sz w:val="14"/>
                <w:szCs w:val="14"/>
                <w:b w:val="1"/>
                <w:bCs w:val="1"/>
                <w:color w:val="auto"/>
                <w:w w:val="91"/>
              </w:rPr>
              <w:t>Controlled Affiliates</w:t>
            </w:r>
          </w:p>
        </w:tc>
        <w:tc>
          <w:tcPr>
            <w:tcW w:w="334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1080" w:type="dxa"/>
            <w:vAlign w:val="bottom"/>
            <w:tcBorders>
              <w:top w:val="single" w:sz="8" w:color="auto"/>
            </w:tcBorders>
            <w:shd w:val="clear" w:color="auto" w:fill="CCEEFF"/>
          </w:tcPr>
          <w:p>
            <w:pPr>
              <w:spacing w:after="0"/>
              <w:rPr>
                <w:sz w:val="11"/>
                <w:szCs w:val="11"/>
                <w:color w:val="auto"/>
              </w:rPr>
            </w:pPr>
          </w:p>
        </w:tc>
        <w:tc>
          <w:tcPr>
            <w:tcW w:w="16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76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spacing w:after="0"/>
              <w:rPr>
                <w:sz w:val="11"/>
                <w:szCs w:val="11"/>
                <w:color w:val="auto"/>
              </w:rPr>
            </w:pPr>
          </w:p>
        </w:tc>
        <w:tc>
          <w:tcPr>
            <w:tcW w:w="760" w:type="dxa"/>
            <w:vAlign w:val="bottom"/>
            <w:tcBorders>
              <w:top w:val="single" w:sz="8" w:color="auto"/>
            </w:tcBorders>
            <w:shd w:val="clear" w:color="auto" w:fill="CCEEFF"/>
          </w:tcPr>
          <w:p>
            <w:pPr>
              <w:spacing w:after="0"/>
              <w:rPr>
                <w:sz w:val="11"/>
                <w:szCs w:val="11"/>
                <w:color w:val="auto"/>
              </w:rPr>
            </w:pPr>
          </w:p>
        </w:tc>
        <w:tc>
          <w:tcPr>
            <w:tcW w:w="18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spacing w:after="0"/>
              <w:rPr>
                <w:sz w:val="11"/>
                <w:szCs w:val="11"/>
                <w:color w:val="auto"/>
              </w:rPr>
            </w:pPr>
          </w:p>
        </w:tc>
        <w:tc>
          <w:tcPr>
            <w:tcW w:w="600" w:type="dxa"/>
            <w:vAlign w:val="bottom"/>
            <w:tcBorders>
              <w:top w:val="single" w:sz="8" w:color="auto"/>
            </w:tcBorders>
            <w:shd w:val="clear" w:color="auto" w:fill="CCEEFF"/>
          </w:tcPr>
          <w:p>
            <w:pPr>
              <w:spacing w:after="0"/>
              <w:rPr>
                <w:sz w:val="11"/>
                <w:szCs w:val="11"/>
                <w:color w:val="auto"/>
              </w:rPr>
            </w:pPr>
          </w:p>
        </w:tc>
        <w:tc>
          <w:tcPr>
            <w:tcW w:w="18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104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spacing w:after="0"/>
              <w:rPr>
                <w:sz w:val="11"/>
                <w:szCs w:val="11"/>
                <w:color w:val="auto"/>
              </w:rPr>
            </w:pPr>
          </w:p>
        </w:tc>
        <w:tc>
          <w:tcPr>
            <w:tcW w:w="78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4580" w:type="dxa"/>
            <w:vAlign w:val="bottom"/>
            <w:gridSpan w:val="2"/>
          </w:tcPr>
          <w:p>
            <w:pPr>
              <w:spacing w:after="0" w:line="149" w:lineRule="exact"/>
              <w:rPr>
                <w:sz w:val="20"/>
                <w:szCs w:val="20"/>
                <w:color w:val="auto"/>
              </w:rPr>
            </w:pPr>
            <w:r>
              <w:rPr>
                <w:rFonts w:ascii="Arial" w:cs="Arial" w:eastAsia="Arial" w:hAnsi="Arial"/>
                <w:sz w:val="14"/>
                <w:szCs w:val="14"/>
                <w:color w:val="auto"/>
              </w:rPr>
              <w:t>SuttonPark Holdings, Inc.</w:t>
            </w:r>
          </w:p>
        </w:tc>
        <w:tc>
          <w:tcPr>
            <w:tcW w:w="12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124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13,500,000</w:t>
            </w:r>
          </w:p>
        </w:tc>
        <w:tc>
          <w:tcPr>
            <w:tcW w:w="12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2"/>
          </w:tcPr>
          <w:p>
            <w:pPr>
              <w:ind w:left="540"/>
              <w:spacing w:after="0" w:line="149" w:lineRule="exact"/>
              <w:rPr>
                <w:sz w:val="20"/>
                <w:szCs w:val="20"/>
                <w:color w:val="auto"/>
              </w:rPr>
            </w:pPr>
            <w:r>
              <w:rPr>
                <w:rFonts w:ascii="Arial" w:cs="Arial" w:eastAsia="Arial" w:hAnsi="Arial"/>
                <w:sz w:val="14"/>
                <w:szCs w:val="14"/>
                <w:color w:val="auto"/>
              </w:rPr>
              <w:t>—</w:t>
            </w:r>
          </w:p>
        </w:tc>
        <w:tc>
          <w:tcPr>
            <w:tcW w:w="220" w:type="dxa"/>
            <w:vAlign w:val="bottom"/>
            <w:gridSpan w:val="2"/>
          </w:tcPr>
          <w:p>
            <w:pPr>
              <w:ind w:left="80"/>
              <w:spacing w:after="0" w:line="149" w:lineRule="exact"/>
              <w:rPr>
                <w:sz w:val="20"/>
                <w:szCs w:val="20"/>
                <w:color w:val="auto"/>
              </w:rPr>
            </w:pPr>
            <w:r>
              <w:rPr>
                <w:rFonts w:ascii="Arial" w:cs="Arial" w:eastAsia="Arial" w:hAnsi="Arial"/>
                <w:sz w:val="14"/>
                <w:szCs w:val="14"/>
                <w:color w:val="auto"/>
              </w:rPr>
              <w:t>$</w:t>
            </w:r>
          </w:p>
        </w:tc>
        <w:tc>
          <w:tcPr>
            <w:tcW w:w="940" w:type="dxa"/>
            <w:vAlign w:val="bottom"/>
            <w:gridSpan w:val="2"/>
          </w:tcPr>
          <w:p>
            <w:pPr>
              <w:ind w:left="54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8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402,500</w:t>
            </w:r>
          </w:p>
        </w:tc>
        <w:tc>
          <w:tcPr>
            <w:tcW w:w="12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11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13,500,000</w:t>
            </w:r>
          </w:p>
        </w:tc>
        <w:tc>
          <w:tcPr>
            <w:tcW w:w="240" w:type="dxa"/>
            <w:vAlign w:val="bottom"/>
            <w:gridSpan w:val="2"/>
          </w:tcPr>
          <w:p>
            <w:pPr>
              <w:ind w:left="80"/>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2"/>
          </w:tcPr>
          <w:p>
            <w:pPr>
              <w:ind w:left="5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8"/>
        </w:trPr>
        <w:tc>
          <w:tcPr>
            <w:tcW w:w="45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Universal Pegasus International, LLC</w:t>
            </w:r>
          </w:p>
        </w:tc>
        <w:tc>
          <w:tcPr>
            <w:tcW w:w="120" w:type="dxa"/>
            <w:vAlign w:val="bottom"/>
            <w:shd w:val="clear" w:color="auto" w:fill="CCEEFF"/>
          </w:tcPr>
          <w:p>
            <w:pPr>
              <w:spacing w:after="0"/>
              <w:rPr>
                <w:sz w:val="12"/>
                <w:szCs w:val="12"/>
                <w:color w:val="auto"/>
              </w:rPr>
            </w:pPr>
          </w:p>
        </w:tc>
        <w:tc>
          <w:tcPr>
            <w:tcW w:w="124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17,552,044</w:t>
            </w:r>
          </w:p>
        </w:tc>
        <w:tc>
          <w:tcPr>
            <w:tcW w:w="12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8,769,838</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40" w:type="dxa"/>
            <w:vAlign w:val="bottom"/>
            <w:gridSpan w:val="2"/>
            <w:shd w:val="clear" w:color="auto" w:fill="CCEEFF"/>
          </w:tcPr>
          <w:p>
            <w:pPr>
              <w:ind w:left="54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w w:val="93"/>
              </w:rPr>
              <w:t>1,291,786</w:t>
            </w:r>
          </w:p>
        </w:tc>
        <w:tc>
          <w:tcPr>
            <w:tcW w:w="12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27,556,881</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60" w:type="dxa"/>
            <w:vAlign w:val="bottom"/>
            <w:gridSpan w:val="2"/>
            <w:shd w:val="clear" w:color="auto" w:fill="CCEEFF"/>
          </w:tcPr>
          <w:p>
            <w:pPr>
              <w:ind w:left="5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4580" w:type="dxa"/>
            <w:vAlign w:val="bottom"/>
            <w:gridSpan w:val="2"/>
          </w:tcPr>
          <w:p>
            <w:pPr>
              <w:spacing w:after="0" w:line="149" w:lineRule="exact"/>
              <w:rPr>
                <w:sz w:val="20"/>
                <w:szCs w:val="20"/>
                <w:color w:val="auto"/>
              </w:rPr>
            </w:pPr>
            <w:r>
              <w:rPr>
                <w:rFonts w:ascii="Arial" w:cs="Arial" w:eastAsia="Arial" w:hAnsi="Arial"/>
                <w:sz w:val="14"/>
                <w:szCs w:val="14"/>
                <w:color w:val="auto"/>
              </w:rPr>
              <w:t>Superior Digital Displays Holdings, Inc.*</w:t>
            </w:r>
          </w:p>
        </w:tc>
        <w:tc>
          <w:tcPr>
            <w:tcW w:w="120" w:type="dxa"/>
            <w:vAlign w:val="bottom"/>
          </w:tcPr>
          <w:p>
            <w:pPr>
              <w:spacing w:after="0"/>
              <w:rPr>
                <w:sz w:val="12"/>
                <w:szCs w:val="12"/>
                <w:color w:val="auto"/>
              </w:rPr>
            </w:pPr>
          </w:p>
        </w:tc>
        <w:tc>
          <w:tcPr>
            <w:tcW w:w="1240" w:type="dxa"/>
            <w:vAlign w:val="bottom"/>
            <w:gridSpan w:val="2"/>
          </w:tcPr>
          <w:p>
            <w:pPr>
              <w:ind w:left="86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8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11,375,000</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gridSpan w:val="2"/>
          </w:tcPr>
          <w:p>
            <w:pPr>
              <w:ind w:left="54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78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11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12,849,720</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gridSpan w:val="2"/>
          </w:tcPr>
          <w:p>
            <w:pPr>
              <w:ind w:left="5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8"/>
        </w:trPr>
        <w:tc>
          <w:tcPr>
            <w:tcW w:w="45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Non-Controlled Affiliates</w:t>
            </w:r>
          </w:p>
        </w:tc>
        <w:tc>
          <w:tcPr>
            <w:tcW w:w="12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580" w:type="dxa"/>
            <w:vAlign w:val="bottom"/>
            <w:gridSpan w:val="2"/>
          </w:tcPr>
          <w:p>
            <w:pPr>
              <w:spacing w:after="0" w:line="149" w:lineRule="exact"/>
              <w:rPr>
                <w:sz w:val="20"/>
                <w:szCs w:val="20"/>
                <w:color w:val="auto"/>
              </w:rPr>
            </w:pPr>
            <w:r>
              <w:rPr>
                <w:rFonts w:ascii="Arial" w:cs="Arial" w:eastAsia="Arial" w:hAnsi="Arial"/>
                <w:sz w:val="14"/>
                <w:szCs w:val="14"/>
                <w:color w:val="auto"/>
              </w:rPr>
              <w:t>Direct Buy Holdings, Inc.</w:t>
            </w:r>
          </w:p>
        </w:tc>
        <w:tc>
          <w:tcPr>
            <w:tcW w:w="120" w:type="dxa"/>
            <w:vAlign w:val="bottom"/>
          </w:tcPr>
          <w:p>
            <w:pPr>
              <w:spacing w:after="0"/>
              <w:rPr>
                <w:sz w:val="12"/>
                <w:szCs w:val="12"/>
                <w:color w:val="auto"/>
              </w:rPr>
            </w:pPr>
          </w:p>
        </w:tc>
        <w:tc>
          <w:tcPr>
            <w:tcW w:w="124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17,805,936</w:t>
            </w:r>
          </w:p>
        </w:tc>
        <w:tc>
          <w:tcPr>
            <w:tcW w:w="120" w:type="dxa"/>
            <w:vAlign w:val="bottom"/>
          </w:tcPr>
          <w:p>
            <w:pPr>
              <w:spacing w:after="0"/>
              <w:rPr>
                <w:sz w:val="12"/>
                <w:szCs w:val="12"/>
                <w:color w:val="auto"/>
              </w:rPr>
            </w:pPr>
          </w:p>
        </w:tc>
        <w:tc>
          <w:tcPr>
            <w:tcW w:w="8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342,847</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gridSpan w:val="2"/>
          </w:tcPr>
          <w:p>
            <w:pPr>
              <w:ind w:left="140"/>
              <w:spacing w:after="0" w:line="149" w:lineRule="exact"/>
              <w:rPr>
                <w:sz w:val="20"/>
                <w:szCs w:val="20"/>
                <w:color w:val="auto"/>
              </w:rPr>
            </w:pPr>
            <w:r>
              <w:rPr>
                <w:rFonts w:ascii="Arial" w:cs="Arial" w:eastAsia="Arial" w:hAnsi="Arial"/>
                <w:sz w:val="14"/>
                <w:szCs w:val="14"/>
                <w:color w:val="auto"/>
              </w:rPr>
              <w:t>(1,126,015)</w:t>
            </w:r>
          </w:p>
        </w:tc>
        <w:tc>
          <w:tcPr>
            <w:tcW w:w="60" w:type="dxa"/>
            <w:vAlign w:val="bottom"/>
          </w:tcPr>
          <w:p>
            <w:pPr>
              <w:spacing w:after="0"/>
              <w:rPr>
                <w:sz w:val="12"/>
                <w:szCs w:val="12"/>
                <w:color w:val="auto"/>
              </w:rPr>
            </w:pPr>
          </w:p>
        </w:tc>
        <w:tc>
          <w:tcPr>
            <w:tcW w:w="78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335,063</w:t>
            </w:r>
          </w:p>
        </w:tc>
        <w:tc>
          <w:tcPr>
            <w:tcW w:w="120" w:type="dxa"/>
            <w:vAlign w:val="bottom"/>
          </w:tcPr>
          <w:p>
            <w:pPr>
              <w:spacing w:after="0"/>
              <w:rPr>
                <w:sz w:val="12"/>
                <w:szCs w:val="12"/>
                <w:color w:val="auto"/>
              </w:rPr>
            </w:pPr>
          </w:p>
        </w:tc>
        <w:tc>
          <w:tcPr>
            <w:tcW w:w="11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15,989,439</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gridSpan w:val="2"/>
          </w:tcPr>
          <w:p>
            <w:pPr>
              <w:ind w:left="5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8"/>
        </w:trPr>
        <w:tc>
          <w:tcPr>
            <w:tcW w:w="45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Envirosolutions Holdings, Inc.</w:t>
            </w:r>
          </w:p>
        </w:tc>
        <w:tc>
          <w:tcPr>
            <w:tcW w:w="120" w:type="dxa"/>
            <w:vAlign w:val="bottom"/>
            <w:shd w:val="clear" w:color="auto" w:fill="CCEEFF"/>
          </w:tcPr>
          <w:p>
            <w:pPr>
              <w:spacing w:after="0"/>
              <w:rPr>
                <w:sz w:val="12"/>
                <w:szCs w:val="12"/>
                <w:color w:val="auto"/>
              </w:rPr>
            </w:pPr>
          </w:p>
        </w:tc>
        <w:tc>
          <w:tcPr>
            <w:tcW w:w="124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21,265,345</w:t>
            </w:r>
          </w:p>
        </w:tc>
        <w:tc>
          <w:tcPr>
            <w:tcW w:w="12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9,127,448</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40" w:type="dxa"/>
            <w:vAlign w:val="bottom"/>
            <w:gridSpan w:val="2"/>
            <w:shd w:val="clear" w:color="auto" w:fill="CCEEFF"/>
          </w:tcPr>
          <w:p>
            <w:pPr>
              <w:ind w:left="54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22,932</w:t>
            </w:r>
          </w:p>
        </w:tc>
        <w:tc>
          <w:tcPr>
            <w:tcW w:w="12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32,264,379</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60" w:type="dxa"/>
            <w:vAlign w:val="bottom"/>
            <w:gridSpan w:val="2"/>
            <w:shd w:val="clear" w:color="auto" w:fill="CCEEFF"/>
          </w:tcPr>
          <w:p>
            <w:pPr>
              <w:ind w:left="5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8"/>
        </w:trPr>
        <w:tc>
          <w:tcPr>
            <w:tcW w:w="4580" w:type="dxa"/>
            <w:vAlign w:val="bottom"/>
            <w:gridSpan w:val="2"/>
          </w:tcPr>
          <w:p>
            <w:pPr>
              <w:spacing w:after="0" w:line="149" w:lineRule="exact"/>
              <w:rPr>
                <w:sz w:val="20"/>
                <w:szCs w:val="20"/>
                <w:color w:val="auto"/>
              </w:rPr>
            </w:pPr>
            <w:r>
              <w:rPr>
                <w:rFonts w:ascii="Arial" w:cs="Arial" w:eastAsia="Arial" w:hAnsi="Arial"/>
                <w:sz w:val="14"/>
                <w:szCs w:val="14"/>
                <w:color w:val="auto"/>
              </w:rPr>
              <w:t>PAS International Holdings, Inc.</w:t>
            </w:r>
          </w:p>
        </w:tc>
        <w:tc>
          <w:tcPr>
            <w:tcW w:w="120" w:type="dxa"/>
            <w:vAlign w:val="bottom"/>
          </w:tcPr>
          <w:p>
            <w:pPr>
              <w:spacing w:after="0"/>
              <w:rPr>
                <w:sz w:val="12"/>
                <w:szCs w:val="12"/>
                <w:color w:val="auto"/>
              </w:rPr>
            </w:pPr>
          </w:p>
        </w:tc>
        <w:tc>
          <w:tcPr>
            <w:tcW w:w="124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1,694,296</w:t>
            </w:r>
          </w:p>
        </w:tc>
        <w:tc>
          <w:tcPr>
            <w:tcW w:w="120" w:type="dxa"/>
            <w:vAlign w:val="bottom"/>
          </w:tcPr>
          <w:p>
            <w:pPr>
              <w:spacing w:after="0"/>
              <w:rPr>
                <w:sz w:val="12"/>
                <w:szCs w:val="12"/>
                <w:color w:val="auto"/>
              </w:rPr>
            </w:pPr>
          </w:p>
        </w:tc>
        <w:tc>
          <w:tcPr>
            <w:tcW w:w="840" w:type="dxa"/>
            <w:vAlign w:val="bottom"/>
            <w:gridSpan w:val="2"/>
          </w:tcPr>
          <w:p>
            <w:pPr>
              <w:ind w:left="54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gridSpan w:val="2"/>
          </w:tcPr>
          <w:p>
            <w:pPr>
              <w:ind w:left="54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78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11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523,407</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gridSpan w:val="2"/>
          </w:tcPr>
          <w:p>
            <w:pPr>
              <w:ind w:left="5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45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NCP-Performance, L.P.</w:t>
            </w:r>
          </w:p>
        </w:tc>
        <w:tc>
          <w:tcPr>
            <w:tcW w:w="120" w:type="dxa"/>
            <w:vAlign w:val="bottom"/>
            <w:shd w:val="clear" w:color="auto" w:fill="CCEEFF"/>
          </w:tcPr>
          <w:p>
            <w:pPr>
              <w:spacing w:after="0"/>
              <w:rPr>
                <w:sz w:val="12"/>
                <w:szCs w:val="12"/>
                <w:color w:val="auto"/>
              </w:rPr>
            </w:pPr>
          </w:p>
        </w:tc>
        <w:tc>
          <w:tcPr>
            <w:tcW w:w="124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2,500,165</w:t>
            </w:r>
          </w:p>
        </w:tc>
        <w:tc>
          <w:tcPr>
            <w:tcW w:w="120" w:type="dxa"/>
            <w:vAlign w:val="bottom"/>
            <w:shd w:val="clear" w:color="auto" w:fill="CCEEFF"/>
          </w:tcPr>
          <w:p>
            <w:pPr>
              <w:spacing w:after="0"/>
              <w:rPr>
                <w:sz w:val="12"/>
                <w:szCs w:val="12"/>
                <w:color w:val="auto"/>
              </w:rPr>
            </w:pPr>
          </w:p>
        </w:tc>
        <w:tc>
          <w:tcPr>
            <w:tcW w:w="840" w:type="dxa"/>
            <w:vAlign w:val="bottom"/>
            <w:gridSpan w:val="2"/>
            <w:shd w:val="clear" w:color="auto" w:fill="CCEEFF"/>
          </w:tcPr>
          <w:p>
            <w:pPr>
              <w:ind w:left="54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40" w:type="dxa"/>
            <w:vAlign w:val="bottom"/>
            <w:gridSpan w:val="2"/>
            <w:shd w:val="clear" w:color="auto" w:fill="CCEEFF"/>
          </w:tcPr>
          <w:p>
            <w:pPr>
              <w:ind w:left="54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1,288,200</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60" w:type="dxa"/>
            <w:vAlign w:val="bottom"/>
            <w:gridSpan w:val="2"/>
            <w:shd w:val="clear" w:color="auto" w:fill="CCEEFF"/>
          </w:tcPr>
          <w:p>
            <w:pPr>
              <w:ind w:left="5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5"/>
        </w:trPr>
        <w:tc>
          <w:tcPr>
            <w:tcW w:w="4580" w:type="dxa"/>
            <w:vAlign w:val="bottom"/>
            <w:gridSpan w:val="2"/>
          </w:tcPr>
          <w:p>
            <w:pPr>
              <w:spacing w:after="0" w:line="149" w:lineRule="exact"/>
              <w:rPr>
                <w:sz w:val="20"/>
                <w:szCs w:val="20"/>
                <w:color w:val="auto"/>
              </w:rPr>
            </w:pPr>
            <w:r>
              <w:rPr>
                <w:rFonts w:ascii="Arial" w:cs="Arial" w:eastAsia="Arial" w:hAnsi="Arial"/>
                <w:sz w:val="14"/>
                <w:szCs w:val="14"/>
                <w:color w:val="auto"/>
              </w:rPr>
              <w:t>Service Champ, Inc.</w:t>
            </w:r>
          </w:p>
        </w:tc>
        <w:tc>
          <w:tcPr>
            <w:tcW w:w="12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33,470,058</w:t>
            </w:r>
          </w:p>
        </w:tc>
        <w:tc>
          <w:tcPr>
            <w:tcW w:w="16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ind w:left="54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ind w:left="540"/>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906,616</w:t>
            </w:r>
          </w:p>
        </w:tc>
        <w:tc>
          <w:tcPr>
            <w:tcW w:w="18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34,381,849</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ind w:left="56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45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Total Controlled and Non-Controlled Affiliates</w:t>
            </w:r>
          </w:p>
        </w:tc>
        <w:tc>
          <w:tcPr>
            <w:tcW w:w="1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107,787,844</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29,615,133</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940" w:type="dxa"/>
            <w:vAlign w:val="bottom"/>
            <w:gridSpan w:val="2"/>
            <w:shd w:val="clear" w:color="auto" w:fill="CCEEFF"/>
          </w:tcPr>
          <w:p>
            <w:pPr>
              <w:ind w:left="140"/>
              <w:spacing w:after="0" w:line="149" w:lineRule="exact"/>
              <w:rPr>
                <w:sz w:val="20"/>
                <w:szCs w:val="20"/>
                <w:color w:val="auto"/>
              </w:rPr>
            </w:pPr>
            <w:r>
              <w:rPr>
                <w:rFonts w:ascii="Arial" w:cs="Arial" w:eastAsia="Arial" w:hAnsi="Arial"/>
                <w:sz w:val="14"/>
                <w:szCs w:val="14"/>
                <w:color w:val="auto"/>
              </w:rPr>
              <w:t>(1,126,015)</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u w:val="single" w:color="auto"/>
                <w:color w:val="auto"/>
                <w:w w:val="71"/>
              </w:rPr>
              <w:t>$</w:t>
            </w:r>
          </w:p>
        </w:tc>
        <w:tc>
          <w:tcPr>
            <w:tcW w:w="78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w w:val="93"/>
              </w:rPr>
              <w:t>2,958,897</w:t>
            </w:r>
          </w:p>
        </w:tc>
        <w:tc>
          <w:tcPr>
            <w:tcW w:w="1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11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138,353,875</w:t>
            </w:r>
          </w:p>
        </w:tc>
        <w:tc>
          <w:tcPr>
            <w:tcW w:w="240" w:type="dxa"/>
            <w:vAlign w:val="bottom"/>
            <w:gridSpan w:val="2"/>
            <w:shd w:val="clear" w:color="auto" w:fill="CCEEFF"/>
          </w:tcPr>
          <w:p>
            <w:pPr>
              <w:ind w:left="80"/>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ind w:left="5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color w:val="auto"/>
        </w:rPr>
        <w:t>*  Became a controlled affiliated portfolio company during quarter ended December 31, 2013.</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CHANGE IN NET ASSETS RESULTING FROM OPERATIONS PER COMMON SHARE</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information sets forth the computation of basic and diluted per share net increase in net assets resulting from operations: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8860" w:type="dxa"/>
            <w:vAlign w:val="bottom"/>
            <w:gridSpan w:val="2"/>
          </w:tcPr>
          <w:p>
            <w:pPr>
              <w:spacing w:after="0"/>
              <w:rPr>
                <w:sz w:val="20"/>
                <w:szCs w:val="20"/>
                <w:color w:val="auto"/>
              </w:rPr>
            </w:pPr>
            <w:r>
              <w:rPr>
                <w:rFonts w:ascii="Arial" w:cs="Arial" w:eastAsia="Arial" w:hAnsi="Arial"/>
                <w:sz w:val="14"/>
                <w:szCs w:val="14"/>
                <w:b w:val="1"/>
                <w:bCs w:val="1"/>
                <w:color w:val="auto"/>
              </w:rPr>
              <w:t>Class and Year</w:t>
            </w:r>
          </w:p>
        </w:tc>
        <w:tc>
          <w:tcPr>
            <w:tcW w:w="2380" w:type="dxa"/>
            <w:vAlign w:val="bottom"/>
            <w:gridSpan w:val="6"/>
          </w:tcPr>
          <w:p>
            <w:pPr>
              <w:ind w:left="60"/>
              <w:spacing w:after="0"/>
              <w:rPr>
                <w:sz w:val="20"/>
                <w:szCs w:val="20"/>
                <w:color w:val="auto"/>
              </w:rPr>
            </w:pPr>
            <w:r>
              <w:rPr>
                <w:rFonts w:ascii="Arial" w:cs="Arial" w:eastAsia="Arial" w:hAnsi="Arial"/>
                <w:sz w:val="14"/>
                <w:szCs w:val="14"/>
                <w:b w:val="1"/>
                <w:bCs w:val="1"/>
                <w:color w:val="auto"/>
                <w:w w:val="98"/>
              </w:rPr>
              <w:t>Three Months Ended December 31,</w:t>
            </w:r>
          </w:p>
        </w:tc>
      </w:tr>
      <w:tr>
        <w:trPr>
          <w:trHeight w:val="142"/>
        </w:trPr>
        <w:tc>
          <w:tcPr>
            <w:tcW w:w="940" w:type="dxa"/>
            <w:vAlign w:val="bottom"/>
            <w:tcBorders>
              <w:top w:val="single" w:sz="8" w:color="auto"/>
              <w:bottom w:val="single" w:sz="8" w:color="CCEEFF"/>
            </w:tcBorders>
          </w:tcPr>
          <w:p>
            <w:pPr>
              <w:spacing w:after="0"/>
              <w:rPr>
                <w:sz w:val="12"/>
                <w:szCs w:val="12"/>
                <w:color w:val="auto"/>
              </w:rPr>
            </w:pPr>
          </w:p>
        </w:tc>
        <w:tc>
          <w:tcPr>
            <w:tcW w:w="7920" w:type="dxa"/>
            <w:vAlign w:val="bottom"/>
            <w:tcBorders>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780" w:type="dxa"/>
            <w:vAlign w:val="bottom"/>
            <w:tcBorders>
              <w:top w:val="single" w:sz="8" w:color="auto"/>
              <w:bottom w:val="single" w:sz="8" w:color="auto"/>
            </w:tcBorders>
          </w:tcPr>
          <w:p>
            <w:pPr>
              <w:jc w:val="right"/>
              <w:ind w:right="268"/>
              <w:spacing w:after="0" w:line="142" w:lineRule="exact"/>
              <w:rPr>
                <w:sz w:val="20"/>
                <w:szCs w:val="20"/>
                <w:color w:val="auto"/>
              </w:rPr>
            </w:pPr>
            <w:r>
              <w:rPr>
                <w:rFonts w:ascii="Arial" w:cs="Arial" w:eastAsia="Arial" w:hAnsi="Arial"/>
                <w:sz w:val="14"/>
                <w:szCs w:val="14"/>
                <w:b w:val="1"/>
                <w:bCs w:val="1"/>
                <w:color w:val="auto"/>
              </w:rPr>
              <w:t>2013</w:t>
            </w:r>
          </w:p>
        </w:tc>
        <w:tc>
          <w:tcPr>
            <w:tcW w:w="320" w:type="dxa"/>
            <w:vAlign w:val="bottom"/>
            <w:tcBorders>
              <w:top w:val="single" w:sz="8" w:color="auto"/>
              <w:bottom w:val="single" w:sz="8" w:color="CCEEFF"/>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780" w:type="dxa"/>
            <w:vAlign w:val="bottom"/>
            <w:tcBorders>
              <w:top w:val="single" w:sz="8" w:color="auto"/>
              <w:bottom w:val="single" w:sz="8" w:color="auto"/>
            </w:tcBorders>
          </w:tcPr>
          <w:p>
            <w:pPr>
              <w:jc w:val="right"/>
              <w:ind w:right="288"/>
              <w:spacing w:after="0" w:line="142" w:lineRule="exact"/>
              <w:rPr>
                <w:sz w:val="20"/>
                <w:szCs w:val="20"/>
                <w:color w:val="auto"/>
              </w:rPr>
            </w:pPr>
            <w:r>
              <w:rPr>
                <w:rFonts w:ascii="Arial" w:cs="Arial" w:eastAsia="Arial" w:hAnsi="Arial"/>
                <w:sz w:val="14"/>
                <w:szCs w:val="14"/>
                <w:b w:val="1"/>
                <w:bCs w:val="1"/>
                <w:color w:val="auto"/>
              </w:rPr>
              <w:t>2012</w:t>
            </w:r>
          </w:p>
        </w:tc>
        <w:tc>
          <w:tcPr>
            <w:tcW w:w="80" w:type="dxa"/>
            <w:vAlign w:val="bottom"/>
            <w:tcBorders>
              <w:bottom w:val="single" w:sz="8" w:color="CCEEFF"/>
            </w:tcBorders>
          </w:tcPr>
          <w:p>
            <w:pPr>
              <w:spacing w:after="0"/>
              <w:rPr>
                <w:sz w:val="12"/>
                <w:szCs w:val="12"/>
                <w:color w:val="auto"/>
              </w:rPr>
            </w:pPr>
          </w:p>
        </w:tc>
      </w:tr>
      <w:tr>
        <w:trPr>
          <w:trHeight w:val="142"/>
        </w:trPr>
        <w:tc>
          <w:tcPr>
            <w:tcW w:w="8860" w:type="dxa"/>
            <w:vAlign w:val="bottom"/>
            <w:gridSpan w:val="2"/>
            <w:shd w:val="clear" w:color="auto" w:fill="CCEEFF"/>
          </w:tcPr>
          <w:p>
            <w:pPr>
              <w:spacing w:after="0" w:line="142" w:lineRule="exact"/>
              <w:rPr>
                <w:sz w:val="20"/>
                <w:szCs w:val="20"/>
                <w:color w:val="auto"/>
              </w:rPr>
            </w:pPr>
            <w:r>
              <w:rPr>
                <w:rFonts w:ascii="Arial" w:cs="Arial" w:eastAsia="Arial" w:hAnsi="Arial"/>
                <w:sz w:val="14"/>
                <w:szCs w:val="14"/>
                <w:color w:val="auto"/>
              </w:rPr>
              <w:t>Numerator for net increase in net assets resulting from operations</w:t>
            </w:r>
          </w:p>
        </w:tc>
        <w:tc>
          <w:tcPr>
            <w:tcW w:w="200" w:type="dxa"/>
            <w:vAlign w:val="bottom"/>
            <w:shd w:val="clear" w:color="auto" w:fill="CCEEFF"/>
          </w:tcPr>
          <w:p>
            <w:pPr>
              <w:jc w:val="right"/>
              <w:ind w:right="48"/>
              <w:spacing w:after="0" w:line="142" w:lineRule="exact"/>
              <w:rPr>
                <w:sz w:val="20"/>
                <w:szCs w:val="20"/>
                <w:color w:val="auto"/>
              </w:rPr>
            </w:pPr>
            <w:r>
              <w:rPr>
                <w:rFonts w:ascii="Arial" w:cs="Arial" w:eastAsia="Arial" w:hAnsi="Arial"/>
                <w:sz w:val="14"/>
                <w:szCs w:val="14"/>
                <w:color w:val="auto"/>
                <w:w w:val="76"/>
              </w:rPr>
              <w:t>$</w:t>
            </w:r>
          </w:p>
        </w:tc>
        <w:tc>
          <w:tcPr>
            <w:tcW w:w="78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39,454,953</w:t>
            </w:r>
          </w:p>
        </w:tc>
        <w:tc>
          <w:tcPr>
            <w:tcW w:w="320" w:type="dxa"/>
            <w:vAlign w:val="bottom"/>
            <w:shd w:val="clear" w:color="auto" w:fill="CCEEFF"/>
          </w:tcPr>
          <w:p>
            <w:pPr>
              <w:spacing w:after="0"/>
              <w:rPr>
                <w:sz w:val="12"/>
                <w:szCs w:val="12"/>
                <w:color w:val="auto"/>
              </w:rPr>
            </w:pPr>
          </w:p>
        </w:tc>
        <w:tc>
          <w:tcPr>
            <w:tcW w:w="220" w:type="dxa"/>
            <w:vAlign w:val="bottom"/>
            <w:shd w:val="clear" w:color="auto" w:fill="CCEEFF"/>
          </w:tcPr>
          <w:p>
            <w:pPr>
              <w:jc w:val="right"/>
              <w:ind w:right="68"/>
              <w:spacing w:after="0" w:line="142" w:lineRule="exact"/>
              <w:rPr>
                <w:sz w:val="20"/>
                <w:szCs w:val="20"/>
                <w:color w:val="auto"/>
              </w:rPr>
            </w:pPr>
            <w:r>
              <w:rPr>
                <w:rFonts w:ascii="Arial" w:cs="Arial" w:eastAsia="Arial" w:hAnsi="Arial"/>
                <w:sz w:val="14"/>
                <w:szCs w:val="14"/>
                <w:color w:val="auto"/>
                <w:w w:val="76"/>
              </w:rPr>
              <w:t>$</w:t>
            </w:r>
          </w:p>
        </w:tc>
        <w:tc>
          <w:tcPr>
            <w:tcW w:w="78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28,541,186</w:t>
            </w:r>
          </w:p>
        </w:tc>
        <w:tc>
          <w:tcPr>
            <w:tcW w:w="80" w:type="dxa"/>
            <w:vAlign w:val="bottom"/>
            <w:shd w:val="clear" w:color="auto" w:fill="CCEEFF"/>
          </w:tcPr>
          <w:p>
            <w:pPr>
              <w:spacing w:after="0"/>
              <w:rPr>
                <w:sz w:val="12"/>
                <w:szCs w:val="12"/>
                <w:color w:val="auto"/>
              </w:rPr>
            </w:pPr>
          </w:p>
        </w:tc>
      </w:tr>
      <w:tr>
        <w:trPr>
          <w:trHeight w:val="149"/>
        </w:trPr>
        <w:tc>
          <w:tcPr>
            <w:tcW w:w="8860" w:type="dxa"/>
            <w:vAlign w:val="bottom"/>
            <w:gridSpan w:val="2"/>
          </w:tcPr>
          <w:p>
            <w:pPr>
              <w:spacing w:after="0" w:line="149" w:lineRule="exact"/>
              <w:rPr>
                <w:sz w:val="20"/>
                <w:szCs w:val="20"/>
                <w:color w:val="auto"/>
              </w:rPr>
            </w:pPr>
            <w:r>
              <w:rPr>
                <w:rFonts w:ascii="Arial" w:cs="Arial" w:eastAsia="Arial" w:hAnsi="Arial"/>
                <w:sz w:val="14"/>
                <w:szCs w:val="14"/>
                <w:color w:val="auto"/>
              </w:rPr>
              <w:t>Denominator for basic and diluted weighted average shares</w:t>
            </w:r>
          </w:p>
        </w:tc>
        <w:tc>
          <w:tcPr>
            <w:tcW w:w="200" w:type="dxa"/>
            <w:vAlign w:val="bottom"/>
          </w:tcPr>
          <w:p>
            <w:pPr>
              <w:spacing w:after="0"/>
              <w:rPr>
                <w:sz w:val="12"/>
                <w:szCs w:val="12"/>
                <w:color w:val="auto"/>
              </w:rPr>
            </w:pPr>
          </w:p>
        </w:tc>
        <w:tc>
          <w:tcPr>
            <w:tcW w:w="110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66,546,219</w:t>
            </w:r>
          </w:p>
        </w:tc>
        <w:tc>
          <w:tcPr>
            <w:tcW w:w="220" w:type="dxa"/>
            <w:vAlign w:val="bottom"/>
          </w:tcPr>
          <w:p>
            <w:pPr>
              <w:spacing w:after="0"/>
              <w:rPr>
                <w:sz w:val="12"/>
                <w:szCs w:val="12"/>
                <w:color w:val="auto"/>
              </w:rPr>
            </w:pPr>
          </w:p>
        </w:tc>
        <w:tc>
          <w:tcPr>
            <w:tcW w:w="8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66,174,302</w:t>
            </w:r>
          </w:p>
        </w:tc>
      </w:tr>
      <w:tr>
        <w:trPr>
          <w:trHeight w:val="148"/>
        </w:trPr>
        <w:tc>
          <w:tcPr>
            <w:tcW w:w="88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Basic and diluted net increase in net assets resulting from operations per share</w:t>
            </w:r>
          </w:p>
        </w:tc>
        <w:tc>
          <w:tcPr>
            <w:tcW w:w="20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0.59</w:t>
            </w:r>
          </w:p>
        </w:tc>
        <w:tc>
          <w:tcPr>
            <w:tcW w:w="22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0.44</w:t>
            </w:r>
          </w:p>
        </w:tc>
      </w:tr>
    </w:tbl>
    <w:p>
      <w:pPr>
        <w:spacing w:after="0" w:line="1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240"/>
          </w:cols>
          <w:pgMar w:left="320" w:top="459" w:right="3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left="380" w:right="2660"/>
        <w:spacing w:after="0" w:line="257" w:lineRule="auto"/>
        <w:rPr>
          <w:sz w:val="20"/>
          <w:szCs w:val="20"/>
          <w:color w:val="auto"/>
        </w:rPr>
      </w:pPr>
      <w:r>
        <w:rPr>
          <w:rFonts w:ascii="Arial" w:cs="Arial" w:eastAsia="Arial" w:hAnsi="Arial"/>
          <w:sz w:val="18"/>
          <w:szCs w:val="18"/>
          <w:b w:val="1"/>
          <w:bCs w:val="1"/>
          <w:color w:val="auto"/>
        </w:rPr>
        <w:t>PENNANTPARK INVESTMENT CORPORATION AND SUBSIDIARIES NOTES TO CONSOLIDATED FINANCIAL STATEMENTS – (Continued) DECEMBER 31, 2013</w:t>
      </w:r>
    </w:p>
    <w:p>
      <w:pPr>
        <w:spacing w:after="0" w:line="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CASH EQUIVALENTS</w:t>
      </w:r>
    </w:p>
    <w:p>
      <w:pPr>
        <w:spacing w:after="0" w:line="121" w:lineRule="exact"/>
        <w:rPr>
          <w:sz w:val="20"/>
          <w:szCs w:val="20"/>
          <w:color w:val="auto"/>
        </w:rPr>
      </w:pPr>
    </w:p>
    <w:p>
      <w:pPr>
        <w:ind w:right="120" w:firstLine="449"/>
        <w:spacing w:after="0" w:line="269" w:lineRule="auto"/>
        <w:rPr>
          <w:sz w:val="20"/>
          <w:szCs w:val="20"/>
          <w:color w:val="auto"/>
        </w:rPr>
      </w:pPr>
      <w:r>
        <w:rPr>
          <w:rFonts w:ascii="Arial" w:cs="Arial" w:eastAsia="Arial" w:hAnsi="Arial"/>
          <w:sz w:val="17"/>
          <w:szCs w:val="17"/>
          <w:color w:val="auto"/>
        </w:rPr>
        <w:t>Cash equivalents represent cash in money market funds pending investment in longer-term portfolio holdings. Our portfolio may consist of temporary investments in U.S. Treasury Bills (of varying maturities), repurchase agreements, money market funds or repurchase agreement-like treasury securities. These temporary investments with original maturities of 90 days or less are deemed cash equivalents and are included in the Consolidated Schedule of Investments. At the end of each fiscal quarter, we may take proactive steps to preserve investment flexibility for the next quarter by investing in cash equivalents, which is dependent upon the composition of our total assets at quarter end. We may accomplish this in several ways, including purchasing U.S. Treasury Bills and closing out our positions on a net cash basis after quarter-end, temporarily drawing down on the Credit Facility, or utilizing repurchase agreements or other balance sheet transactions as are deemed appropriate for this purpose. These amounts are excluded from average adjusted gross assets for purposes of computing the Investment Adviser’s management fee. U.S. Treasury Bills with maturities greater than 60 days from the time of purchase are valued consistent with our valuation policy. As of December 31, 2013 and September 30, 2013, cash equivalents consisted of $30.8 million and $58.4 million, respectively.</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FINANCIAL HIGHLIGHTS</w:t>
      </w:r>
    </w:p>
    <w:p>
      <w:pPr>
        <w:spacing w:after="0" w:line="121" w:lineRule="exact"/>
        <w:rPr>
          <w:sz w:val="20"/>
          <w:szCs w:val="20"/>
          <w:color w:val="auto"/>
        </w:rPr>
      </w:pPr>
    </w:p>
    <w:p>
      <w:pPr>
        <w:ind w:left="1460"/>
        <w:spacing w:after="0"/>
        <w:rPr>
          <w:sz w:val="20"/>
          <w:szCs w:val="20"/>
          <w:color w:val="auto"/>
        </w:rPr>
      </w:pPr>
      <w:r>
        <w:rPr>
          <w:rFonts w:ascii="Arial" w:cs="Arial" w:eastAsia="Arial" w:hAnsi="Arial"/>
          <w:sz w:val="18"/>
          <w:szCs w:val="18"/>
          <w:color w:val="auto"/>
        </w:rPr>
        <w:t>Below are the financial highlights:</w:t>
      </w:r>
    </w:p>
    <w:p>
      <w:pPr>
        <w:spacing w:after="0" w:line="244" w:lineRule="exact"/>
        <w:rPr>
          <w:sz w:val="20"/>
          <w:szCs w:val="20"/>
          <w:color w:val="auto"/>
        </w:rPr>
      </w:pPr>
    </w:p>
    <w:tbl>
      <w:tblPr>
        <w:tblLayout w:type="fixed"/>
        <w:tblInd w:w="92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66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580" w:type="dxa"/>
            <w:vAlign w:val="bottom"/>
            <w:gridSpan w:val="6"/>
          </w:tcPr>
          <w:p>
            <w:pPr>
              <w:jc w:val="right"/>
              <w:ind w:right="360"/>
              <w:spacing w:after="0"/>
              <w:rPr>
                <w:sz w:val="20"/>
                <w:szCs w:val="20"/>
                <w:color w:val="auto"/>
              </w:rPr>
            </w:pPr>
            <w:r>
              <w:rPr>
                <w:rFonts w:ascii="Arial" w:cs="Arial" w:eastAsia="Arial" w:hAnsi="Arial"/>
                <w:sz w:val="14"/>
                <w:szCs w:val="14"/>
                <w:b w:val="1"/>
                <w:bCs w:val="1"/>
                <w:color w:val="auto"/>
                <w:w w:val="94"/>
              </w:rPr>
              <w:t>Three Months Ended December 31,</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680" w:type="dxa"/>
            <w:vAlign w:val="bottom"/>
            <w:tcBorders>
              <w:bottom w:val="single" w:sz="8" w:color="CCEEFF"/>
            </w:tcBorders>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ind w:right="268"/>
              <w:spacing w:after="0"/>
              <w:rPr>
                <w:sz w:val="20"/>
                <w:szCs w:val="20"/>
                <w:color w:val="auto"/>
              </w:rPr>
            </w:pPr>
            <w:r>
              <w:rPr>
                <w:rFonts w:ascii="Arial" w:cs="Arial" w:eastAsia="Arial" w:hAnsi="Arial"/>
                <w:sz w:val="14"/>
                <w:szCs w:val="14"/>
                <w:b w:val="1"/>
                <w:bCs w:val="1"/>
                <w:color w:val="auto"/>
              </w:rPr>
              <w:t>2013</w:t>
            </w:r>
          </w:p>
        </w:tc>
        <w:tc>
          <w:tcPr>
            <w:tcW w:w="360" w:type="dxa"/>
            <w:vAlign w:val="bottom"/>
            <w:tcBorders>
              <w:top w:val="single" w:sz="8" w:color="auto"/>
              <w:bottom w:val="single" w:sz="8" w:color="CCEEFF"/>
            </w:tcBorders>
          </w:tcPr>
          <w:p>
            <w:pPr>
              <w:spacing w:after="0"/>
              <w:rPr>
                <w:sz w:val="20"/>
                <w:szCs w:val="20"/>
                <w:color w:val="auto"/>
              </w:rPr>
            </w:pPr>
          </w:p>
        </w:tc>
        <w:tc>
          <w:tcPr>
            <w:tcW w:w="240" w:type="dxa"/>
            <w:vAlign w:val="bottom"/>
            <w:tcBorders>
              <w:top w:val="single" w:sz="8" w:color="auto"/>
              <w:bottom w:val="single" w:sz="8" w:color="CCEEFF"/>
            </w:tcBorders>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2012</w:t>
            </w:r>
          </w:p>
        </w:tc>
        <w:tc>
          <w:tcPr>
            <w:tcW w:w="16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680" w:type="dxa"/>
            <w:vAlign w:val="bottom"/>
            <w:shd w:val="clear" w:color="auto" w:fill="CCEEFF"/>
          </w:tcPr>
          <w:p>
            <w:pPr>
              <w:spacing w:after="0" w:line="129" w:lineRule="exact"/>
              <w:rPr>
                <w:sz w:val="20"/>
                <w:szCs w:val="20"/>
                <w:color w:val="auto"/>
              </w:rPr>
            </w:pPr>
            <w:r>
              <w:rPr>
                <w:rFonts w:ascii="Arial" w:cs="Arial" w:eastAsia="Arial" w:hAnsi="Arial"/>
                <w:sz w:val="14"/>
                <w:szCs w:val="14"/>
                <w:b w:val="1"/>
                <w:bCs w:val="1"/>
                <w:color w:val="auto"/>
              </w:rPr>
              <w:t>Per Share Data:</w:t>
            </w:r>
          </w:p>
        </w:tc>
        <w:tc>
          <w:tcPr>
            <w:tcW w:w="14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680" w:type="dxa"/>
            <w:vAlign w:val="bottom"/>
          </w:tcPr>
          <w:p>
            <w:pPr>
              <w:spacing w:after="0" w:line="149" w:lineRule="exact"/>
              <w:rPr>
                <w:sz w:val="20"/>
                <w:szCs w:val="20"/>
                <w:color w:val="auto"/>
              </w:rPr>
            </w:pPr>
            <w:r>
              <w:rPr>
                <w:rFonts w:ascii="Arial" w:cs="Arial" w:eastAsia="Arial" w:hAnsi="Arial"/>
                <w:sz w:val="14"/>
                <w:szCs w:val="14"/>
                <w:color w:val="auto"/>
              </w:rPr>
              <w:t>Net asset value, beginning of period</w:t>
            </w:r>
          </w:p>
        </w:tc>
        <w:tc>
          <w:tcPr>
            <w:tcW w:w="14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1180" w:type="dxa"/>
            <w:vAlign w:val="bottom"/>
            <w:gridSpan w:val="2"/>
          </w:tcPr>
          <w:p>
            <w:pPr>
              <w:jc w:val="right"/>
              <w:ind w:right="360"/>
              <w:spacing w:after="0" w:line="149" w:lineRule="exact"/>
              <w:rPr>
                <w:sz w:val="20"/>
                <w:szCs w:val="20"/>
                <w:color w:val="auto"/>
              </w:rPr>
            </w:pPr>
            <w:r>
              <w:rPr>
                <w:rFonts w:ascii="Arial" w:cs="Arial" w:eastAsia="Arial" w:hAnsi="Arial"/>
                <w:sz w:val="14"/>
                <w:szCs w:val="14"/>
                <w:color w:val="auto"/>
              </w:rPr>
              <w:t>10.49</w:t>
            </w:r>
          </w:p>
        </w:tc>
        <w:tc>
          <w:tcPr>
            <w:tcW w:w="420" w:type="dxa"/>
            <w:vAlign w:val="bottom"/>
            <w:gridSpan w:val="2"/>
          </w:tcPr>
          <w:p>
            <w:pPr>
              <w:jc w:val="right"/>
              <w:ind w:right="69"/>
              <w:spacing w:after="0" w:line="149" w:lineRule="exact"/>
              <w:rPr>
                <w:sz w:val="20"/>
                <w:szCs w:val="20"/>
                <w:color w:val="auto"/>
              </w:rPr>
            </w:pPr>
            <w:r>
              <w:rPr>
                <w:rFonts w:ascii="Arial" w:cs="Arial" w:eastAsia="Arial" w:hAnsi="Arial"/>
                <w:sz w:val="14"/>
                <w:szCs w:val="14"/>
                <w:color w:val="auto"/>
              </w:rPr>
              <w:t>$</w:t>
            </w:r>
          </w:p>
        </w:tc>
        <w:tc>
          <w:tcPr>
            <w:tcW w:w="98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10.22</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6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 xml:space="preserve">Net investment income </w:t>
            </w:r>
            <w:r>
              <w:rPr>
                <w:rFonts w:ascii="Arial" w:cs="Arial" w:eastAsia="Arial" w:hAnsi="Arial"/>
                <w:sz w:val="12"/>
                <w:szCs w:val="12"/>
                <w:color w:val="auto"/>
              </w:rPr>
              <w:t>(1)</w:t>
            </w:r>
          </w:p>
        </w:tc>
        <w:tc>
          <w:tcPr>
            <w:tcW w:w="14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0.27</w:t>
            </w:r>
          </w:p>
        </w:tc>
        <w:tc>
          <w:tcPr>
            <w:tcW w:w="2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0.28</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680" w:type="dxa"/>
            <w:vAlign w:val="bottom"/>
          </w:tcPr>
          <w:p>
            <w:pPr>
              <w:spacing w:after="0" w:line="149" w:lineRule="exact"/>
              <w:rPr>
                <w:sz w:val="20"/>
                <w:szCs w:val="20"/>
                <w:color w:val="auto"/>
              </w:rPr>
            </w:pPr>
            <w:r>
              <w:rPr>
                <w:rFonts w:ascii="Arial" w:cs="Arial" w:eastAsia="Arial" w:hAnsi="Arial"/>
                <w:sz w:val="14"/>
                <w:szCs w:val="14"/>
                <w:color w:val="auto"/>
              </w:rPr>
              <w:t xml:space="preserve">Net realized and unrealized gain </w:t>
            </w:r>
            <w:r>
              <w:rPr>
                <w:rFonts w:ascii="Arial" w:cs="Arial" w:eastAsia="Arial" w:hAnsi="Arial"/>
                <w:sz w:val="12"/>
                <w:szCs w:val="12"/>
                <w:color w:val="auto"/>
              </w:rPr>
              <w:t>(1)</w:t>
            </w:r>
          </w:p>
        </w:tc>
        <w:tc>
          <w:tcPr>
            <w:tcW w:w="140" w:type="dxa"/>
            <w:vAlign w:val="bottom"/>
          </w:tcPr>
          <w:p>
            <w:pPr>
              <w:spacing w:after="0"/>
              <w:rPr>
                <w:sz w:val="12"/>
                <w:szCs w:val="12"/>
                <w:color w:val="auto"/>
              </w:rPr>
            </w:pPr>
          </w:p>
        </w:tc>
        <w:tc>
          <w:tcPr>
            <w:tcW w:w="1180" w:type="dxa"/>
            <w:vAlign w:val="bottom"/>
            <w:gridSpan w:val="2"/>
          </w:tcPr>
          <w:p>
            <w:pPr>
              <w:jc w:val="right"/>
              <w:ind w:right="360"/>
              <w:spacing w:after="0" w:line="149" w:lineRule="exact"/>
              <w:rPr>
                <w:sz w:val="20"/>
                <w:szCs w:val="20"/>
                <w:color w:val="auto"/>
              </w:rPr>
            </w:pPr>
            <w:r>
              <w:rPr>
                <w:rFonts w:ascii="Arial" w:cs="Arial" w:eastAsia="Arial" w:hAnsi="Arial"/>
                <w:sz w:val="14"/>
                <w:szCs w:val="14"/>
                <w:color w:val="auto"/>
              </w:rPr>
              <w:t>0.32</w:t>
            </w: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8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0.16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6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8"/>
        </w:trPr>
        <w:tc>
          <w:tcPr>
            <w:tcW w:w="20" w:type="dxa"/>
            <w:vAlign w:val="bottom"/>
            <w:vMerge w:val="continue"/>
          </w:tcPr>
          <w:p>
            <w:pPr>
              <w:spacing w:after="0"/>
              <w:rPr>
                <w:sz w:val="12"/>
                <w:szCs w:val="12"/>
                <w:color w:val="auto"/>
              </w:rPr>
            </w:pPr>
          </w:p>
        </w:tc>
        <w:tc>
          <w:tcPr>
            <w:tcW w:w="66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 xml:space="preserve">Net increase in net assets resulting from operations </w:t>
            </w:r>
            <w:r>
              <w:rPr>
                <w:rFonts w:ascii="Arial" w:cs="Arial" w:eastAsia="Arial" w:hAnsi="Arial"/>
                <w:sz w:val="12"/>
                <w:szCs w:val="12"/>
                <w:color w:val="auto"/>
              </w:rPr>
              <w:t>(1)</w:t>
            </w:r>
          </w:p>
        </w:tc>
        <w:tc>
          <w:tcPr>
            <w:tcW w:w="14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0.59</w:t>
            </w:r>
          </w:p>
        </w:tc>
        <w:tc>
          <w:tcPr>
            <w:tcW w:w="2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0.44</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680" w:type="dxa"/>
            <w:vAlign w:val="bottom"/>
          </w:tcPr>
          <w:p>
            <w:pPr>
              <w:spacing w:after="0" w:line="149" w:lineRule="exact"/>
              <w:rPr>
                <w:sz w:val="20"/>
                <w:szCs w:val="20"/>
                <w:color w:val="auto"/>
              </w:rPr>
            </w:pPr>
            <w:r>
              <w:rPr>
                <w:rFonts w:ascii="Arial" w:cs="Arial" w:eastAsia="Arial" w:hAnsi="Arial"/>
                <w:sz w:val="14"/>
                <w:szCs w:val="14"/>
                <w:color w:val="auto"/>
              </w:rPr>
              <w:t xml:space="preserve">Distributions to stockholders </w:t>
            </w:r>
            <w:r>
              <w:rPr>
                <w:rFonts w:ascii="Arial" w:cs="Arial" w:eastAsia="Arial" w:hAnsi="Arial"/>
                <w:sz w:val="12"/>
                <w:szCs w:val="12"/>
                <w:color w:val="auto"/>
              </w:rPr>
              <w:t>(1), (2)</w:t>
            </w:r>
          </w:p>
        </w:tc>
        <w:tc>
          <w:tcPr>
            <w:tcW w:w="140" w:type="dxa"/>
            <w:vAlign w:val="bottom"/>
          </w:tcPr>
          <w:p>
            <w:pPr>
              <w:spacing w:after="0"/>
              <w:rPr>
                <w:sz w:val="12"/>
                <w:szCs w:val="12"/>
                <w:color w:val="auto"/>
              </w:rPr>
            </w:pPr>
          </w:p>
        </w:tc>
        <w:tc>
          <w:tcPr>
            <w:tcW w:w="118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(0.28)</w:t>
            </w: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(0.28)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6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66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asset value, end of period</w:t>
            </w:r>
          </w:p>
        </w:tc>
        <w:tc>
          <w:tcPr>
            <w:tcW w:w="1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118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10.80</w:t>
            </w:r>
          </w:p>
        </w:tc>
        <w:tc>
          <w:tcPr>
            <w:tcW w:w="420" w:type="dxa"/>
            <w:vAlign w:val="bottom"/>
            <w:gridSpan w:val="2"/>
            <w:shd w:val="clear" w:color="auto" w:fill="CCEEFF"/>
          </w:tcPr>
          <w:p>
            <w:pPr>
              <w:jc w:val="right"/>
              <w:ind w:right="69"/>
              <w:spacing w:after="0" w:line="149" w:lineRule="exact"/>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10.38</w:t>
            </w:r>
          </w:p>
        </w:tc>
        <w:tc>
          <w:tcPr>
            <w:tcW w:w="0" w:type="dxa"/>
            <w:vAlign w:val="bottom"/>
          </w:tcPr>
          <w:p>
            <w:pPr>
              <w:spacing w:after="0"/>
              <w:rPr>
                <w:sz w:val="1"/>
                <w:szCs w:val="1"/>
                <w:color w:val="auto"/>
              </w:rPr>
            </w:pPr>
          </w:p>
        </w:tc>
      </w:tr>
      <w:tr>
        <w:trPr>
          <w:trHeight w:val="155"/>
        </w:trPr>
        <w:tc>
          <w:tcPr>
            <w:tcW w:w="6700" w:type="dxa"/>
            <w:vAlign w:val="bottom"/>
            <w:gridSpan w:val="2"/>
          </w:tcPr>
          <w:p>
            <w:pPr>
              <w:spacing w:after="0" w:line="155" w:lineRule="exact"/>
              <w:rPr>
                <w:sz w:val="20"/>
                <w:szCs w:val="20"/>
                <w:color w:val="auto"/>
              </w:rPr>
            </w:pPr>
            <w:r>
              <w:rPr>
                <w:rFonts w:ascii="Arial" w:cs="Arial" w:eastAsia="Arial" w:hAnsi="Arial"/>
                <w:sz w:val="14"/>
                <w:szCs w:val="14"/>
                <w:color w:val="auto"/>
              </w:rPr>
              <w:t>Per share market value, end of period</w:t>
            </w:r>
          </w:p>
        </w:tc>
        <w:tc>
          <w:tcPr>
            <w:tcW w:w="14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82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11.60</w:t>
            </w:r>
          </w:p>
        </w:tc>
        <w:tc>
          <w:tcPr>
            <w:tcW w:w="3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80" w:type="dxa"/>
            <w:vAlign w:val="bottom"/>
            <w:tcBorders>
              <w:top w:val="single" w:sz="8" w:color="auto"/>
            </w:tcBorders>
          </w:tcPr>
          <w:p>
            <w:pPr>
              <w:jc w:val="right"/>
              <w:ind w:right="69"/>
              <w:spacing w:after="0"/>
              <w:rPr>
                <w:sz w:val="20"/>
                <w:szCs w:val="20"/>
                <w:color w:val="auto"/>
              </w:rPr>
            </w:pPr>
            <w:r>
              <w:rPr>
                <w:rFonts w:ascii="Arial" w:cs="Arial" w:eastAsia="Arial" w:hAnsi="Arial"/>
                <w:sz w:val="10"/>
                <w:szCs w:val="10"/>
                <w:color w:val="auto"/>
                <w:w w:val="71"/>
              </w:rPr>
              <w:t>$</w:t>
            </w:r>
          </w:p>
        </w:tc>
        <w:tc>
          <w:tcPr>
            <w:tcW w:w="82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11.00</w:t>
            </w: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6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 xml:space="preserve">Total return* </w:t>
            </w:r>
            <w:r>
              <w:rPr>
                <w:rFonts w:ascii="Arial" w:cs="Arial" w:eastAsia="Arial" w:hAnsi="Arial"/>
                <w:sz w:val="12"/>
                <w:szCs w:val="12"/>
                <w:color w:val="auto"/>
              </w:rPr>
              <w:t>(3)</w:t>
            </w:r>
          </w:p>
        </w:tc>
        <w:tc>
          <w:tcPr>
            <w:tcW w:w="14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5.38%</w:t>
            </w:r>
          </w:p>
        </w:tc>
        <w:tc>
          <w:tcPr>
            <w:tcW w:w="2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6.28%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680" w:type="dxa"/>
            <w:vAlign w:val="bottom"/>
          </w:tcPr>
          <w:p>
            <w:pPr>
              <w:spacing w:after="0" w:line="149" w:lineRule="exact"/>
              <w:rPr>
                <w:sz w:val="20"/>
                <w:szCs w:val="20"/>
                <w:color w:val="auto"/>
              </w:rPr>
            </w:pPr>
            <w:r>
              <w:rPr>
                <w:rFonts w:ascii="Arial" w:cs="Arial" w:eastAsia="Arial" w:hAnsi="Arial"/>
                <w:sz w:val="14"/>
                <w:szCs w:val="14"/>
                <w:color w:val="auto"/>
              </w:rPr>
              <w:t>Shares outstanding at end of period</w:t>
            </w:r>
          </w:p>
        </w:tc>
        <w:tc>
          <w:tcPr>
            <w:tcW w:w="140" w:type="dxa"/>
            <w:vAlign w:val="bottom"/>
          </w:tcPr>
          <w:p>
            <w:pPr>
              <w:spacing w:after="0"/>
              <w:rPr>
                <w:sz w:val="12"/>
                <w:szCs w:val="12"/>
                <w:color w:val="auto"/>
              </w:rPr>
            </w:pPr>
          </w:p>
        </w:tc>
        <w:tc>
          <w:tcPr>
            <w:tcW w:w="1180" w:type="dxa"/>
            <w:vAlign w:val="bottom"/>
            <w:gridSpan w:val="2"/>
          </w:tcPr>
          <w:p>
            <w:pPr>
              <w:jc w:val="right"/>
              <w:ind w:right="360"/>
              <w:spacing w:after="0" w:line="149" w:lineRule="exact"/>
              <w:rPr>
                <w:sz w:val="20"/>
                <w:szCs w:val="20"/>
                <w:color w:val="auto"/>
              </w:rPr>
            </w:pPr>
            <w:r>
              <w:rPr>
                <w:rFonts w:ascii="Arial" w:cs="Arial" w:eastAsia="Arial" w:hAnsi="Arial"/>
                <w:sz w:val="14"/>
                <w:szCs w:val="14"/>
                <w:color w:val="auto"/>
              </w:rPr>
              <w:t>66,546,734</w:t>
            </w: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8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66,356,911</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68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Ratios ** / Supplemental Data:</w:t>
            </w:r>
          </w:p>
        </w:tc>
        <w:tc>
          <w:tcPr>
            <w:tcW w:w="14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680" w:type="dxa"/>
            <w:vAlign w:val="bottom"/>
          </w:tcPr>
          <w:p>
            <w:pPr>
              <w:spacing w:after="0" w:line="149" w:lineRule="exact"/>
              <w:rPr>
                <w:sz w:val="20"/>
                <w:szCs w:val="20"/>
                <w:color w:val="auto"/>
              </w:rPr>
            </w:pPr>
            <w:r>
              <w:rPr>
                <w:rFonts w:ascii="Arial" w:cs="Arial" w:eastAsia="Arial" w:hAnsi="Arial"/>
                <w:sz w:val="14"/>
                <w:szCs w:val="14"/>
                <w:color w:val="auto"/>
              </w:rPr>
              <w:t xml:space="preserve">Ratio of operating expenses to average net assets </w:t>
            </w:r>
            <w:r>
              <w:rPr>
                <w:rFonts w:ascii="Arial" w:cs="Arial" w:eastAsia="Arial" w:hAnsi="Arial"/>
                <w:sz w:val="12"/>
                <w:szCs w:val="12"/>
                <w:color w:val="auto"/>
              </w:rPr>
              <w:t>(4)</w:t>
            </w:r>
          </w:p>
        </w:tc>
        <w:tc>
          <w:tcPr>
            <w:tcW w:w="140" w:type="dxa"/>
            <w:vAlign w:val="bottom"/>
          </w:tcPr>
          <w:p>
            <w:pPr>
              <w:spacing w:after="0"/>
              <w:rPr>
                <w:sz w:val="12"/>
                <w:szCs w:val="12"/>
                <w:color w:val="auto"/>
              </w:rPr>
            </w:pPr>
          </w:p>
        </w:tc>
        <w:tc>
          <w:tcPr>
            <w:tcW w:w="118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6.66%</w:t>
            </w: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8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6.79%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6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Ratio of debt related expenses to average net assets to average net assets</w:t>
            </w:r>
          </w:p>
        </w:tc>
        <w:tc>
          <w:tcPr>
            <w:tcW w:w="14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2.55%</w:t>
            </w:r>
          </w:p>
        </w:tc>
        <w:tc>
          <w:tcPr>
            <w:tcW w:w="2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1.80%</w:t>
            </w:r>
          </w:p>
        </w:tc>
        <w:tc>
          <w:tcPr>
            <w:tcW w:w="0" w:type="dxa"/>
            <w:vAlign w:val="bottom"/>
          </w:tcPr>
          <w:p>
            <w:pPr>
              <w:spacing w:after="0"/>
              <w:rPr>
                <w:sz w:val="1"/>
                <w:szCs w:val="1"/>
                <w:color w:val="auto"/>
              </w:rPr>
            </w:pPr>
          </w:p>
        </w:tc>
      </w:tr>
      <w:tr>
        <w:trPr>
          <w:trHeight w:val="20"/>
        </w:trPr>
        <w:tc>
          <w:tcPr>
            <w:tcW w:w="6700" w:type="dxa"/>
            <w:vAlign w:val="bottom"/>
            <w:gridSpan w:val="2"/>
            <w:vMerge w:val="restart"/>
          </w:tcPr>
          <w:p>
            <w:pPr>
              <w:spacing w:after="0"/>
              <w:rPr>
                <w:sz w:val="20"/>
                <w:szCs w:val="20"/>
                <w:color w:val="auto"/>
              </w:rPr>
            </w:pPr>
            <w:r>
              <w:rPr>
                <w:rFonts w:ascii="Arial" w:cs="Arial" w:eastAsia="Arial" w:hAnsi="Arial"/>
                <w:sz w:val="14"/>
                <w:szCs w:val="14"/>
                <w:color w:val="auto"/>
              </w:rPr>
              <w:t>Ratio of total expenses to average net assets</w:t>
            </w:r>
          </w:p>
        </w:tc>
        <w:tc>
          <w:tcPr>
            <w:tcW w:w="14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6700" w:type="dxa"/>
            <w:vAlign w:val="bottom"/>
            <w:gridSpan w:val="2"/>
            <w:vMerge w:val="continue"/>
          </w:tcPr>
          <w:p>
            <w:pPr>
              <w:spacing w:after="0"/>
              <w:rPr>
                <w:sz w:val="13"/>
                <w:szCs w:val="13"/>
                <w:color w:val="auto"/>
              </w:rPr>
            </w:pPr>
          </w:p>
        </w:tc>
        <w:tc>
          <w:tcPr>
            <w:tcW w:w="140" w:type="dxa"/>
            <w:vAlign w:val="bottom"/>
          </w:tcPr>
          <w:p>
            <w:pPr>
              <w:spacing w:after="0"/>
              <w:rPr>
                <w:sz w:val="13"/>
                <w:szCs w:val="13"/>
                <w:color w:val="auto"/>
              </w:rPr>
            </w:pPr>
          </w:p>
        </w:tc>
        <w:tc>
          <w:tcPr>
            <w:tcW w:w="1180" w:type="dxa"/>
            <w:vAlign w:val="bottom"/>
            <w:gridSpan w:val="2"/>
          </w:tcPr>
          <w:p>
            <w:pPr>
              <w:jc w:val="right"/>
              <w:ind w:right="240"/>
              <w:spacing w:after="0" w:line="155" w:lineRule="exact"/>
              <w:rPr>
                <w:sz w:val="20"/>
                <w:szCs w:val="20"/>
                <w:color w:val="auto"/>
              </w:rPr>
            </w:pPr>
            <w:r>
              <w:rPr>
                <w:rFonts w:ascii="Arial" w:cs="Arial" w:eastAsia="Arial" w:hAnsi="Arial"/>
                <w:sz w:val="14"/>
                <w:szCs w:val="14"/>
                <w:color w:val="auto"/>
              </w:rPr>
              <w:t>9.21%</w:t>
            </w:r>
          </w:p>
        </w:tc>
        <w:tc>
          <w:tcPr>
            <w:tcW w:w="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80" w:type="dxa"/>
            <w:vAlign w:val="bottom"/>
            <w:gridSpan w:val="2"/>
          </w:tcPr>
          <w:p>
            <w:pPr>
              <w:jc w:val="right"/>
              <w:ind w:right="40"/>
              <w:spacing w:after="0" w:line="155" w:lineRule="exact"/>
              <w:rPr>
                <w:sz w:val="20"/>
                <w:szCs w:val="20"/>
                <w:color w:val="auto"/>
              </w:rPr>
            </w:pPr>
            <w:r>
              <w:rPr>
                <w:rFonts w:ascii="Arial" w:cs="Arial" w:eastAsia="Arial" w:hAnsi="Arial"/>
                <w:sz w:val="14"/>
                <w:szCs w:val="14"/>
                <w:color w:val="auto"/>
              </w:rPr>
              <w:t>8.59%</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6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Ratio of net investment income to average net assets</w:t>
            </w:r>
          </w:p>
        </w:tc>
        <w:tc>
          <w:tcPr>
            <w:tcW w:w="14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10.03%</w:t>
            </w:r>
          </w:p>
        </w:tc>
        <w:tc>
          <w:tcPr>
            <w:tcW w:w="2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10.57%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680" w:type="dxa"/>
            <w:vAlign w:val="bottom"/>
          </w:tcPr>
          <w:p>
            <w:pPr>
              <w:spacing w:after="0" w:line="149" w:lineRule="exact"/>
              <w:rPr>
                <w:sz w:val="20"/>
                <w:szCs w:val="20"/>
                <w:color w:val="auto"/>
              </w:rPr>
            </w:pPr>
            <w:r>
              <w:rPr>
                <w:rFonts w:ascii="Arial" w:cs="Arial" w:eastAsia="Arial" w:hAnsi="Arial"/>
                <w:sz w:val="14"/>
                <w:szCs w:val="14"/>
                <w:color w:val="auto"/>
              </w:rPr>
              <w:t>Net assets at end of period</w:t>
            </w:r>
          </w:p>
        </w:tc>
        <w:tc>
          <w:tcPr>
            <w:tcW w:w="14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1180" w:type="dxa"/>
            <w:vAlign w:val="bottom"/>
            <w:gridSpan w:val="2"/>
          </w:tcPr>
          <w:p>
            <w:pPr>
              <w:jc w:val="right"/>
              <w:ind w:right="360"/>
              <w:spacing w:after="0" w:line="149" w:lineRule="exact"/>
              <w:rPr>
                <w:sz w:val="20"/>
                <w:szCs w:val="20"/>
                <w:color w:val="auto"/>
              </w:rPr>
            </w:pPr>
            <w:r>
              <w:rPr>
                <w:rFonts w:ascii="Arial" w:cs="Arial" w:eastAsia="Arial" w:hAnsi="Arial"/>
                <w:sz w:val="14"/>
                <w:szCs w:val="14"/>
                <w:color w:val="auto"/>
              </w:rPr>
              <w:t>718,865,187</w:t>
            </w:r>
          </w:p>
        </w:tc>
        <w:tc>
          <w:tcPr>
            <w:tcW w:w="420" w:type="dxa"/>
            <w:vAlign w:val="bottom"/>
            <w:gridSpan w:val="2"/>
          </w:tcPr>
          <w:p>
            <w:pPr>
              <w:jc w:val="right"/>
              <w:ind w:right="69"/>
              <w:spacing w:after="0" w:line="149" w:lineRule="exact"/>
              <w:rPr>
                <w:sz w:val="20"/>
                <w:szCs w:val="20"/>
                <w:color w:val="auto"/>
              </w:rPr>
            </w:pPr>
            <w:r>
              <w:rPr>
                <w:rFonts w:ascii="Arial" w:cs="Arial" w:eastAsia="Arial" w:hAnsi="Arial"/>
                <w:sz w:val="14"/>
                <w:szCs w:val="14"/>
                <w:color w:val="auto"/>
              </w:rPr>
              <w:t>$</w:t>
            </w:r>
          </w:p>
        </w:tc>
        <w:tc>
          <w:tcPr>
            <w:tcW w:w="98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688,502,421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6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66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 xml:space="preserve">Weighted average debt outstanding </w:t>
            </w:r>
            <w:r>
              <w:rPr>
                <w:rFonts w:ascii="Arial" w:cs="Arial" w:eastAsia="Arial" w:hAnsi="Arial"/>
                <w:sz w:val="12"/>
                <w:szCs w:val="12"/>
                <w:color w:val="auto"/>
              </w:rPr>
              <w:t>(5)</w:t>
            </w:r>
          </w:p>
        </w:tc>
        <w:tc>
          <w:tcPr>
            <w:tcW w:w="1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118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433,815,217</w:t>
            </w:r>
          </w:p>
        </w:tc>
        <w:tc>
          <w:tcPr>
            <w:tcW w:w="420" w:type="dxa"/>
            <w:vAlign w:val="bottom"/>
            <w:gridSpan w:val="2"/>
            <w:shd w:val="clear" w:color="auto" w:fill="CCEEFF"/>
          </w:tcPr>
          <w:p>
            <w:pPr>
              <w:jc w:val="right"/>
              <w:ind w:right="69"/>
              <w:spacing w:after="0" w:line="149" w:lineRule="exact"/>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315,317,391</w:t>
            </w:r>
          </w:p>
        </w:tc>
        <w:tc>
          <w:tcPr>
            <w:tcW w:w="0" w:type="dxa"/>
            <w:vAlign w:val="bottom"/>
          </w:tcPr>
          <w:p>
            <w:pPr>
              <w:spacing w:after="0"/>
              <w:rPr>
                <w:sz w:val="1"/>
                <w:szCs w:val="1"/>
                <w:color w:val="auto"/>
              </w:rPr>
            </w:pPr>
          </w:p>
        </w:tc>
      </w:tr>
      <w:tr>
        <w:trPr>
          <w:trHeight w:val="155"/>
        </w:trPr>
        <w:tc>
          <w:tcPr>
            <w:tcW w:w="6700" w:type="dxa"/>
            <w:vAlign w:val="bottom"/>
            <w:gridSpan w:val="2"/>
          </w:tcPr>
          <w:p>
            <w:pPr>
              <w:spacing w:after="0" w:line="155" w:lineRule="exact"/>
              <w:rPr>
                <w:sz w:val="20"/>
                <w:szCs w:val="20"/>
                <w:color w:val="auto"/>
              </w:rPr>
            </w:pPr>
            <w:r>
              <w:rPr>
                <w:rFonts w:ascii="Arial" w:cs="Arial" w:eastAsia="Arial" w:hAnsi="Arial"/>
                <w:sz w:val="14"/>
                <w:szCs w:val="14"/>
                <w:color w:val="auto"/>
              </w:rPr>
              <w:t xml:space="preserve">Weighted average debt per share </w:t>
            </w:r>
            <w:r>
              <w:rPr>
                <w:rFonts w:ascii="Arial" w:cs="Arial" w:eastAsia="Arial" w:hAnsi="Arial"/>
                <w:sz w:val="12"/>
                <w:szCs w:val="12"/>
                <w:color w:val="auto"/>
              </w:rPr>
              <w:t>(5)</w:t>
            </w:r>
          </w:p>
        </w:tc>
        <w:tc>
          <w:tcPr>
            <w:tcW w:w="14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82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6.52</w:t>
            </w:r>
          </w:p>
        </w:tc>
        <w:tc>
          <w:tcPr>
            <w:tcW w:w="3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80" w:type="dxa"/>
            <w:vAlign w:val="bottom"/>
            <w:tcBorders>
              <w:top w:val="single" w:sz="8" w:color="auto"/>
            </w:tcBorders>
          </w:tcPr>
          <w:p>
            <w:pPr>
              <w:jc w:val="right"/>
              <w:ind w:right="69"/>
              <w:spacing w:after="0"/>
              <w:rPr>
                <w:sz w:val="20"/>
                <w:szCs w:val="20"/>
                <w:color w:val="auto"/>
              </w:rPr>
            </w:pPr>
            <w:r>
              <w:rPr>
                <w:rFonts w:ascii="Arial" w:cs="Arial" w:eastAsia="Arial" w:hAnsi="Arial"/>
                <w:sz w:val="10"/>
                <w:szCs w:val="10"/>
                <w:color w:val="auto"/>
                <w:w w:val="71"/>
              </w:rPr>
              <w:t>$</w:t>
            </w:r>
          </w:p>
        </w:tc>
        <w:tc>
          <w:tcPr>
            <w:tcW w:w="82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4.76</w:t>
            </w: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6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 xml:space="preserve">Asset coverage per unit at end of period </w:t>
            </w:r>
            <w:r>
              <w:rPr>
                <w:rFonts w:ascii="Arial" w:cs="Arial" w:eastAsia="Arial" w:hAnsi="Arial"/>
                <w:sz w:val="12"/>
                <w:szCs w:val="12"/>
                <w:color w:val="auto"/>
              </w:rPr>
              <w:t>(6)</w:t>
            </w:r>
          </w:p>
        </w:tc>
        <w:tc>
          <w:tcPr>
            <w:tcW w:w="1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118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3,362</w:t>
            </w:r>
          </w:p>
        </w:tc>
        <w:tc>
          <w:tcPr>
            <w:tcW w:w="420" w:type="dxa"/>
            <w:vAlign w:val="bottom"/>
            <w:gridSpan w:val="2"/>
            <w:shd w:val="clear" w:color="auto" w:fill="CCEEFF"/>
          </w:tcPr>
          <w:p>
            <w:pPr>
              <w:jc w:val="right"/>
              <w:ind w:right="69"/>
              <w:spacing w:after="0" w:line="149" w:lineRule="exact"/>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4,255</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6680" w:type="dxa"/>
            <w:vAlign w:val="bottom"/>
          </w:tcPr>
          <w:p>
            <w:pPr>
              <w:spacing w:after="0"/>
              <w:rPr>
                <w:sz w:val="20"/>
                <w:szCs w:val="20"/>
                <w:color w:val="auto"/>
              </w:rPr>
            </w:pPr>
            <w:r>
              <w:rPr>
                <w:rFonts w:ascii="Arial" w:cs="Arial" w:eastAsia="Arial" w:hAnsi="Arial"/>
                <w:sz w:val="14"/>
                <w:szCs w:val="14"/>
                <w:color w:val="auto"/>
              </w:rPr>
              <w:t>Portfolio turnover ratio **</w:t>
            </w:r>
          </w:p>
        </w:tc>
        <w:tc>
          <w:tcPr>
            <w:tcW w:w="140" w:type="dxa"/>
            <w:vAlign w:val="bottom"/>
          </w:tcPr>
          <w:p>
            <w:pPr>
              <w:spacing w:after="0"/>
              <w:rPr>
                <w:sz w:val="15"/>
                <w:szCs w:val="15"/>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4"/>
                <w:szCs w:val="14"/>
                <w:color w:val="auto"/>
              </w:rPr>
              <w:t>50.16%</w:t>
            </w: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4"/>
                <w:szCs w:val="14"/>
                <w:color w:val="auto"/>
              </w:rPr>
              <w:t>42.97%</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1120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1200" cy="8255"/>
                    </a:xfrm>
                    <a:prstGeom prst="rect">
                      <a:avLst/>
                    </a:prstGeom>
                    <a:noFill/>
                  </pic:spPr>
                </pic:pic>
              </a:graphicData>
            </a:graphic>
          </wp:anchor>
        </w:drawing>
      </w:r>
    </w:p>
    <w:p>
      <w:pPr>
        <w:spacing w:after="0" w:line="121" w:lineRule="exact"/>
        <w:rPr>
          <w:sz w:val="20"/>
          <w:szCs w:val="20"/>
          <w:color w:val="auto"/>
        </w:rPr>
      </w:pPr>
    </w:p>
    <w:p>
      <w:pPr>
        <w:ind w:right="7460" w:firstLine="8"/>
        <w:spacing w:after="0" w:line="291" w:lineRule="auto"/>
        <w:tabs>
          <w:tab w:leader="none" w:pos="445" w:val="left"/>
        </w:tabs>
        <w:numPr>
          <w:ilvl w:val="0"/>
          <w:numId w:val="7"/>
        </w:numPr>
        <w:rPr>
          <w:rFonts w:ascii="Arial" w:cs="Arial" w:eastAsia="Arial" w:hAnsi="Arial"/>
          <w:sz w:val="16"/>
          <w:szCs w:val="16"/>
          <w:color w:val="auto"/>
        </w:rPr>
      </w:pPr>
      <w:r>
        <w:rPr>
          <w:rFonts w:ascii="Arial" w:cs="Arial" w:eastAsia="Arial" w:hAnsi="Arial"/>
          <w:sz w:val="16"/>
          <w:szCs w:val="16"/>
          <w:color w:val="auto"/>
        </w:rPr>
        <w:t>Not annualized for periods less than one year. ** Annualized for periods less than one year.</w:t>
      </w:r>
    </w:p>
    <w:p>
      <w:pPr>
        <w:ind w:left="460" w:hanging="452"/>
        <w:spacing w:after="0"/>
        <w:tabs>
          <w:tab w:leader="none" w:pos="460" w:val="left"/>
        </w:tabs>
        <w:numPr>
          <w:ilvl w:val="0"/>
          <w:numId w:val="8"/>
        </w:numPr>
        <w:rPr>
          <w:rFonts w:ascii="Arial" w:cs="Arial" w:eastAsia="Arial" w:hAnsi="Arial"/>
          <w:sz w:val="18"/>
          <w:szCs w:val="18"/>
          <w:color w:val="auto"/>
        </w:rPr>
      </w:pPr>
      <w:r>
        <w:rPr>
          <w:rFonts w:ascii="Arial" w:cs="Arial" w:eastAsia="Arial" w:hAnsi="Arial"/>
          <w:sz w:val="18"/>
          <w:szCs w:val="18"/>
          <w:color w:val="auto"/>
        </w:rPr>
        <w:t>Calculated based on the weighted average shares outstanding for the respective periods.</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8"/>
        </w:numPr>
        <w:rPr>
          <w:rFonts w:ascii="Arial" w:cs="Arial" w:eastAsia="Arial" w:hAnsi="Arial"/>
          <w:sz w:val="18"/>
          <w:szCs w:val="18"/>
          <w:color w:val="auto"/>
        </w:rPr>
      </w:pPr>
      <w:r>
        <w:rPr>
          <w:rFonts w:ascii="Arial" w:cs="Arial" w:eastAsia="Arial" w:hAnsi="Arial"/>
          <w:sz w:val="18"/>
          <w:szCs w:val="18"/>
          <w:color w:val="auto"/>
        </w:rPr>
        <w:t>Based on taxable income calculated in accordance with income tax regulations and may differ from amounts determined under GAAP.</w:t>
      </w:r>
    </w:p>
    <w:p>
      <w:pPr>
        <w:spacing w:after="0" w:line="9" w:lineRule="exact"/>
        <w:rPr>
          <w:rFonts w:ascii="Arial" w:cs="Arial" w:eastAsia="Arial" w:hAnsi="Arial"/>
          <w:sz w:val="18"/>
          <w:szCs w:val="18"/>
          <w:color w:val="auto"/>
        </w:rPr>
      </w:pPr>
    </w:p>
    <w:p>
      <w:pPr>
        <w:ind w:left="460" w:right="540" w:hanging="452"/>
        <w:spacing w:after="0" w:line="250" w:lineRule="auto"/>
        <w:tabs>
          <w:tab w:leader="none" w:pos="460" w:val="left"/>
        </w:tabs>
        <w:numPr>
          <w:ilvl w:val="0"/>
          <w:numId w:val="8"/>
        </w:numPr>
        <w:rPr>
          <w:rFonts w:ascii="Arial" w:cs="Arial" w:eastAsia="Arial" w:hAnsi="Arial"/>
          <w:sz w:val="18"/>
          <w:szCs w:val="18"/>
          <w:color w:val="auto"/>
        </w:rPr>
      </w:pPr>
      <w:r>
        <w:rPr>
          <w:rFonts w:ascii="Arial" w:cs="Arial" w:eastAsia="Arial" w:hAnsi="Arial"/>
          <w:sz w:val="18"/>
          <w:szCs w:val="18"/>
          <w:color w:val="auto"/>
        </w:rPr>
        <w:t>Based on the change in market price per share during the period and takes into account distributions, if any, reinvested in accordance with our dividend reinvestment plan.</w:t>
      </w:r>
    </w:p>
    <w:p>
      <w:pPr>
        <w:ind w:left="460" w:hanging="452"/>
        <w:spacing w:after="0"/>
        <w:tabs>
          <w:tab w:leader="none" w:pos="460" w:val="left"/>
        </w:tabs>
        <w:numPr>
          <w:ilvl w:val="0"/>
          <w:numId w:val="8"/>
        </w:numPr>
        <w:rPr>
          <w:rFonts w:ascii="Arial" w:cs="Arial" w:eastAsia="Arial" w:hAnsi="Arial"/>
          <w:sz w:val="18"/>
          <w:szCs w:val="18"/>
          <w:color w:val="auto"/>
        </w:rPr>
      </w:pPr>
      <w:r>
        <w:rPr>
          <w:rFonts w:ascii="Arial" w:cs="Arial" w:eastAsia="Arial" w:hAnsi="Arial"/>
          <w:sz w:val="18"/>
          <w:szCs w:val="18"/>
          <w:color w:val="auto"/>
        </w:rPr>
        <w:t>Operating expenses exclude debt related costs.</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Includes SBA debentures outstanding.</w:t>
      </w:r>
    </w:p>
    <w:p>
      <w:pPr>
        <w:spacing w:after="0" w:line="9" w:lineRule="exact"/>
        <w:rPr>
          <w:rFonts w:ascii="Arial" w:cs="Arial" w:eastAsia="Arial" w:hAnsi="Arial"/>
          <w:sz w:val="18"/>
          <w:szCs w:val="18"/>
          <w:color w:val="auto"/>
        </w:rPr>
      </w:pPr>
    </w:p>
    <w:p>
      <w:pPr>
        <w:ind w:left="460" w:hanging="452"/>
        <w:spacing w:after="0" w:line="253" w:lineRule="auto"/>
        <w:tabs>
          <w:tab w:leader="none" w:pos="4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asset coverage ratio for a class of senior securities representing indebtedness is calculated on our consolidated total assets, less all liabilities and indebtedness not represented by senior securities, divided by the senior securities representing indebtedness. This asset coverage ratio is multiplied by $1,000 to determine the asset coverage per unit. These amounts exclude SBIC LP’s SBA debentures from our asset coverage per unit computation pursuant to an exemptive relief letter provided by the SEC in June 2011.</w:t>
      </w:r>
    </w:p>
    <w:p>
      <w:pPr>
        <w:spacing w:after="0" w:line="1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200"/>
          </w:cols>
          <w:pgMar w:left="320" w:top="459" w:right="37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left="400" w:right="2640"/>
        <w:spacing w:after="0" w:line="257" w:lineRule="auto"/>
        <w:rPr>
          <w:sz w:val="20"/>
          <w:szCs w:val="20"/>
          <w:color w:val="auto"/>
        </w:rPr>
      </w:pPr>
      <w:r>
        <w:rPr>
          <w:rFonts w:ascii="Arial" w:cs="Arial" w:eastAsia="Arial" w:hAnsi="Arial"/>
          <w:sz w:val="18"/>
          <w:szCs w:val="18"/>
          <w:b w:val="1"/>
          <w:bCs w:val="1"/>
          <w:color w:val="auto"/>
        </w:rPr>
        <w:t>PENNANTPARK INVESTMENT CORPORATION AND SUBSIDIARIES NOTES TO CONSOLIDATED FINANCIAL STATEMENTS – (Continued) DECEMBER 31, 2013</w:t>
      </w:r>
    </w:p>
    <w:p>
      <w:pPr>
        <w:spacing w:after="0" w:line="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(Unaudited)</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DEBT</w:t>
      </w:r>
    </w:p>
    <w:p>
      <w:pPr>
        <w:spacing w:after="0" w:line="121" w:lineRule="exact"/>
        <w:rPr>
          <w:sz w:val="20"/>
          <w:szCs w:val="20"/>
          <w:color w:val="auto"/>
        </w:rPr>
      </w:pPr>
    </w:p>
    <w:p>
      <w:pPr>
        <w:ind w:firstLine="449"/>
        <w:spacing w:after="0" w:line="259" w:lineRule="auto"/>
        <w:rPr>
          <w:sz w:val="20"/>
          <w:szCs w:val="20"/>
          <w:color w:val="auto"/>
        </w:rPr>
      </w:pPr>
      <w:r>
        <w:rPr>
          <w:rFonts w:ascii="Arial" w:cs="Arial" w:eastAsia="Arial" w:hAnsi="Arial"/>
          <w:sz w:val="18"/>
          <w:szCs w:val="18"/>
          <w:color w:val="auto"/>
        </w:rPr>
        <w:t>Our annualized weighted average cost of debt for the three months ended December 31, 2013 and 2012, inclusive of the fee on the undrawn commitment on the Credit Facility and upfront fees on SBA debentures, was 4.20% and 3.93%, respectively. In accordance with the 1940 Act, with certain limited exceptions, we are only allowed to borrow amounts such that we are in compliance with our asset coverage ratio after such borrowing, excluding SBA debentures, pursuant to exemptive relief from the SEC received in June 2011.</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Credit Facility</w:t>
      </w:r>
    </w:p>
    <w:p>
      <w:pPr>
        <w:spacing w:after="0" w:line="117" w:lineRule="exact"/>
        <w:rPr>
          <w:sz w:val="20"/>
          <w:szCs w:val="20"/>
          <w:color w:val="auto"/>
        </w:rPr>
      </w:pPr>
    </w:p>
    <w:p>
      <w:pPr>
        <w:ind w:firstLine="449"/>
        <w:spacing w:after="0" w:line="293" w:lineRule="auto"/>
        <w:rPr>
          <w:sz w:val="20"/>
          <w:szCs w:val="20"/>
          <w:color w:val="auto"/>
        </w:rPr>
      </w:pPr>
      <w:r>
        <w:rPr>
          <w:rFonts w:ascii="Arial" w:cs="Arial" w:eastAsia="Arial" w:hAnsi="Arial"/>
          <w:sz w:val="16"/>
          <w:szCs w:val="16"/>
          <w:color w:val="auto"/>
        </w:rPr>
        <w:t>We have a $430 million multi-currency Credit Facility with certain lenders and SunTrust Bank, acting as administrative agent, and JPMorgan Chase Bank, N.A., acting as syndication agent for the lenders. As of December 31, 2013 and September 30, 2013, there was $240.0 million (including a temporary draw of $12.0 million) and $145.5 million (including a temporary draw of $28.0 million), respectively, in outstanding borrowings under the Credit Facility, with a weighted average interest rate at the time of 3.04% and 3.33%, exclusive of the fee on undrawn commitments of 0.50%. The Credit Facility is a four-year revolving facility with a stated maturity date of February 21, 2016, a one-year term-out period following its third year and pricing set at 275 basis points over LIBOR. The Credit Facility is secured by substantially all of our assets excluding assets held by our SBIC Funds.</w:t>
      </w: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SBA Debentures</w:t>
      </w:r>
    </w:p>
    <w:p>
      <w:pPr>
        <w:spacing w:after="0" w:line="117" w:lineRule="exact"/>
        <w:rPr>
          <w:sz w:val="20"/>
          <w:szCs w:val="20"/>
          <w:color w:val="auto"/>
        </w:rPr>
      </w:pPr>
    </w:p>
    <w:p>
      <w:pPr>
        <w:ind w:right="20" w:firstLine="449"/>
        <w:spacing w:after="0" w:line="291" w:lineRule="auto"/>
        <w:rPr>
          <w:sz w:val="20"/>
          <w:szCs w:val="20"/>
          <w:color w:val="auto"/>
        </w:rPr>
      </w:pPr>
      <w:r>
        <w:rPr>
          <w:rFonts w:ascii="Arial" w:cs="Arial" w:eastAsia="Arial" w:hAnsi="Arial"/>
          <w:sz w:val="16"/>
          <w:szCs w:val="16"/>
          <w:color w:val="auto"/>
        </w:rPr>
        <w:t>Our SBIC Funds are able to borrow funds from the SBA against regulatory capital (which approximates equity capital) that is paid-in and is subject to customary regulatory requirements including an examination by the SBA. We have funded SBIC LP with $75.0 million of equity capital and it had SBA debentures outstanding of $150.0 million as of December 31, 2013. We have funded SBIC II with $37.5 million of equity capital and we received a commitment from the SBA to allow SBIC II to access $75.0 million in SBA debentures. SBA debentures are non-recourse to us, have a 10-year maturity, and may be prepaid at any time without penalty. The interest rate of SBA debentures is fixed at the time of issuance, often referred to as pooling, at a market-driven spread over 10-year U.S. Treasury Notes. Under current SBA regulations SBIC LP may borrow to a maximum of $150.0 million, which is up to twice its potential regulatory capital, and as part of a group of SBICs under common control may borrow a maximum of $225.0 million.</w:t>
      </w:r>
    </w:p>
    <w:p>
      <w:pPr>
        <w:spacing w:after="0" w:line="166" w:lineRule="exact"/>
        <w:rPr>
          <w:sz w:val="20"/>
          <w:szCs w:val="20"/>
          <w:color w:val="auto"/>
        </w:rPr>
      </w:pPr>
    </w:p>
    <w:p>
      <w:pPr>
        <w:ind w:right="60" w:firstLine="449"/>
        <w:spacing w:after="0" w:line="263" w:lineRule="auto"/>
        <w:rPr>
          <w:sz w:val="20"/>
          <w:szCs w:val="20"/>
          <w:color w:val="auto"/>
        </w:rPr>
      </w:pPr>
      <w:r>
        <w:rPr>
          <w:rFonts w:ascii="Arial" w:cs="Arial" w:eastAsia="Arial" w:hAnsi="Arial"/>
          <w:sz w:val="18"/>
          <w:szCs w:val="18"/>
          <w:color w:val="auto"/>
        </w:rPr>
        <w:t>As of December 31, 2013 and September 30, 2013, our SBIC Funds had $225.0 million and $150.0 million in debt commitments, respectively, for each of which $150.0 million were drawn with a weighted average interest rate of 3.70%, exclusive of 3.43% in upfront fees which are amortized over the life of the loan (4.04% after upfront fees).</w:t>
      </w:r>
    </w:p>
    <w:p>
      <w:pPr>
        <w:spacing w:after="0" w:line="18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fixed-rate SBA debentures as of December 31, 2013 and September 30, 2013 were as follows:</w:t>
      </w:r>
    </w:p>
    <w:p>
      <w:pPr>
        <w:spacing w:after="0" w:line="231" w:lineRule="exact"/>
        <w:rPr>
          <w:sz w:val="20"/>
          <w:szCs w:val="20"/>
          <w:color w:val="auto"/>
        </w:rPr>
      </w:pPr>
    </w:p>
    <w:tbl>
      <w:tblPr>
        <w:tblLayout w:type="fixed"/>
        <w:tblInd w:w="1820" w:type="dxa"/>
        <w:tblCellMar>
          <w:top w:w="0" w:type="dxa"/>
          <w:left w:w="0" w:type="dxa"/>
          <w:bottom w:w="0" w:type="dxa"/>
          <w:right w:w="0" w:type="dxa"/>
        </w:tblCellMar>
      </w:tblPr>
      <w:tr>
        <w:trPr>
          <w:trHeight w:val="161"/>
        </w:trPr>
        <w:tc>
          <w:tcPr>
            <w:tcW w:w="90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0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2"/>
              </w:rPr>
              <w:t>Fixed</w:t>
            </w: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90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90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rPr>
              <w:t>All-in</w:t>
            </w: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2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Principal</w:t>
            </w:r>
          </w:p>
        </w:tc>
        <w:tc>
          <w:tcPr>
            <w:tcW w:w="0" w:type="dxa"/>
            <w:vAlign w:val="bottom"/>
          </w:tcPr>
          <w:p>
            <w:pPr>
              <w:spacing w:after="0"/>
              <w:rPr>
                <w:sz w:val="1"/>
                <w:szCs w:val="1"/>
                <w:color w:val="auto"/>
              </w:rPr>
            </w:pPr>
          </w:p>
        </w:tc>
      </w:tr>
      <w:tr>
        <w:trPr>
          <w:trHeight w:val="149"/>
        </w:trPr>
        <w:tc>
          <w:tcPr>
            <w:tcW w:w="900" w:type="dxa"/>
            <w:vAlign w:val="bottom"/>
            <w:vMerge w:val="restart"/>
          </w:tcPr>
          <w:p>
            <w:pPr>
              <w:spacing w:after="0"/>
              <w:rPr>
                <w:sz w:val="20"/>
                <w:szCs w:val="20"/>
                <w:color w:val="auto"/>
              </w:rPr>
            </w:pPr>
            <w:r>
              <w:rPr>
                <w:rFonts w:ascii="Arial" w:cs="Arial" w:eastAsia="Arial" w:hAnsi="Arial"/>
                <w:sz w:val="14"/>
                <w:szCs w:val="14"/>
                <w:b w:val="1"/>
                <w:bCs w:val="1"/>
                <w:color w:val="auto"/>
                <w:w w:val="86"/>
              </w:rPr>
              <w:t>Issuance Dates</w:t>
            </w:r>
          </w:p>
        </w:tc>
        <w:tc>
          <w:tcPr>
            <w:tcW w:w="2060" w:type="dxa"/>
            <w:vAlign w:val="bottom"/>
            <w:vMerge w:val="restart"/>
          </w:tcPr>
          <w:p>
            <w:pPr>
              <w:spacing w:after="0"/>
              <w:rPr>
                <w:sz w:val="12"/>
                <w:szCs w:val="12"/>
                <w:color w:val="auto"/>
              </w:rPr>
            </w:pPr>
          </w:p>
        </w:tc>
        <w:tc>
          <w:tcPr>
            <w:tcW w:w="1200" w:type="dxa"/>
            <w:vAlign w:val="bottom"/>
          </w:tcPr>
          <w:p>
            <w:pPr>
              <w:spacing w:after="0"/>
              <w:rPr>
                <w:sz w:val="12"/>
                <w:szCs w:val="12"/>
                <w:color w:val="auto"/>
              </w:rPr>
            </w:pPr>
          </w:p>
        </w:tc>
        <w:tc>
          <w:tcPr>
            <w:tcW w:w="1140" w:type="dxa"/>
            <w:vAlign w:val="bottom"/>
            <w:vMerge w:val="restart"/>
          </w:tcPr>
          <w:p>
            <w:pPr>
              <w:ind w:left="280"/>
              <w:spacing w:after="0"/>
              <w:rPr>
                <w:sz w:val="20"/>
                <w:szCs w:val="20"/>
                <w:color w:val="auto"/>
              </w:rPr>
            </w:pPr>
            <w:r>
              <w:rPr>
                <w:rFonts w:ascii="Arial" w:cs="Arial" w:eastAsia="Arial" w:hAnsi="Arial"/>
                <w:sz w:val="14"/>
                <w:szCs w:val="14"/>
                <w:b w:val="1"/>
                <w:bCs w:val="1"/>
                <w:color w:val="auto"/>
              </w:rPr>
              <w:t>Maturity</w:t>
            </w:r>
          </w:p>
        </w:tc>
        <w:tc>
          <w:tcPr>
            <w:tcW w:w="124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86"/>
              </w:rPr>
              <w:t>coupon</w:t>
            </w: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900" w:type="dxa"/>
            <w:vAlign w:val="bottom"/>
            <w:tcBorders>
              <w:bottom w:val="single" w:sz="8" w:color="auto"/>
            </w:tcBorders>
            <w:vMerge w:val="continue"/>
          </w:tcPr>
          <w:p>
            <w:pPr>
              <w:spacing w:after="0"/>
              <w:rPr>
                <w:sz w:val="14"/>
                <w:szCs w:val="14"/>
                <w:color w:val="auto"/>
              </w:rPr>
            </w:pPr>
          </w:p>
        </w:tc>
        <w:tc>
          <w:tcPr>
            <w:tcW w:w="2060" w:type="dxa"/>
            <w:vAlign w:val="bottom"/>
            <w:tcBorders>
              <w:bottom w:val="single" w:sz="8" w:color="CCEEFF"/>
            </w:tcBorders>
            <w:vMerge w:val="continue"/>
          </w:tcPr>
          <w:p>
            <w:pPr>
              <w:spacing w:after="0"/>
              <w:rPr>
                <w:sz w:val="14"/>
                <w:szCs w:val="14"/>
                <w:color w:val="auto"/>
              </w:rPr>
            </w:pPr>
          </w:p>
        </w:tc>
        <w:tc>
          <w:tcPr>
            <w:tcW w:w="1200" w:type="dxa"/>
            <w:vAlign w:val="bottom"/>
            <w:tcBorders>
              <w:bottom w:val="single" w:sz="8" w:color="CCEEFF"/>
            </w:tcBorders>
          </w:tcPr>
          <w:p>
            <w:pPr>
              <w:spacing w:after="0"/>
              <w:rPr>
                <w:sz w:val="14"/>
                <w:szCs w:val="14"/>
                <w:color w:val="auto"/>
              </w:rPr>
            </w:pPr>
          </w:p>
        </w:tc>
        <w:tc>
          <w:tcPr>
            <w:tcW w:w="1140" w:type="dxa"/>
            <w:vAlign w:val="bottom"/>
            <w:tcBorders>
              <w:bottom w:val="single" w:sz="8" w:color="auto"/>
            </w:tcBorders>
            <w:vMerge w:val="continue"/>
          </w:tcPr>
          <w:p>
            <w:pPr>
              <w:spacing w:after="0"/>
              <w:rPr>
                <w:sz w:val="14"/>
                <w:szCs w:val="14"/>
                <w:color w:val="auto"/>
              </w:rPr>
            </w:pPr>
          </w:p>
        </w:tc>
        <w:tc>
          <w:tcPr>
            <w:tcW w:w="340" w:type="dxa"/>
            <w:vAlign w:val="bottom"/>
            <w:tcBorders>
              <w:bottom w:val="single" w:sz="8" w:color="CCEEFF"/>
            </w:tcBorders>
          </w:tcPr>
          <w:p>
            <w:pPr>
              <w:spacing w:after="0"/>
              <w:rPr>
                <w:sz w:val="14"/>
                <w:szCs w:val="14"/>
                <w:color w:val="auto"/>
              </w:rPr>
            </w:pPr>
          </w:p>
        </w:tc>
        <w:tc>
          <w:tcPr>
            <w:tcW w:w="4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rate</w:t>
            </w:r>
          </w:p>
        </w:tc>
        <w:tc>
          <w:tcPr>
            <w:tcW w:w="440" w:type="dxa"/>
            <w:vAlign w:val="bottom"/>
            <w:tcBorders>
              <w:bottom w:val="single" w:sz="8" w:color="CCEEFF"/>
            </w:tcBorders>
          </w:tcPr>
          <w:p>
            <w:pPr>
              <w:spacing w:after="0"/>
              <w:rPr>
                <w:sz w:val="14"/>
                <w:szCs w:val="14"/>
                <w:color w:val="auto"/>
              </w:rPr>
            </w:pPr>
          </w:p>
        </w:tc>
        <w:tc>
          <w:tcPr>
            <w:tcW w:w="200" w:type="dxa"/>
            <w:vAlign w:val="bottom"/>
            <w:tcBorders>
              <w:bottom w:val="single" w:sz="8" w:color="CCEEFF"/>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rPr>
              <w:t>Balance</w:t>
            </w:r>
          </w:p>
        </w:tc>
        <w:tc>
          <w:tcPr>
            <w:tcW w:w="8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90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w w:val="95"/>
              </w:rPr>
              <w:t>September 22,</w:t>
            </w:r>
          </w:p>
        </w:tc>
        <w:tc>
          <w:tcPr>
            <w:tcW w:w="2060" w:type="dxa"/>
            <w:vAlign w:val="bottom"/>
            <w:shd w:val="clear" w:color="auto" w:fill="CCEEFF"/>
          </w:tcPr>
          <w:p>
            <w:pPr>
              <w:jc w:val="right"/>
              <w:ind w:right="1748"/>
              <w:spacing w:after="0" w:line="142" w:lineRule="exact"/>
              <w:rPr>
                <w:sz w:val="20"/>
                <w:szCs w:val="20"/>
                <w:color w:val="auto"/>
              </w:rPr>
            </w:pPr>
            <w:r>
              <w:rPr>
                <w:rFonts w:ascii="Arial" w:cs="Arial" w:eastAsia="Arial" w:hAnsi="Arial"/>
                <w:sz w:val="14"/>
                <w:szCs w:val="14"/>
                <w:color w:val="auto"/>
                <w:w w:val="70"/>
              </w:rPr>
              <w:t>2010</w:t>
            </w:r>
          </w:p>
        </w:tc>
        <w:tc>
          <w:tcPr>
            <w:tcW w:w="120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w w:val="94"/>
              </w:rPr>
              <w:t>September 1, 2020</w:t>
            </w:r>
          </w:p>
        </w:tc>
        <w:tc>
          <w:tcPr>
            <w:tcW w:w="340" w:type="dxa"/>
            <w:vAlign w:val="bottom"/>
            <w:shd w:val="clear" w:color="auto" w:fill="CCEEFF"/>
          </w:tcPr>
          <w:p>
            <w:pPr>
              <w:spacing w:after="0"/>
              <w:rPr>
                <w:sz w:val="12"/>
                <w:szCs w:val="12"/>
                <w:color w:val="auto"/>
              </w:rPr>
            </w:pPr>
          </w:p>
        </w:tc>
        <w:tc>
          <w:tcPr>
            <w:tcW w:w="900" w:type="dxa"/>
            <w:vAlign w:val="bottom"/>
            <w:gridSpan w:val="2"/>
            <w:shd w:val="clear" w:color="auto" w:fill="CCEEFF"/>
          </w:tcPr>
          <w:p>
            <w:pPr>
              <w:ind w:left="200"/>
              <w:spacing w:after="0" w:line="142" w:lineRule="exact"/>
              <w:rPr>
                <w:sz w:val="20"/>
                <w:szCs w:val="20"/>
                <w:color w:val="auto"/>
              </w:rPr>
            </w:pPr>
            <w:r>
              <w:rPr>
                <w:rFonts w:ascii="Arial" w:cs="Arial" w:eastAsia="Arial" w:hAnsi="Arial"/>
                <w:sz w:val="14"/>
                <w:szCs w:val="14"/>
                <w:color w:val="auto"/>
              </w:rPr>
              <w:t>3.50%</w:t>
            </w:r>
          </w:p>
        </w:tc>
        <w:tc>
          <w:tcPr>
            <w:tcW w:w="200" w:type="dxa"/>
            <w:vAlign w:val="bottom"/>
            <w:shd w:val="clear" w:color="auto" w:fill="CCEEFF"/>
          </w:tcPr>
          <w:p>
            <w:pPr>
              <w:spacing w:after="0"/>
              <w:rPr>
                <w:sz w:val="12"/>
                <w:szCs w:val="12"/>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4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500,000</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960" w:type="dxa"/>
            <w:vAlign w:val="bottom"/>
            <w:gridSpan w:val="2"/>
          </w:tcPr>
          <w:p>
            <w:pPr>
              <w:spacing w:after="0" w:line="149" w:lineRule="exact"/>
              <w:rPr>
                <w:sz w:val="20"/>
                <w:szCs w:val="20"/>
                <w:color w:val="auto"/>
              </w:rPr>
            </w:pPr>
            <w:r>
              <w:rPr>
                <w:rFonts w:ascii="Arial" w:cs="Arial" w:eastAsia="Arial" w:hAnsi="Arial"/>
                <w:sz w:val="14"/>
                <w:szCs w:val="14"/>
                <w:color w:val="auto"/>
              </w:rPr>
              <w:t>March 29, 2011</w:t>
            </w:r>
          </w:p>
        </w:tc>
        <w:tc>
          <w:tcPr>
            <w:tcW w:w="2340" w:type="dxa"/>
            <w:vAlign w:val="bottom"/>
            <w:gridSpan w:val="2"/>
          </w:tcPr>
          <w:p>
            <w:pPr>
              <w:ind w:left="1200"/>
              <w:spacing w:after="0" w:line="149" w:lineRule="exact"/>
              <w:rPr>
                <w:sz w:val="20"/>
                <w:szCs w:val="20"/>
                <w:color w:val="auto"/>
              </w:rPr>
            </w:pPr>
            <w:r>
              <w:rPr>
                <w:rFonts w:ascii="Arial" w:cs="Arial" w:eastAsia="Arial" w:hAnsi="Arial"/>
                <w:sz w:val="14"/>
                <w:szCs w:val="14"/>
                <w:color w:val="auto"/>
              </w:rPr>
              <w:t>March 1, 2021</w:t>
            </w:r>
          </w:p>
        </w:tc>
        <w:tc>
          <w:tcPr>
            <w:tcW w:w="800" w:type="dxa"/>
            <w:vAlign w:val="bottom"/>
            <w:gridSpan w:val="2"/>
          </w:tcPr>
          <w:p>
            <w:pPr>
              <w:ind w:left="540"/>
              <w:spacing w:after="0" w:line="149" w:lineRule="exact"/>
              <w:rPr>
                <w:sz w:val="20"/>
                <w:szCs w:val="20"/>
                <w:color w:val="auto"/>
              </w:rPr>
            </w:pPr>
            <w:r>
              <w:rPr>
                <w:rFonts w:ascii="Arial" w:cs="Arial" w:eastAsia="Arial" w:hAnsi="Arial"/>
                <w:sz w:val="14"/>
                <w:szCs w:val="14"/>
                <w:color w:val="auto"/>
                <w:w w:val="87"/>
              </w:rPr>
              <w:t>4.46</w:t>
            </w:r>
          </w:p>
        </w:tc>
        <w:tc>
          <w:tcPr>
            <w:tcW w:w="4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44,500,000</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9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September 21, 2011</w:t>
            </w:r>
          </w:p>
        </w:tc>
        <w:tc>
          <w:tcPr>
            <w:tcW w:w="2340" w:type="dxa"/>
            <w:vAlign w:val="bottom"/>
            <w:gridSpan w:val="2"/>
            <w:shd w:val="clear" w:color="auto" w:fill="CCEEFF"/>
          </w:tcPr>
          <w:p>
            <w:pPr>
              <w:ind w:left="1200"/>
              <w:spacing w:after="0" w:line="149" w:lineRule="exact"/>
              <w:rPr>
                <w:sz w:val="20"/>
                <w:szCs w:val="20"/>
                <w:color w:val="auto"/>
              </w:rPr>
            </w:pPr>
            <w:r>
              <w:rPr>
                <w:rFonts w:ascii="Arial" w:cs="Arial" w:eastAsia="Arial" w:hAnsi="Arial"/>
                <w:sz w:val="14"/>
                <w:szCs w:val="14"/>
                <w:color w:val="auto"/>
                <w:w w:val="94"/>
              </w:rPr>
              <w:t>September 1, 2021</w:t>
            </w:r>
          </w:p>
        </w:tc>
        <w:tc>
          <w:tcPr>
            <w:tcW w:w="340" w:type="dxa"/>
            <w:vAlign w:val="bottom"/>
            <w:shd w:val="clear" w:color="auto" w:fill="CCEEFF"/>
          </w:tcPr>
          <w:p>
            <w:pPr>
              <w:spacing w:after="0"/>
              <w:rPr>
                <w:sz w:val="12"/>
                <w:szCs w:val="12"/>
                <w:color w:val="auto"/>
              </w:rPr>
            </w:pPr>
          </w:p>
        </w:tc>
        <w:tc>
          <w:tcPr>
            <w:tcW w:w="460" w:type="dxa"/>
            <w:vAlign w:val="bottom"/>
            <w:tcBorders>
              <w:bottom w:val="single" w:sz="8" w:color="auto"/>
            </w:tcBorders>
            <w:shd w:val="clear" w:color="auto" w:fill="CCEEFF"/>
          </w:tcPr>
          <w:p>
            <w:pPr>
              <w:ind w:left="200"/>
              <w:spacing w:after="0" w:line="149" w:lineRule="exact"/>
              <w:rPr>
                <w:sz w:val="20"/>
                <w:szCs w:val="20"/>
                <w:color w:val="auto"/>
              </w:rPr>
            </w:pPr>
            <w:r>
              <w:rPr>
                <w:rFonts w:ascii="Arial" w:cs="Arial" w:eastAsia="Arial" w:hAnsi="Arial"/>
                <w:sz w:val="14"/>
                <w:szCs w:val="14"/>
                <w:color w:val="auto"/>
                <w:w w:val="87"/>
              </w:rPr>
              <w:t>3.38</w:t>
            </w:r>
          </w:p>
        </w:tc>
        <w:tc>
          <w:tcPr>
            <w:tcW w:w="4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0" w:type="dxa"/>
            <w:vAlign w:val="bottom"/>
            <w:tcBorders>
              <w:bottom w:val="single" w:sz="8" w:color="auto"/>
            </w:tcBorders>
            <w:shd w:val="clear" w:color="auto" w:fill="CCEEFF"/>
          </w:tcPr>
          <w:p>
            <w:pPr>
              <w:spacing w:after="0"/>
              <w:rPr>
                <w:sz w:val="12"/>
                <w:szCs w:val="12"/>
                <w:color w:val="auto"/>
              </w:rPr>
            </w:pPr>
          </w:p>
        </w:tc>
        <w:tc>
          <w:tcPr>
            <w:tcW w:w="74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w w:val="92"/>
              </w:rPr>
              <w:t>105,000,000</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2960" w:type="dxa"/>
            <w:vAlign w:val="bottom"/>
            <w:gridSpan w:val="2"/>
          </w:tcPr>
          <w:p>
            <w:pPr>
              <w:spacing w:after="0" w:line="155" w:lineRule="exact"/>
              <w:rPr>
                <w:sz w:val="20"/>
                <w:szCs w:val="20"/>
                <w:color w:val="auto"/>
              </w:rPr>
            </w:pPr>
            <w:r>
              <w:rPr>
                <w:rFonts w:ascii="Arial" w:cs="Arial" w:eastAsia="Arial" w:hAnsi="Arial"/>
                <w:sz w:val="14"/>
                <w:szCs w:val="14"/>
                <w:color w:val="auto"/>
              </w:rPr>
              <w:t>Weighted Average Rate / Total</w:t>
            </w:r>
          </w:p>
        </w:tc>
        <w:tc>
          <w:tcPr>
            <w:tcW w:w="12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900" w:type="dxa"/>
            <w:vAlign w:val="bottom"/>
            <w:gridSpan w:val="2"/>
          </w:tcPr>
          <w:p>
            <w:pPr>
              <w:ind w:left="200"/>
              <w:spacing w:after="0" w:line="155" w:lineRule="exact"/>
              <w:rPr>
                <w:sz w:val="20"/>
                <w:szCs w:val="20"/>
                <w:color w:val="auto"/>
              </w:rPr>
            </w:pPr>
            <w:r>
              <w:rPr>
                <w:rFonts w:ascii="Arial" w:cs="Arial" w:eastAsia="Arial" w:hAnsi="Arial"/>
                <w:sz w:val="14"/>
                <w:szCs w:val="14"/>
                <w:color w:val="auto"/>
              </w:rPr>
              <w:t>3.70%</w:t>
            </w:r>
            <w:r>
              <w:rPr>
                <w:rFonts w:ascii="Arial" w:cs="Arial" w:eastAsia="Arial" w:hAnsi="Arial"/>
                <w:sz w:val="12"/>
                <w:szCs w:val="12"/>
                <w:color w:val="auto"/>
              </w:rPr>
              <w:t>(1)</w:t>
            </w:r>
          </w:p>
        </w:tc>
        <w:tc>
          <w:tcPr>
            <w:tcW w:w="200" w:type="dxa"/>
            <w:vAlign w:val="bottom"/>
          </w:tcPr>
          <w:p>
            <w:pPr>
              <w:spacing w:after="0"/>
              <w:rPr>
                <w:sz w:val="13"/>
                <w:szCs w:val="13"/>
                <w:color w:val="auto"/>
              </w:rPr>
            </w:pP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40" w:type="dxa"/>
            <w:vAlign w:val="bottom"/>
          </w:tcPr>
          <w:p>
            <w:pPr>
              <w:jc w:val="right"/>
              <w:spacing w:after="0" w:line="155" w:lineRule="exact"/>
              <w:rPr>
                <w:sz w:val="20"/>
                <w:szCs w:val="20"/>
                <w:color w:val="auto"/>
              </w:rPr>
            </w:pPr>
            <w:r>
              <w:rPr>
                <w:rFonts w:ascii="Arial" w:cs="Arial" w:eastAsia="Arial" w:hAnsi="Arial"/>
                <w:sz w:val="14"/>
                <w:szCs w:val="14"/>
                <w:color w:val="auto"/>
                <w:w w:val="92"/>
              </w:rPr>
              <w:t>150,000,000</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90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1144905</wp:posOffset>
            </wp:positionH>
            <wp:positionV relativeFrom="paragraph">
              <wp:posOffset>94615</wp:posOffset>
            </wp:positionV>
            <wp:extent cx="71120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1200" cy="8255"/>
                    </a:xfrm>
                    <a:prstGeom prst="rect">
                      <a:avLst/>
                    </a:prstGeom>
                    <a:noFill/>
                  </pic:spPr>
                </pic:pic>
              </a:graphicData>
            </a:graphic>
          </wp:anchor>
        </w:drawing>
      </w:r>
    </w:p>
    <w:p>
      <w:pPr>
        <w:spacing w:after="0" w:line="164" w:lineRule="exact"/>
        <w:rPr>
          <w:sz w:val="20"/>
          <w:szCs w:val="20"/>
          <w:color w:val="auto"/>
        </w:rPr>
      </w:pPr>
    </w:p>
    <w:p>
      <w:pPr>
        <w:ind w:left="2020" w:hanging="217"/>
        <w:spacing w:after="0"/>
        <w:tabs>
          <w:tab w:leader="none" w:pos="2020" w:val="left"/>
        </w:tabs>
        <w:numPr>
          <w:ilvl w:val="0"/>
          <w:numId w:val="9"/>
        </w:numPr>
        <w:rPr>
          <w:rFonts w:ascii="Arial" w:cs="Arial" w:eastAsia="Arial" w:hAnsi="Arial"/>
          <w:sz w:val="12"/>
          <w:szCs w:val="12"/>
          <w:color w:val="auto"/>
        </w:rPr>
      </w:pPr>
      <w:r>
        <w:rPr>
          <w:rFonts w:ascii="Arial" w:cs="Arial" w:eastAsia="Arial" w:hAnsi="Arial"/>
          <w:sz w:val="14"/>
          <w:szCs w:val="14"/>
          <w:color w:val="auto"/>
        </w:rPr>
        <w:t>All-in rate is 4.04% after 3.43% of upfront fees.</w:t>
      </w:r>
    </w:p>
    <w:p>
      <w:pPr>
        <w:spacing w:after="0" w:line="208" w:lineRule="exact"/>
        <w:rPr>
          <w:sz w:val="20"/>
          <w:szCs w:val="20"/>
          <w:color w:val="auto"/>
        </w:rPr>
      </w:pPr>
    </w:p>
    <w:p>
      <w:pPr>
        <w:ind w:firstLine="449"/>
        <w:spacing w:after="0" w:line="291" w:lineRule="auto"/>
        <w:rPr>
          <w:sz w:val="20"/>
          <w:szCs w:val="20"/>
          <w:color w:val="auto"/>
        </w:rPr>
      </w:pPr>
      <w:r>
        <w:rPr>
          <w:rFonts w:ascii="Arial" w:cs="Arial" w:eastAsia="Arial" w:hAnsi="Arial"/>
          <w:sz w:val="16"/>
          <w:szCs w:val="16"/>
          <w:color w:val="auto"/>
        </w:rPr>
        <w:t>Under SBA regulations, our SBIC Funds are subject to regulatory requirements, including making investments in SBA-eligible businesses, investing at least 25% of regulatory capital in eligible smaller businesses, as defined under the 1958 Act, placing certain limitations on the financing terms of investments, prohibiting investing in certain industries, requiring capitalization thresholds and being subject to periodic audits and examinations of their financial statements that are prepared on a basis of accounting other than GAAP (for example, fair value, as defined under ASC 820, is not required to be used for assets or liabilities for such compliance reporting). If our SBIC Funds fail to comply with applicable SBA regulations, the SBA could, depending on the severity of the violation, limit or prohibit their use of debentures, declare outstanding debentures immediately due and payable and/or limit them from making new investments. These actions by the SBA would, in turn, negatively affect us because our SBIC Funds are wholly owned by us.</w:t>
      </w:r>
    </w:p>
    <w:p>
      <w:pPr>
        <w:spacing w:after="0" w:line="9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180"/>
          </w:cols>
          <w:pgMar w:left="320" w:top="459" w:right="39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left="380" w:right="2660"/>
        <w:spacing w:after="0" w:line="257" w:lineRule="auto"/>
        <w:rPr>
          <w:sz w:val="20"/>
          <w:szCs w:val="20"/>
          <w:color w:val="auto"/>
        </w:rPr>
      </w:pPr>
      <w:r>
        <w:rPr>
          <w:rFonts w:ascii="Arial" w:cs="Arial" w:eastAsia="Arial" w:hAnsi="Arial"/>
          <w:sz w:val="18"/>
          <w:szCs w:val="18"/>
          <w:b w:val="1"/>
          <w:bCs w:val="1"/>
          <w:color w:val="auto"/>
        </w:rPr>
        <w:t>PENNANTPARK INVESTMENT CORPORATION AND SUBSIDIARIES NOTES TO CONSOLIDATED FINANCIAL STATEMENTS – (Continued) DECEMBER 31, 2013</w:t>
      </w:r>
    </w:p>
    <w:p>
      <w:pPr>
        <w:spacing w:after="0" w:line="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2025 Notes</w:t>
      </w:r>
    </w:p>
    <w:p>
      <w:pPr>
        <w:spacing w:after="0" w:line="117" w:lineRule="exact"/>
        <w:rPr>
          <w:sz w:val="20"/>
          <w:szCs w:val="20"/>
          <w:color w:val="auto"/>
        </w:rPr>
      </w:pPr>
    </w:p>
    <w:p>
      <w:pPr>
        <w:ind w:right="20" w:firstLine="449"/>
        <w:spacing w:after="0" w:line="257" w:lineRule="auto"/>
        <w:rPr>
          <w:sz w:val="20"/>
          <w:szCs w:val="20"/>
          <w:color w:val="auto"/>
        </w:rPr>
      </w:pPr>
      <w:r>
        <w:rPr>
          <w:rFonts w:ascii="Arial" w:cs="Arial" w:eastAsia="Arial" w:hAnsi="Arial"/>
          <w:sz w:val="18"/>
          <w:szCs w:val="18"/>
          <w:color w:val="auto"/>
        </w:rPr>
        <w:t>As of December 31, 2013, we had $71.3 million in aggregate principal amount of 2025 Notes. Interest on the 2025 Notes is paid quarterly on February 1, May 1, August 1 and November 1, at a rate of 6.25% per year. The 2025 Notes mature on February 1, 2025. We may redeem the 2025 Notes in whole or in part at any time or from time to time on or after February 1, 2016. The 2025 Notes are general, unsecured obligations and rank equal in right of payment with all of our existing and future senior unsecured indebtedness. The 2025 Notes are structurally subordinated to our SBA debentures and the assets pledged or secured under our Credit Facility.</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COMMITMENTS AND CONTINGENCIES</w:t>
      </w:r>
    </w:p>
    <w:p>
      <w:pPr>
        <w:spacing w:after="0" w:line="121" w:lineRule="exact"/>
        <w:rPr>
          <w:sz w:val="20"/>
          <w:szCs w:val="20"/>
          <w:color w:val="auto"/>
        </w:rPr>
      </w:pPr>
    </w:p>
    <w:p>
      <w:pPr>
        <w:jc w:val="both"/>
        <w:ind w:firstLine="449"/>
        <w:spacing w:after="0" w:line="301" w:lineRule="auto"/>
        <w:rPr>
          <w:sz w:val="20"/>
          <w:szCs w:val="20"/>
          <w:color w:val="auto"/>
        </w:rPr>
      </w:pPr>
      <w:r>
        <w:rPr>
          <w:rFonts w:ascii="Arial" w:cs="Arial" w:eastAsia="Arial" w:hAnsi="Arial"/>
          <w:sz w:val="16"/>
          <w:szCs w:val="16"/>
          <w:color w:val="auto"/>
        </w:rPr>
        <w:t>From time to time, we, the Investment Adviser or the Administrator may be a party to legal proceedings in the ordinary course of business, including proceedings relating to the enforcement of our rights under contracts with our portfolio companies. While the outcome of these legal proceedings cannot be predicted with certainty, we do not expect that these proceedings will have a material effect upon our financial condition or results of operations. Unfunded investments described in the Consolidated Statement of Assets and Liabilities represent unfunded delayed draws on investments.</w:t>
      </w:r>
    </w:p>
    <w:p>
      <w:pPr>
        <w:spacing w:after="0" w:line="157" w:lineRule="exact"/>
        <w:rPr>
          <w:sz w:val="20"/>
          <w:szCs w:val="20"/>
          <w:color w:val="auto"/>
        </w:rPr>
      </w:pPr>
    </w:p>
    <w:p>
      <w:pPr>
        <w:ind w:right="280" w:firstLine="449"/>
        <w:spacing w:after="0" w:line="279" w:lineRule="auto"/>
        <w:rPr>
          <w:sz w:val="20"/>
          <w:szCs w:val="20"/>
          <w:color w:val="auto"/>
        </w:rPr>
      </w:pPr>
      <w:r>
        <w:rPr>
          <w:rFonts w:ascii="Arial" w:cs="Arial" w:eastAsia="Arial" w:hAnsi="Arial"/>
          <w:sz w:val="17"/>
          <w:szCs w:val="17"/>
          <w:color w:val="auto"/>
        </w:rPr>
        <w:t>We, in the ordinary course of business, have guaranteed certain obligations of SPH. The guaranties are only triggered if there were administrative errors in acquiring assets which SPH subsequently sold or securitized. As of December 31, 2013 and September 30, 2013, our maximum guaranty was $11.5 million and $13.0 million, respectively. Based on SPH’s and industry historical loss rates we believe the risk of loss is remote, thus, we have not recorded a liability associated with the guaranties. The current guaranties will decline over time.</w:t>
      </w:r>
    </w:p>
    <w:p>
      <w:pPr>
        <w:spacing w:after="0" w:line="10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200"/>
          </w:cols>
          <w:pgMar w:left="320" w:top="459" w:right="37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 and Stockholders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PennantPark Investment Corporation and its Subsidiaries:</w:t>
      </w:r>
    </w:p>
    <w:p>
      <w:pPr>
        <w:spacing w:after="0" w:line="211" w:lineRule="exact"/>
        <w:rPr>
          <w:sz w:val="20"/>
          <w:szCs w:val="20"/>
          <w:color w:val="auto"/>
        </w:rPr>
      </w:pPr>
    </w:p>
    <w:p>
      <w:pPr>
        <w:ind w:right="40" w:firstLine="449"/>
        <w:spacing w:after="0" w:line="259" w:lineRule="auto"/>
        <w:rPr>
          <w:sz w:val="20"/>
          <w:szCs w:val="20"/>
          <w:color w:val="auto"/>
        </w:rPr>
      </w:pPr>
      <w:r>
        <w:rPr>
          <w:rFonts w:ascii="Arial" w:cs="Arial" w:eastAsia="Arial" w:hAnsi="Arial"/>
          <w:sz w:val="18"/>
          <w:szCs w:val="18"/>
          <w:color w:val="auto"/>
        </w:rPr>
        <w:t>We have reviewed the accompanying consolidated statements of assets and liabilities of PennantPark Investment Corporation and its Subsidiaries (the “Company”), including the consolidated schedule of investments, as of December 31, 2013 and the consolidated statements of operations, changes in net assets, and cash flows for the three months ended December 31, 2013. These consolidated financial statements are the responsibility of the Company’s management.</w:t>
      </w:r>
    </w:p>
    <w:p>
      <w:pPr>
        <w:spacing w:after="0" w:line="187" w:lineRule="exact"/>
        <w:rPr>
          <w:sz w:val="20"/>
          <w:szCs w:val="20"/>
          <w:color w:val="auto"/>
        </w:rPr>
      </w:pPr>
    </w:p>
    <w:p>
      <w:pPr>
        <w:ind w:firstLine="449"/>
        <w:spacing w:after="0" w:line="257" w:lineRule="auto"/>
        <w:rPr>
          <w:sz w:val="20"/>
          <w:szCs w:val="20"/>
          <w:color w:val="auto"/>
        </w:rPr>
      </w:pPr>
      <w:r>
        <w:rPr>
          <w:rFonts w:ascii="Arial" w:cs="Arial" w:eastAsia="Arial" w:hAnsi="Arial"/>
          <w:sz w:val="18"/>
          <w:szCs w:val="18"/>
          <w:color w:val="auto"/>
        </w:rPr>
        <w:t>We conducted our review in accordance with the standards of the Public Company Accounting Oversight Board (United States). A review of interim financial information consists principally of applying analytical procedures to financial data and making inquiries of persons responsible for financial and accounting matters. It is substantially less in scope than an audit conducted in accordance with the standards of the Public Company Accounting Oversight Board, the objective of which is the expression of an opinion regarding the financial statements taken as a whole. Accordingly, we do not express such an opinion.</w:t>
      </w:r>
    </w:p>
    <w:p>
      <w:pPr>
        <w:spacing w:after="0" w:line="188" w:lineRule="exact"/>
        <w:rPr>
          <w:sz w:val="20"/>
          <w:szCs w:val="20"/>
          <w:color w:val="auto"/>
        </w:rPr>
      </w:pPr>
    </w:p>
    <w:p>
      <w:pPr>
        <w:ind w:right="100" w:firstLine="449"/>
        <w:spacing w:after="0" w:line="277" w:lineRule="auto"/>
        <w:rPr>
          <w:sz w:val="20"/>
          <w:szCs w:val="20"/>
          <w:color w:val="auto"/>
        </w:rPr>
      </w:pPr>
      <w:r>
        <w:rPr>
          <w:rFonts w:ascii="Arial" w:cs="Arial" w:eastAsia="Arial" w:hAnsi="Arial"/>
          <w:sz w:val="18"/>
          <w:szCs w:val="18"/>
          <w:color w:val="auto"/>
        </w:rPr>
        <w:t>Based on our review, we are not aware of any material modifications that should be made to the consolidated financial statements referred to above for them to be in conformity with U.S. generally accepted accounting principles.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288925</wp:posOffset>
            </wp:positionV>
            <wp:extent cx="1285875" cy="3003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285875" cy="3003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February 5, 2014</w:t>
      </w:r>
    </w:p>
    <w:p>
      <w:pPr>
        <w:spacing w:after="0" w:line="14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160"/>
          </w:cols>
          <w:pgMar w:left="320" w:top="459" w:right="41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tabs>
          <w:tab w:leader="none" w:pos="98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MANAGEMENT’S DISCUSSION AND ANALYSIS OF FINANCIAL CONDITION AND RESULTS OF OPERATIONS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121" w:lineRule="exact"/>
        <w:rPr>
          <w:sz w:val="20"/>
          <w:szCs w:val="20"/>
          <w:color w:val="auto"/>
        </w:rPr>
      </w:pPr>
    </w:p>
    <w:p>
      <w:pPr>
        <w:ind w:right="40" w:firstLine="449"/>
        <w:spacing w:after="0" w:line="257" w:lineRule="auto"/>
        <w:rPr>
          <w:sz w:val="20"/>
          <w:szCs w:val="20"/>
          <w:color w:val="auto"/>
        </w:rPr>
      </w:pPr>
      <w:r>
        <w:rPr>
          <w:rFonts w:ascii="Arial" w:cs="Arial" w:eastAsia="Arial" w:hAnsi="Arial"/>
          <w:sz w:val="18"/>
          <w:szCs w:val="18"/>
          <w:color w:val="auto"/>
        </w:rPr>
        <w:t>This Report, including Management’s Discussion and Analysis of Financial Condition and Results of Operations, contains statements that constitute forward-looking statements, which relate to us and our consolidated subsidiaries regarding future events or our future performance or our future financial condition. These forward-looking statements are not historical facts, but rather are based on current expectations, estimates and projections about our Company, our industry, our beliefs and our assumptions. The forward-looking statements contained in this Report involve risks and uncertainties, including statements as to:</w:t>
      </w:r>
    </w:p>
    <w:p>
      <w:pPr>
        <w:spacing w:after="0" w:line="93" w:lineRule="exact"/>
        <w:rPr>
          <w:sz w:val="20"/>
          <w:szCs w:val="20"/>
          <w:color w:val="auto"/>
        </w:rPr>
      </w:pPr>
    </w:p>
    <w:p>
      <w:pPr>
        <w:ind w:left="880" w:hanging="319"/>
        <w:spacing w:after="0"/>
        <w:tabs>
          <w:tab w:leader="none" w:pos="8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future operating results;</w:t>
      </w:r>
    </w:p>
    <w:p>
      <w:pPr>
        <w:spacing w:after="0" w:line="130" w:lineRule="exact"/>
        <w:rPr>
          <w:rFonts w:ascii="Arial" w:cs="Arial" w:eastAsia="Arial" w:hAnsi="Arial"/>
          <w:sz w:val="18"/>
          <w:szCs w:val="18"/>
          <w:color w:val="auto"/>
        </w:rPr>
      </w:pPr>
    </w:p>
    <w:p>
      <w:pPr>
        <w:ind w:left="880" w:hanging="319"/>
        <w:spacing w:after="0"/>
        <w:tabs>
          <w:tab w:leader="none" w:pos="8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business prospects and the prospects of our prospective portfolio companies;</w:t>
      </w:r>
    </w:p>
    <w:p>
      <w:pPr>
        <w:spacing w:after="0" w:line="130" w:lineRule="exact"/>
        <w:rPr>
          <w:rFonts w:ascii="Arial" w:cs="Arial" w:eastAsia="Arial" w:hAnsi="Arial"/>
          <w:sz w:val="18"/>
          <w:szCs w:val="18"/>
          <w:color w:val="auto"/>
        </w:rPr>
      </w:pPr>
    </w:p>
    <w:p>
      <w:pPr>
        <w:ind w:left="880" w:hanging="319"/>
        <w:spacing w:after="0"/>
        <w:tabs>
          <w:tab w:leader="none" w:pos="8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dependence of our future success on the general economy and its impact on the industries in which we invest;</w:t>
      </w:r>
    </w:p>
    <w:p>
      <w:pPr>
        <w:spacing w:after="0" w:line="130" w:lineRule="exact"/>
        <w:rPr>
          <w:rFonts w:ascii="Arial" w:cs="Arial" w:eastAsia="Arial" w:hAnsi="Arial"/>
          <w:sz w:val="18"/>
          <w:szCs w:val="18"/>
          <w:color w:val="auto"/>
        </w:rPr>
      </w:pPr>
    </w:p>
    <w:p>
      <w:pPr>
        <w:ind w:left="880" w:hanging="319"/>
        <w:spacing w:after="0"/>
        <w:tabs>
          <w:tab w:leader="none" w:pos="8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impact of a protracted decline in the liquidity of credit markets on our business;</w:t>
      </w:r>
    </w:p>
    <w:p>
      <w:pPr>
        <w:spacing w:after="0" w:line="130" w:lineRule="exact"/>
        <w:rPr>
          <w:rFonts w:ascii="Arial" w:cs="Arial" w:eastAsia="Arial" w:hAnsi="Arial"/>
          <w:sz w:val="18"/>
          <w:szCs w:val="18"/>
          <w:color w:val="auto"/>
        </w:rPr>
      </w:pPr>
    </w:p>
    <w:p>
      <w:pPr>
        <w:ind w:left="880" w:hanging="319"/>
        <w:spacing w:after="0"/>
        <w:tabs>
          <w:tab w:leader="none" w:pos="8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impact of investments that we expect to make;</w:t>
      </w:r>
    </w:p>
    <w:p>
      <w:pPr>
        <w:spacing w:after="0" w:line="130" w:lineRule="exact"/>
        <w:rPr>
          <w:rFonts w:ascii="Arial" w:cs="Arial" w:eastAsia="Arial" w:hAnsi="Arial"/>
          <w:sz w:val="18"/>
          <w:szCs w:val="18"/>
          <w:color w:val="auto"/>
        </w:rPr>
      </w:pPr>
    </w:p>
    <w:p>
      <w:pPr>
        <w:ind w:left="880" w:hanging="319"/>
        <w:spacing w:after="0"/>
        <w:tabs>
          <w:tab w:leader="none" w:pos="8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impact of fluctuations in interest rates on our business and our portfolio companies;</w:t>
      </w:r>
    </w:p>
    <w:p>
      <w:pPr>
        <w:spacing w:after="0" w:line="130" w:lineRule="exact"/>
        <w:rPr>
          <w:rFonts w:ascii="Arial" w:cs="Arial" w:eastAsia="Arial" w:hAnsi="Arial"/>
          <w:sz w:val="18"/>
          <w:szCs w:val="18"/>
          <w:color w:val="auto"/>
        </w:rPr>
      </w:pPr>
    </w:p>
    <w:p>
      <w:pPr>
        <w:ind w:left="880" w:hanging="319"/>
        <w:spacing w:after="0"/>
        <w:tabs>
          <w:tab w:leader="none" w:pos="8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contractual arrangements and relationships with third parties;</w:t>
      </w:r>
    </w:p>
    <w:p>
      <w:pPr>
        <w:spacing w:after="0" w:line="130" w:lineRule="exact"/>
        <w:rPr>
          <w:rFonts w:ascii="Arial" w:cs="Arial" w:eastAsia="Arial" w:hAnsi="Arial"/>
          <w:sz w:val="18"/>
          <w:szCs w:val="18"/>
          <w:color w:val="auto"/>
        </w:rPr>
      </w:pPr>
    </w:p>
    <w:p>
      <w:pPr>
        <w:ind w:left="880" w:hanging="319"/>
        <w:spacing w:after="0"/>
        <w:tabs>
          <w:tab w:leader="none" w:pos="8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valuation of our investments in portfolio companies, particularly those having no liquid trading market;</w:t>
      </w:r>
    </w:p>
    <w:p>
      <w:pPr>
        <w:spacing w:after="0" w:line="130" w:lineRule="exact"/>
        <w:rPr>
          <w:rFonts w:ascii="Arial" w:cs="Arial" w:eastAsia="Arial" w:hAnsi="Arial"/>
          <w:sz w:val="18"/>
          <w:szCs w:val="18"/>
          <w:color w:val="auto"/>
        </w:rPr>
      </w:pPr>
    </w:p>
    <w:p>
      <w:pPr>
        <w:ind w:left="880" w:hanging="319"/>
        <w:spacing w:after="0"/>
        <w:tabs>
          <w:tab w:leader="none" w:pos="8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ability of our prospective portfolio companies to achieve their objectives;</w:t>
      </w:r>
    </w:p>
    <w:p>
      <w:pPr>
        <w:spacing w:after="0" w:line="130" w:lineRule="exact"/>
        <w:rPr>
          <w:rFonts w:ascii="Arial" w:cs="Arial" w:eastAsia="Arial" w:hAnsi="Arial"/>
          <w:sz w:val="18"/>
          <w:szCs w:val="18"/>
          <w:color w:val="auto"/>
        </w:rPr>
      </w:pPr>
    </w:p>
    <w:p>
      <w:pPr>
        <w:ind w:left="880" w:hanging="319"/>
        <w:spacing w:after="0"/>
        <w:tabs>
          <w:tab w:leader="none" w:pos="8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expected financings and investments;</w:t>
      </w:r>
    </w:p>
    <w:p>
      <w:pPr>
        <w:spacing w:after="0" w:line="130" w:lineRule="exact"/>
        <w:rPr>
          <w:rFonts w:ascii="Arial" w:cs="Arial" w:eastAsia="Arial" w:hAnsi="Arial"/>
          <w:sz w:val="18"/>
          <w:szCs w:val="18"/>
          <w:color w:val="auto"/>
        </w:rPr>
      </w:pPr>
    </w:p>
    <w:p>
      <w:pPr>
        <w:ind w:left="880" w:hanging="319"/>
        <w:spacing w:after="0"/>
        <w:tabs>
          <w:tab w:leader="none" w:pos="8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adequacy of our cash resources and working capital;</w:t>
      </w:r>
    </w:p>
    <w:p>
      <w:pPr>
        <w:spacing w:after="0" w:line="130" w:lineRule="exact"/>
        <w:rPr>
          <w:rFonts w:ascii="Arial" w:cs="Arial" w:eastAsia="Arial" w:hAnsi="Arial"/>
          <w:sz w:val="18"/>
          <w:szCs w:val="18"/>
          <w:color w:val="auto"/>
        </w:rPr>
      </w:pPr>
    </w:p>
    <w:p>
      <w:pPr>
        <w:ind w:left="880" w:hanging="319"/>
        <w:spacing w:after="0"/>
        <w:tabs>
          <w:tab w:leader="none" w:pos="8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timing of cash flows, if any, from the operations of our prospective portfolio companies;</w:t>
      </w:r>
    </w:p>
    <w:p>
      <w:pPr>
        <w:spacing w:after="0" w:line="130" w:lineRule="exact"/>
        <w:rPr>
          <w:rFonts w:ascii="Arial" w:cs="Arial" w:eastAsia="Arial" w:hAnsi="Arial"/>
          <w:sz w:val="18"/>
          <w:szCs w:val="18"/>
          <w:color w:val="auto"/>
        </w:rPr>
      </w:pPr>
    </w:p>
    <w:p>
      <w:pPr>
        <w:ind w:left="880" w:hanging="319"/>
        <w:spacing w:after="0"/>
        <w:tabs>
          <w:tab w:leader="none" w:pos="8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ability of our Investment Adviser to locate suitable investments for us and to monitor and administer our investments; and</w:t>
      </w:r>
    </w:p>
    <w:p>
      <w:pPr>
        <w:spacing w:after="0" w:line="130" w:lineRule="exact"/>
        <w:rPr>
          <w:rFonts w:ascii="Arial" w:cs="Arial" w:eastAsia="Arial" w:hAnsi="Arial"/>
          <w:sz w:val="18"/>
          <w:szCs w:val="18"/>
          <w:color w:val="auto"/>
        </w:rPr>
      </w:pPr>
    </w:p>
    <w:p>
      <w:pPr>
        <w:ind w:left="880" w:hanging="319"/>
        <w:spacing w:after="0"/>
        <w:tabs>
          <w:tab w:leader="none" w:pos="8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impact of future legislation and regulation on our business and our portfolio companies.</w:t>
      </w:r>
    </w:p>
    <w:p>
      <w:pPr>
        <w:spacing w:after="0" w:line="225" w:lineRule="exact"/>
        <w:rPr>
          <w:sz w:val="20"/>
          <w:szCs w:val="20"/>
          <w:color w:val="auto"/>
        </w:rPr>
      </w:pPr>
    </w:p>
    <w:p>
      <w:pPr>
        <w:ind w:right="100" w:firstLine="449"/>
        <w:spacing w:after="0" w:line="259" w:lineRule="auto"/>
        <w:rPr>
          <w:sz w:val="20"/>
          <w:szCs w:val="20"/>
          <w:color w:val="auto"/>
        </w:rPr>
      </w:pPr>
      <w:r>
        <w:rPr>
          <w:rFonts w:ascii="Arial" w:cs="Arial" w:eastAsia="Arial" w:hAnsi="Arial"/>
          <w:sz w:val="18"/>
          <w:szCs w:val="18"/>
          <w:color w:val="auto"/>
        </w:rPr>
        <w:t>We use words such as “anticipates,” “believes,” “expects,” “intends,” “seeks,” “plans,” “estimates” and similar expressions to identify forward-looking statements. You should not place undue influence on the forward looking statements as our actual results could differ materially from those projected in the forward-looking statements for any reason including the factors set forth in “Risk Factors” in our annual report on form 10-K for the fiscal year-ended September 30, 2013 and elsewhere in this Report.</w:t>
      </w:r>
    </w:p>
    <w:p>
      <w:pPr>
        <w:spacing w:after="0" w:line="187" w:lineRule="exact"/>
        <w:rPr>
          <w:sz w:val="20"/>
          <w:szCs w:val="20"/>
          <w:color w:val="auto"/>
        </w:rPr>
      </w:pPr>
    </w:p>
    <w:p>
      <w:pPr>
        <w:ind w:firstLine="449"/>
        <w:spacing w:after="0" w:line="257" w:lineRule="auto"/>
        <w:rPr>
          <w:sz w:val="20"/>
          <w:szCs w:val="20"/>
          <w:color w:val="auto"/>
        </w:rPr>
      </w:pPr>
      <w:r>
        <w:rPr>
          <w:rFonts w:ascii="Arial" w:cs="Arial" w:eastAsia="Arial" w:hAnsi="Arial"/>
          <w:sz w:val="18"/>
          <w:szCs w:val="18"/>
          <w:color w:val="auto"/>
        </w:rPr>
        <w:t>Although we believe that the assumptions on which these forward-looking statements are based are reasonable, any of those assumptions could prove to be inaccurate, and, as a result, the forward-looking statements based on those assumptions also could be inaccurate. Important assumptions include our ability to originate new loans and investments, certain margins and levels of profitability and the availability of additional capital. In light of these and other uncertainties, the inclusion of a projection or forward- looking statement in this Report should not be regarded as a representation by us that our plans and objectives will be achieved.</w:t>
      </w:r>
    </w:p>
    <w:p>
      <w:pPr>
        <w:spacing w:after="0" w:line="188" w:lineRule="exact"/>
        <w:rPr>
          <w:sz w:val="20"/>
          <w:szCs w:val="20"/>
          <w:color w:val="auto"/>
        </w:rPr>
      </w:pPr>
    </w:p>
    <w:p>
      <w:pPr>
        <w:ind w:right="80" w:firstLine="449"/>
        <w:spacing w:after="0" w:line="301" w:lineRule="auto"/>
        <w:rPr>
          <w:sz w:val="20"/>
          <w:szCs w:val="20"/>
          <w:color w:val="auto"/>
        </w:rPr>
      </w:pPr>
      <w:r>
        <w:rPr>
          <w:rFonts w:ascii="Arial" w:cs="Arial" w:eastAsia="Arial" w:hAnsi="Arial"/>
          <w:sz w:val="16"/>
          <w:szCs w:val="16"/>
          <w:color w:val="auto"/>
        </w:rPr>
        <w:t>We have based the forward-looking statements included in this Report on information available to us on the date of this Report, and we assume no obligation to update any such forward-looking statements. Although we undertake no obligation to revise or update any forward-looking statements in this Report, whether as a result of new information, future events or otherwise, you are advised to consult any additional disclosures that we may make directly to you or through reports that we in the future may file with the SEC, including reports on Form 10-Q/K and current reports on Form 8-K.</w:t>
      </w:r>
    </w:p>
    <w:p>
      <w:pPr>
        <w:spacing w:after="0" w:line="157" w:lineRule="exact"/>
        <w:rPr>
          <w:sz w:val="20"/>
          <w:szCs w:val="20"/>
          <w:color w:val="auto"/>
        </w:rPr>
      </w:pPr>
    </w:p>
    <w:p>
      <w:pPr>
        <w:ind w:right="40" w:firstLine="449"/>
        <w:spacing w:after="0" w:line="263" w:lineRule="auto"/>
        <w:rPr>
          <w:sz w:val="20"/>
          <w:szCs w:val="20"/>
          <w:color w:val="auto"/>
        </w:rPr>
      </w:pPr>
      <w:r>
        <w:rPr>
          <w:rFonts w:ascii="Arial" w:cs="Arial" w:eastAsia="Arial" w:hAnsi="Arial"/>
          <w:sz w:val="18"/>
          <w:szCs w:val="18"/>
          <w:color w:val="auto"/>
        </w:rPr>
        <w:t>You should understand that under Section 27A(b)(2)(B) of the Securities Act, and Section 21E(b)(2)(B) of the Securities Exchange Act of 1934, or the Exchange Act, the “safe harbor” provisions of the Private Securities Litigation Reform Act of 1995 do not apply to forward-looking statements made in periodic reports we file under the Exchange Act.</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240"/>
          </w:cols>
          <w:pgMar w:left="320" w:top="459" w:right="33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60" w:firstLine="449"/>
        <w:spacing w:after="0" w:line="277" w:lineRule="auto"/>
        <w:rPr>
          <w:sz w:val="20"/>
          <w:szCs w:val="20"/>
          <w:color w:val="auto"/>
        </w:rPr>
      </w:pPr>
      <w:r>
        <w:rPr>
          <w:rFonts w:ascii="Arial" w:cs="Arial" w:eastAsia="Arial" w:hAnsi="Arial"/>
          <w:sz w:val="18"/>
          <w:szCs w:val="18"/>
          <w:color w:val="auto"/>
        </w:rPr>
        <w:t>The following analysis of our financial condition and results of operations should be read in conjunction with our Consolidated Financial Statements and the related notes thereto contained elsewhere in this Report.</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Overview</w:t>
      </w:r>
    </w:p>
    <w:p>
      <w:pPr>
        <w:spacing w:after="0" w:line="117" w:lineRule="exact"/>
        <w:rPr>
          <w:sz w:val="20"/>
          <w:szCs w:val="20"/>
          <w:color w:val="auto"/>
        </w:rPr>
      </w:pPr>
    </w:p>
    <w:p>
      <w:pPr>
        <w:ind w:firstLine="449"/>
        <w:spacing w:after="0" w:line="308" w:lineRule="auto"/>
        <w:rPr>
          <w:sz w:val="20"/>
          <w:szCs w:val="20"/>
          <w:color w:val="auto"/>
        </w:rPr>
      </w:pPr>
      <w:r>
        <w:rPr>
          <w:rFonts w:ascii="Arial" w:cs="Arial" w:eastAsia="Arial" w:hAnsi="Arial"/>
          <w:sz w:val="17"/>
          <w:szCs w:val="17"/>
          <w:color w:val="auto"/>
        </w:rPr>
        <w:t>PennantPark Investment Corporation is a BDC whose objectives are to generate both current income and capital appreciation through debt and equity investments primarily in U.S. middle-market companies in the form of senior secured loans, mezzanine debt and equity investments.</w:t>
      </w:r>
    </w:p>
    <w:p>
      <w:pPr>
        <w:spacing w:after="0" w:line="146" w:lineRule="exact"/>
        <w:rPr>
          <w:sz w:val="20"/>
          <w:szCs w:val="20"/>
          <w:color w:val="auto"/>
        </w:rPr>
      </w:pPr>
    </w:p>
    <w:p>
      <w:pPr>
        <w:ind w:firstLine="449"/>
        <w:spacing w:after="0" w:line="271" w:lineRule="auto"/>
        <w:rPr>
          <w:sz w:val="20"/>
          <w:szCs w:val="20"/>
          <w:color w:val="auto"/>
        </w:rPr>
      </w:pPr>
      <w:r>
        <w:rPr>
          <w:rFonts w:ascii="Arial" w:cs="Arial" w:eastAsia="Arial" w:hAnsi="Arial"/>
          <w:sz w:val="17"/>
          <w:szCs w:val="17"/>
          <w:color w:val="auto"/>
        </w:rPr>
        <w:t>We believe middle-market companies offer attractive risk-reward to investors due to the limited amount of capital available for such companies. We seek to create a diversified portfolio that includes senior secured loans, mezzanine debt and equity investments by investing approximately $10 million to $50 million of capital, on average, in the securities of middle-market companies. We expect this investment size to vary proportionately with the size of our capital base. We use the term “middle-market” to refer to companies with annual revenues between $50 million and $1 billion. The companies in which we invest are typically highly leveraged, and, in most cases, are not rated by national rating agencies. If such companies were rated, we believe that they would typically receive a rating below investment grade (between BB and CCC under the Standard &amp; Poor’s system) from the national rating agencies. Our debt investments may generally range in maturity from three to ten years and are made to U.S. and, to a limited extent, non-U.S. corporations, partnerships and other business entities which operate in various industries and geographical regions.</w:t>
      </w:r>
    </w:p>
    <w:p>
      <w:pPr>
        <w:spacing w:after="0" w:line="178" w:lineRule="exact"/>
        <w:rPr>
          <w:sz w:val="20"/>
          <w:szCs w:val="20"/>
          <w:color w:val="auto"/>
        </w:rPr>
      </w:pPr>
    </w:p>
    <w:p>
      <w:pPr>
        <w:ind w:right="40" w:firstLine="449"/>
        <w:spacing w:after="0" w:line="259" w:lineRule="auto"/>
        <w:rPr>
          <w:sz w:val="20"/>
          <w:szCs w:val="20"/>
          <w:color w:val="auto"/>
        </w:rPr>
      </w:pPr>
      <w:r>
        <w:rPr>
          <w:rFonts w:ascii="Arial" w:cs="Arial" w:eastAsia="Arial" w:hAnsi="Arial"/>
          <w:sz w:val="18"/>
          <w:szCs w:val="18"/>
          <w:color w:val="auto"/>
        </w:rPr>
        <w:t>Our investment activity depends on many factors, including the amount of debt and equity capital available to middle-market companies, the level of merger and acquisition activity for such companies, the general economic environment and the competitive environment for the types of investments we make. We have used, and expect to continue to use, our Credit Facility, SBA debentures, proceeds from the rotation of our portfolio and proceeds from public and private offerings of securities to finance our investment objectives.</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Organization and Structure of PennantPark Investment Corporation</w:t>
      </w:r>
    </w:p>
    <w:p>
      <w:pPr>
        <w:spacing w:after="0" w:line="117" w:lineRule="exact"/>
        <w:rPr>
          <w:sz w:val="20"/>
          <w:szCs w:val="20"/>
          <w:color w:val="auto"/>
        </w:rPr>
      </w:pPr>
    </w:p>
    <w:p>
      <w:pPr>
        <w:ind w:right="60" w:firstLine="449"/>
        <w:spacing w:after="0" w:line="263" w:lineRule="auto"/>
        <w:rPr>
          <w:sz w:val="20"/>
          <w:szCs w:val="20"/>
          <w:color w:val="auto"/>
        </w:rPr>
      </w:pPr>
      <w:r>
        <w:rPr>
          <w:rFonts w:ascii="Arial" w:cs="Arial" w:eastAsia="Arial" w:hAnsi="Arial"/>
          <w:sz w:val="18"/>
          <w:szCs w:val="18"/>
          <w:color w:val="auto"/>
        </w:rPr>
        <w:t>PennantPark Investment Corporation, a Maryland corporation organized in January 2007, is a closed-end, externally managed, non-diversified investment company that has elected to be treated as a BDC under the 1940 Act. In addition, for federal income tax purposes we have elected to be treated, and intend to qualify annually, as a RIC under the Code.</w:t>
      </w:r>
    </w:p>
    <w:p>
      <w:pPr>
        <w:spacing w:after="0" w:line="184" w:lineRule="exact"/>
        <w:rPr>
          <w:sz w:val="20"/>
          <w:szCs w:val="20"/>
          <w:color w:val="auto"/>
        </w:rPr>
      </w:pPr>
    </w:p>
    <w:p>
      <w:pPr>
        <w:ind w:right="240" w:firstLine="449"/>
        <w:spacing w:after="0" w:line="257" w:lineRule="auto"/>
        <w:rPr>
          <w:sz w:val="20"/>
          <w:szCs w:val="20"/>
          <w:color w:val="auto"/>
        </w:rPr>
      </w:pPr>
      <w:r>
        <w:rPr>
          <w:rFonts w:ascii="Arial" w:cs="Arial" w:eastAsia="Arial" w:hAnsi="Arial"/>
          <w:sz w:val="18"/>
          <w:szCs w:val="18"/>
          <w:color w:val="auto"/>
        </w:rPr>
        <w:t>Our wholly owned subsidiaries, SBIC LP and SBIC II, were organized as Delaware limited partnerships in May 2010 and July 2012, respectively. SBIC LP and SBIC II received licenses from the SBA to operate as SBICs, under Section 301(c) of the Small Business Investment Act of 1958, as amended, or the 1958 Act, in July 2010 and January 2013, respectively. Our SBIC Funds’ objectives are to generate both current income and capital appreciation through debt and equity investments generally by investing with us in SBA eligible businesses that meet the investment criteria used by PennantPark Investment.</w:t>
      </w:r>
    </w:p>
    <w:p>
      <w:pPr>
        <w:spacing w:after="0" w:line="188" w:lineRule="exact"/>
        <w:rPr>
          <w:sz w:val="20"/>
          <w:szCs w:val="20"/>
          <w:color w:val="auto"/>
        </w:rPr>
      </w:pPr>
    </w:p>
    <w:p>
      <w:pPr>
        <w:ind w:right="100" w:firstLine="449"/>
        <w:spacing w:after="0" w:line="269" w:lineRule="auto"/>
        <w:rPr>
          <w:sz w:val="20"/>
          <w:szCs w:val="20"/>
          <w:color w:val="auto"/>
        </w:rPr>
      </w:pPr>
      <w:r>
        <w:rPr>
          <w:rFonts w:ascii="Arial" w:cs="Arial" w:eastAsia="Arial" w:hAnsi="Arial"/>
          <w:sz w:val="17"/>
          <w:szCs w:val="17"/>
          <w:color w:val="auto"/>
        </w:rPr>
        <w:t>Our investment activities are managed by the Investment Adviser. Under our Investment Management Agreement, we have agreed to pay our Investment Adviser an annual base management fee based on our average adjusted gross assets as well as an incentive fee based on our investment performance. PennantPark Investment, through the Investment Adviser, provides similar services to our SBIC Funds under their investment management agreements. Our SBIC Funds investment management agreements do not affect the management and incentive fees on a consolidated basis. We have also entered into an Administration Agreement with the Administrator. Under our Administration Agreement, we have agreed to reimburse the Administrator for our allocable portion of overhead and other expenses incurred by the Administrator in performing its obligations under our Administration Agreement, including rent and our allocable portion of the costs of compensation and related expenses of our Chief Compliance Officer, Chief Financial Officer and their respective staffs. PennantPark Investment, through the Administrator, provides similar services to our SBIC Funds under their administration agreements with us. Our board of directors, a majority of whom are independent of us, supervises our activities, and the Investment Adviser manages our day-to-day activities.</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Revenues</w:t>
      </w:r>
    </w:p>
    <w:p>
      <w:pPr>
        <w:spacing w:after="0" w:line="117" w:lineRule="exact"/>
        <w:rPr>
          <w:sz w:val="20"/>
          <w:szCs w:val="20"/>
          <w:color w:val="auto"/>
        </w:rPr>
      </w:pPr>
    </w:p>
    <w:p>
      <w:pPr>
        <w:ind w:right="60" w:firstLine="449"/>
        <w:spacing w:after="0" w:line="290" w:lineRule="auto"/>
        <w:rPr>
          <w:sz w:val="20"/>
          <w:szCs w:val="20"/>
          <w:color w:val="auto"/>
        </w:rPr>
      </w:pPr>
      <w:r>
        <w:rPr>
          <w:rFonts w:ascii="Arial" w:cs="Arial" w:eastAsia="Arial" w:hAnsi="Arial"/>
          <w:sz w:val="16"/>
          <w:szCs w:val="16"/>
          <w:color w:val="auto"/>
        </w:rPr>
        <w:t>We generate revenue in the form of interest income on the debt securities we hold and capital gains and distributions, if any, on investment securities that we may acquire in portfolio companies. Our debt investments, whether in the form of senior secured loans or mezzanine debt, typically have terms of three to ten years and bear interest at a fixed or a floating rate. Interest on debt securities is generally payable quarterly or semiannually. In some cases, some of our investments provide for deferred interest payments and PIK interest. The principal amount of the debt securities and any accrued but unpaid interest generally becomes due at the maturity date. In addition, we may generate revenue in the form of amendment, commitment, origination, structuring or diligence fees, fees for providing managerial assistance and possibly consulting fees. Loan origination fees, original issue discount, or OID, and market discount or premium are capitalized, and we accrete or amortize such amounts as income. We record prepayment penalties on loans and debt securities as income. Dividend income, if any, is recognized on an accrual basis on the ex-dividend date to the extent that we expect to collect such amounts.</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220"/>
          </w:cols>
          <w:pgMar w:left="320" w:top="459" w:right="35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Expenses</w:t>
      </w:r>
    </w:p>
    <w:p>
      <w:pPr>
        <w:spacing w:after="0" w:line="117" w:lineRule="exact"/>
        <w:rPr>
          <w:sz w:val="20"/>
          <w:szCs w:val="20"/>
          <w:color w:val="auto"/>
        </w:rPr>
      </w:pPr>
    </w:p>
    <w:p>
      <w:pPr>
        <w:ind w:right="220" w:firstLine="449"/>
        <w:spacing w:after="0" w:line="257" w:lineRule="auto"/>
        <w:rPr>
          <w:sz w:val="20"/>
          <w:szCs w:val="20"/>
          <w:color w:val="auto"/>
        </w:rPr>
      </w:pPr>
      <w:r>
        <w:rPr>
          <w:rFonts w:ascii="Arial" w:cs="Arial" w:eastAsia="Arial" w:hAnsi="Arial"/>
          <w:sz w:val="18"/>
          <w:szCs w:val="18"/>
          <w:color w:val="auto"/>
        </w:rPr>
        <w:t>Our primary operating expenses include the payment of management fees to our Investment Adviser, our allocable portion of overhead under our Administration Agreement and other operating costs as detailed below. Our management fee compensates our Investment Adviser for its work in identifying, evaluating, negotiating, consummating and monitoring our investments. Additionally, we pay interest expense on the outstanding debt and unused commitment fees under our various debt facilities. We bear all other direct or indirect costs and expenses of our operations and transactions, including:</w:t>
      </w:r>
    </w:p>
    <w:p>
      <w:pPr>
        <w:spacing w:after="0" w:line="93" w:lineRule="exact"/>
        <w:rPr>
          <w:sz w:val="20"/>
          <w:szCs w:val="20"/>
          <w:color w:val="auto"/>
        </w:rPr>
      </w:pPr>
    </w:p>
    <w:p>
      <w:pPr>
        <w:ind w:left="880" w:hanging="319"/>
        <w:spacing w:after="0"/>
        <w:tabs>
          <w:tab w:leader="none" w:pos="8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cost of calculating our net asset value, including the cost of any third-party valuation services;</w:t>
      </w:r>
    </w:p>
    <w:p>
      <w:pPr>
        <w:spacing w:after="0" w:line="130" w:lineRule="exact"/>
        <w:rPr>
          <w:rFonts w:ascii="Arial" w:cs="Arial" w:eastAsia="Arial" w:hAnsi="Arial"/>
          <w:sz w:val="18"/>
          <w:szCs w:val="18"/>
          <w:color w:val="auto"/>
        </w:rPr>
      </w:pPr>
    </w:p>
    <w:p>
      <w:pPr>
        <w:ind w:left="880" w:hanging="319"/>
        <w:spacing w:after="0"/>
        <w:tabs>
          <w:tab w:leader="none" w:pos="8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cost of effecting sales and repurchases of shares of our common stock and other securities;</w:t>
      </w:r>
    </w:p>
    <w:p>
      <w:pPr>
        <w:spacing w:after="0" w:line="130" w:lineRule="exact"/>
        <w:rPr>
          <w:rFonts w:ascii="Arial" w:cs="Arial" w:eastAsia="Arial" w:hAnsi="Arial"/>
          <w:sz w:val="18"/>
          <w:szCs w:val="18"/>
          <w:color w:val="auto"/>
        </w:rPr>
      </w:pPr>
    </w:p>
    <w:p>
      <w:pPr>
        <w:ind w:left="880" w:right="160" w:hanging="319"/>
        <w:spacing w:after="0" w:line="277" w:lineRule="auto"/>
        <w:tabs>
          <w:tab w:leader="none" w:pos="8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fees payable to third parties relating to, or associated with, making investments, including fees and expenses associated with performing due diligence and reviews of prospective investments or complementary businesses;</w:t>
      </w:r>
    </w:p>
    <w:p>
      <w:pPr>
        <w:spacing w:after="0" w:line="75" w:lineRule="exact"/>
        <w:rPr>
          <w:rFonts w:ascii="Arial" w:cs="Arial" w:eastAsia="Arial" w:hAnsi="Arial"/>
          <w:sz w:val="18"/>
          <w:szCs w:val="18"/>
          <w:color w:val="auto"/>
        </w:rPr>
      </w:pPr>
    </w:p>
    <w:p>
      <w:pPr>
        <w:ind w:left="880" w:hanging="319"/>
        <w:spacing w:after="0"/>
        <w:tabs>
          <w:tab w:leader="none" w:pos="8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expenses incurred by the Investment Adviser in performing due diligence and reviews of investments;</w:t>
      </w:r>
    </w:p>
    <w:p>
      <w:pPr>
        <w:spacing w:after="0" w:line="130" w:lineRule="exact"/>
        <w:rPr>
          <w:rFonts w:ascii="Arial" w:cs="Arial" w:eastAsia="Arial" w:hAnsi="Arial"/>
          <w:sz w:val="18"/>
          <w:szCs w:val="18"/>
          <w:color w:val="auto"/>
        </w:rPr>
      </w:pPr>
    </w:p>
    <w:p>
      <w:pPr>
        <w:ind w:left="880" w:hanging="319"/>
        <w:spacing w:after="0"/>
        <w:tabs>
          <w:tab w:leader="none" w:pos="8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transfer agent and custodial fees;</w:t>
      </w:r>
    </w:p>
    <w:p>
      <w:pPr>
        <w:spacing w:after="0" w:line="130" w:lineRule="exact"/>
        <w:rPr>
          <w:rFonts w:ascii="Arial" w:cs="Arial" w:eastAsia="Arial" w:hAnsi="Arial"/>
          <w:sz w:val="18"/>
          <w:szCs w:val="18"/>
          <w:color w:val="auto"/>
        </w:rPr>
      </w:pPr>
    </w:p>
    <w:p>
      <w:pPr>
        <w:ind w:left="880" w:hanging="319"/>
        <w:spacing w:after="0"/>
        <w:tabs>
          <w:tab w:leader="none" w:pos="8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fees and expenses associated with marketing efforts;</w:t>
      </w:r>
    </w:p>
    <w:p>
      <w:pPr>
        <w:spacing w:after="0" w:line="130" w:lineRule="exact"/>
        <w:rPr>
          <w:rFonts w:ascii="Arial" w:cs="Arial" w:eastAsia="Arial" w:hAnsi="Arial"/>
          <w:sz w:val="18"/>
          <w:szCs w:val="18"/>
          <w:color w:val="auto"/>
        </w:rPr>
      </w:pPr>
    </w:p>
    <w:p>
      <w:pPr>
        <w:ind w:left="880" w:hanging="319"/>
        <w:spacing w:after="0"/>
        <w:tabs>
          <w:tab w:leader="none" w:pos="8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federal and state registration fees and any exchange listing fees;</w:t>
      </w:r>
    </w:p>
    <w:p>
      <w:pPr>
        <w:spacing w:after="0" w:line="130" w:lineRule="exact"/>
        <w:rPr>
          <w:rFonts w:ascii="Arial" w:cs="Arial" w:eastAsia="Arial" w:hAnsi="Arial"/>
          <w:sz w:val="18"/>
          <w:szCs w:val="18"/>
          <w:color w:val="auto"/>
        </w:rPr>
      </w:pPr>
    </w:p>
    <w:p>
      <w:pPr>
        <w:ind w:left="880" w:hanging="319"/>
        <w:spacing w:after="0"/>
        <w:tabs>
          <w:tab w:leader="none" w:pos="8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federal, state and local taxes;</w:t>
      </w:r>
    </w:p>
    <w:p>
      <w:pPr>
        <w:spacing w:after="0" w:line="130" w:lineRule="exact"/>
        <w:rPr>
          <w:rFonts w:ascii="Arial" w:cs="Arial" w:eastAsia="Arial" w:hAnsi="Arial"/>
          <w:sz w:val="18"/>
          <w:szCs w:val="18"/>
          <w:color w:val="auto"/>
        </w:rPr>
      </w:pPr>
    </w:p>
    <w:p>
      <w:pPr>
        <w:ind w:left="880" w:hanging="319"/>
        <w:spacing w:after="0"/>
        <w:tabs>
          <w:tab w:leader="none" w:pos="8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independent directors’ fees and expenses;</w:t>
      </w:r>
    </w:p>
    <w:p>
      <w:pPr>
        <w:spacing w:after="0" w:line="130" w:lineRule="exact"/>
        <w:rPr>
          <w:rFonts w:ascii="Arial" w:cs="Arial" w:eastAsia="Arial" w:hAnsi="Arial"/>
          <w:sz w:val="18"/>
          <w:szCs w:val="18"/>
          <w:color w:val="auto"/>
        </w:rPr>
      </w:pPr>
    </w:p>
    <w:p>
      <w:pPr>
        <w:ind w:left="880" w:hanging="319"/>
        <w:spacing w:after="0"/>
        <w:tabs>
          <w:tab w:leader="none" w:pos="8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brokerage commissions;</w:t>
      </w:r>
    </w:p>
    <w:p>
      <w:pPr>
        <w:spacing w:after="0" w:line="130" w:lineRule="exact"/>
        <w:rPr>
          <w:rFonts w:ascii="Arial" w:cs="Arial" w:eastAsia="Arial" w:hAnsi="Arial"/>
          <w:sz w:val="18"/>
          <w:szCs w:val="18"/>
          <w:color w:val="auto"/>
        </w:rPr>
      </w:pPr>
    </w:p>
    <w:p>
      <w:pPr>
        <w:ind w:left="880" w:hanging="319"/>
        <w:spacing w:after="0"/>
        <w:tabs>
          <w:tab w:leader="none" w:pos="8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fidelity bond, directors and officers, errors and omissions liability insurance and other insurance premiums;</w:t>
      </w:r>
    </w:p>
    <w:p>
      <w:pPr>
        <w:spacing w:after="0" w:line="130" w:lineRule="exact"/>
        <w:rPr>
          <w:rFonts w:ascii="Arial" w:cs="Arial" w:eastAsia="Arial" w:hAnsi="Arial"/>
          <w:sz w:val="18"/>
          <w:szCs w:val="18"/>
          <w:color w:val="auto"/>
        </w:rPr>
      </w:pPr>
    </w:p>
    <w:p>
      <w:pPr>
        <w:ind w:left="880" w:hanging="319"/>
        <w:spacing w:after="0"/>
        <w:tabs>
          <w:tab w:leader="none" w:pos="8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direct costs such as printing, mailing, long distance telephone and staff;</w:t>
      </w:r>
    </w:p>
    <w:p>
      <w:pPr>
        <w:spacing w:after="0" w:line="130" w:lineRule="exact"/>
        <w:rPr>
          <w:rFonts w:ascii="Arial" w:cs="Arial" w:eastAsia="Arial" w:hAnsi="Arial"/>
          <w:sz w:val="18"/>
          <w:szCs w:val="18"/>
          <w:color w:val="auto"/>
        </w:rPr>
      </w:pPr>
    </w:p>
    <w:p>
      <w:pPr>
        <w:ind w:left="880" w:hanging="319"/>
        <w:spacing w:after="0"/>
        <w:tabs>
          <w:tab w:leader="none" w:pos="8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fees and expenses associated with independent audits and outside legal costs;</w:t>
      </w:r>
    </w:p>
    <w:p>
      <w:pPr>
        <w:spacing w:after="0" w:line="130" w:lineRule="exact"/>
        <w:rPr>
          <w:rFonts w:ascii="Arial" w:cs="Arial" w:eastAsia="Arial" w:hAnsi="Arial"/>
          <w:sz w:val="18"/>
          <w:szCs w:val="18"/>
          <w:color w:val="auto"/>
        </w:rPr>
      </w:pPr>
    </w:p>
    <w:p>
      <w:pPr>
        <w:ind w:left="880" w:right="240" w:hanging="319"/>
        <w:spacing w:after="0" w:line="277" w:lineRule="auto"/>
        <w:tabs>
          <w:tab w:leader="none" w:pos="8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costs associated with our reporting and compliance obligations under the 1940 Act, the 1958 Act and applicable federal and state securities laws; and</w:t>
      </w:r>
    </w:p>
    <w:p>
      <w:pPr>
        <w:spacing w:after="0" w:line="75" w:lineRule="exact"/>
        <w:rPr>
          <w:rFonts w:ascii="Arial" w:cs="Arial" w:eastAsia="Arial" w:hAnsi="Arial"/>
          <w:sz w:val="18"/>
          <w:szCs w:val="18"/>
          <w:color w:val="auto"/>
        </w:rPr>
      </w:pPr>
    </w:p>
    <w:p>
      <w:pPr>
        <w:jc w:val="both"/>
        <w:ind w:left="880" w:right="320" w:hanging="319"/>
        <w:spacing w:after="0" w:line="279" w:lineRule="auto"/>
        <w:tabs>
          <w:tab w:leader="none" w:pos="880" w:val="left"/>
        </w:tabs>
        <w:numPr>
          <w:ilvl w:val="0"/>
          <w:numId w:val="11"/>
        </w:numPr>
        <w:rPr>
          <w:rFonts w:ascii="Arial" w:cs="Arial" w:eastAsia="Arial" w:hAnsi="Arial"/>
          <w:sz w:val="17"/>
          <w:szCs w:val="17"/>
          <w:color w:val="auto"/>
        </w:rPr>
      </w:pPr>
      <w:r>
        <w:rPr>
          <w:rFonts w:ascii="Arial" w:cs="Arial" w:eastAsia="Arial" w:hAnsi="Arial"/>
          <w:sz w:val="17"/>
          <w:szCs w:val="17"/>
          <w:color w:val="auto"/>
        </w:rPr>
        <w:t>all other expenses incurred by either the Administrator or us in connection with administering our business, including payments under our Administration Agreement that will be based upon our allocable portion of overhead, and other expenses incurred by the Administrator in performing its obligations under our Administration Agreement, including rent and our allocable portion of the costs of compensation and related expenses of our Chief Compliance Officer, Chief Financial Officer and their respective staffs.</w:t>
      </w:r>
    </w:p>
    <w:p>
      <w:pPr>
        <w:spacing w:after="0" w:line="171" w:lineRule="exact"/>
        <w:rPr>
          <w:sz w:val="20"/>
          <w:szCs w:val="20"/>
          <w:color w:val="auto"/>
        </w:rPr>
      </w:pPr>
    </w:p>
    <w:p>
      <w:pPr>
        <w:ind w:firstLine="449"/>
        <w:spacing w:after="0" w:line="263" w:lineRule="auto"/>
        <w:rPr>
          <w:sz w:val="20"/>
          <w:szCs w:val="20"/>
          <w:color w:val="auto"/>
        </w:rPr>
      </w:pPr>
      <w:r>
        <w:rPr>
          <w:rFonts w:ascii="Arial" w:cs="Arial" w:eastAsia="Arial" w:hAnsi="Arial"/>
          <w:sz w:val="18"/>
          <w:szCs w:val="18"/>
          <w:color w:val="auto"/>
        </w:rPr>
        <w:t>During periods of asset growth, we expect our general and administrative expenses to be relatively stable or to decline as a percentage of total assets and increase during periods of asset declines. Incentive fees, interest expense and costs relating to future offerings of securities would be additive to the expenses described above.</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PORTFOLIO AND INVESTMENT ACTIVITY</w:t>
      </w:r>
    </w:p>
    <w:p>
      <w:pPr>
        <w:spacing w:after="0" w:line="121" w:lineRule="exact"/>
        <w:rPr>
          <w:sz w:val="20"/>
          <w:szCs w:val="20"/>
          <w:color w:val="auto"/>
        </w:rPr>
      </w:pPr>
    </w:p>
    <w:p>
      <w:pPr>
        <w:ind w:right="60" w:firstLine="449"/>
        <w:spacing w:after="0" w:line="275" w:lineRule="auto"/>
        <w:rPr>
          <w:sz w:val="20"/>
          <w:szCs w:val="20"/>
          <w:color w:val="auto"/>
        </w:rPr>
      </w:pPr>
      <w:r>
        <w:rPr>
          <w:rFonts w:ascii="Arial" w:cs="Arial" w:eastAsia="Arial" w:hAnsi="Arial"/>
          <w:sz w:val="17"/>
          <w:szCs w:val="17"/>
          <w:color w:val="auto"/>
        </w:rPr>
        <w:t>As of December 31, 2013, our portfolio totaled $1,209.3 million and consisted of $320.6 million of senior secured loans, $409.9 million of second lien secured debt, $350.8 million of subordinated debt and $128.0 million of preferred and common equity investments. Our debt portfolio consisted of 48% fixed-rate and 52% variable-rate investments (including 49% with a LIBOR or prime floor). Our overall portfolio consisted of 66 companies with an average investment size of $18.3 million, had a weighted average yield on debt investments of 13.2% and was invested 26% in senior secured loans, 34% in second lien secured debt, 29% in subordinated debt and 11% in preferred and common equity investments.</w:t>
      </w:r>
    </w:p>
    <w:p>
      <w:pPr>
        <w:spacing w:after="0" w:line="176" w:lineRule="exact"/>
        <w:rPr>
          <w:sz w:val="20"/>
          <w:szCs w:val="20"/>
          <w:color w:val="auto"/>
        </w:rPr>
      </w:pPr>
    </w:p>
    <w:p>
      <w:pPr>
        <w:ind w:right="60" w:firstLine="449"/>
        <w:spacing w:after="0" w:line="275" w:lineRule="auto"/>
        <w:rPr>
          <w:sz w:val="20"/>
          <w:szCs w:val="20"/>
          <w:color w:val="auto"/>
        </w:rPr>
      </w:pPr>
      <w:r>
        <w:rPr>
          <w:rFonts w:ascii="Arial" w:cs="Arial" w:eastAsia="Arial" w:hAnsi="Arial"/>
          <w:sz w:val="17"/>
          <w:szCs w:val="17"/>
          <w:color w:val="auto"/>
        </w:rPr>
        <w:t>As of September 30, 2013, our portfolio totaled $1,078.2 million and consisted of $299.5 million of senior secured loans, $357.5 million of second lien secured debt, $302.5 million of subordinated debt and $118.7 million of preferred and common equity investments. Our debt portfolio consisted of 52% fixed-rate and 48% variable-rate investments (including 44% with a LIBOR or prime floor). Our overall portfolio consisted of 61 companies with an average investment size of $17.7 million, had a weighted average yield on debt investments of 13.0% and was invested 28% in senior secured loans, 33% in second lien secured debt, 28% in subordinated debt and 11% in preferred and common equity investments.</w:t>
      </w:r>
    </w:p>
    <w:p>
      <w:pPr>
        <w:spacing w:after="0" w:line="10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140"/>
          </w:cols>
          <w:pgMar w:left="320" w:top="459" w:right="43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180" w:firstLine="449"/>
        <w:spacing w:after="0" w:line="342" w:lineRule="auto"/>
        <w:rPr>
          <w:sz w:val="20"/>
          <w:szCs w:val="20"/>
          <w:color w:val="auto"/>
        </w:rPr>
      </w:pPr>
      <w:r>
        <w:rPr>
          <w:rFonts w:ascii="Arial" w:cs="Arial" w:eastAsia="Arial" w:hAnsi="Arial"/>
          <w:sz w:val="16"/>
          <w:szCs w:val="16"/>
          <w:color w:val="auto"/>
        </w:rPr>
        <w:t>For the three months ended December 31, 2013, we invested $228.0 million in nine new and seven existing portfolio companies with a weighted average yield on debt investments of 12.4%. Sales and repayments of investments for the three months ended December 31, 2013 totaled $144.0 million.</w:t>
      </w:r>
    </w:p>
    <w:p>
      <w:pPr>
        <w:spacing w:after="0" w:line="124" w:lineRule="exact"/>
        <w:rPr>
          <w:sz w:val="20"/>
          <w:szCs w:val="20"/>
          <w:color w:val="auto"/>
        </w:rPr>
      </w:pPr>
    </w:p>
    <w:p>
      <w:pPr>
        <w:ind w:right="180" w:firstLine="449"/>
        <w:spacing w:after="0" w:line="342" w:lineRule="auto"/>
        <w:rPr>
          <w:sz w:val="20"/>
          <w:szCs w:val="20"/>
          <w:color w:val="auto"/>
        </w:rPr>
      </w:pPr>
      <w:r>
        <w:rPr>
          <w:rFonts w:ascii="Arial" w:cs="Arial" w:eastAsia="Arial" w:hAnsi="Arial"/>
          <w:sz w:val="16"/>
          <w:szCs w:val="16"/>
          <w:color w:val="auto"/>
        </w:rPr>
        <w:t>For the three months ended December 31, 2012, we invested $168.4 million in five new and seven existing portfolio companies with a weighted average yield on debt investments of 12.7%. Sales and repayments of investments for the three months ended December 31, 2012 totaled $110.8 million.</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121" w:lineRule="exact"/>
        <w:rPr>
          <w:sz w:val="20"/>
          <w:szCs w:val="20"/>
          <w:color w:val="auto"/>
        </w:rPr>
      </w:pPr>
    </w:p>
    <w:p>
      <w:pPr>
        <w:ind w:right="60" w:firstLine="449"/>
        <w:spacing w:after="0" w:line="290" w:lineRule="auto"/>
        <w:rPr>
          <w:sz w:val="20"/>
          <w:szCs w:val="20"/>
          <w:color w:val="auto"/>
        </w:rPr>
      </w:pPr>
      <w:r>
        <w:rPr>
          <w:rFonts w:ascii="Arial" w:cs="Arial" w:eastAsia="Arial" w:hAnsi="Arial"/>
          <w:sz w:val="16"/>
          <w:szCs w:val="16"/>
          <w:color w:val="auto"/>
        </w:rPr>
        <w:t>The discussion of our financial condition and results of operations are based upon our Consolidated Financial Statements, which have been prepared in accordance with generally accepted accounting principles, or GAAP. The preparation of these Consolidated Financial Statements requires management to make estimates and assumptions that affect the reported amounts of assets, liabilities, revenues and expenses during the reporting period. Actual results could differ from these estimates. We may reclassify certain prior period amounts to conform to the current period presentation. We have eliminated all intercompany balances and transactions. References to Accounting Standards Codification, or ASC, serve as a single source of literature. Subsequent events are evaluated and disclosed as appropriate for events occurring through the date the Consolidated Financial Statements are issued. Changes in the economic and regulatory environment, financial markets and any other parameters used in determining such estimates could cause actual results to differ. In addition to the discussion below, we describe our critical accounting policies in the notes to our Consolidated Financial Statements.</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Valuation of Portfolio Investments</w:t>
      </w:r>
    </w:p>
    <w:p>
      <w:pPr>
        <w:spacing w:after="0" w:line="117" w:lineRule="exact"/>
        <w:rPr>
          <w:sz w:val="20"/>
          <w:szCs w:val="20"/>
          <w:color w:val="auto"/>
        </w:rPr>
      </w:pPr>
    </w:p>
    <w:p>
      <w:pPr>
        <w:ind w:right="20" w:firstLine="449"/>
        <w:spacing w:after="0" w:line="270" w:lineRule="auto"/>
        <w:rPr>
          <w:sz w:val="20"/>
          <w:szCs w:val="20"/>
          <w:color w:val="auto"/>
        </w:rPr>
      </w:pPr>
      <w:r>
        <w:rPr>
          <w:rFonts w:ascii="Arial" w:cs="Arial" w:eastAsia="Arial" w:hAnsi="Arial"/>
          <w:sz w:val="17"/>
          <w:szCs w:val="17"/>
          <w:color w:val="auto"/>
        </w:rPr>
        <w:t>We expect that there may not be readily available market values for many of our investments which are or will be in our portfolio, and we value such investments at fair value as determined in good faith by or under the direction of our board of directors using a documented valuation policy described in this Report and a consistently applied valuation process. With respect to investments for which there is no readily available market value, the factors that the board of directors may take into account in pricing our investments at fair value include, as relevant, the nature and realizable value of any collateral, the portfolio company’s ability to make payments and its earnings and discounted cash flow, the markets in which the portfolio company does business, comparison to publicly traded securities and other relevant factors. When an external event such as a purchase transaction, public offering or subsequent equity sale occurs, we consider the pricing indicated by the external event to corroborate or revise our valuation. Due to the inherent uncertainty of determining the fair value of investments that do not have a readily available market value, the price used in an actual transaction may differ from our valuation and the difference could be material.</w:t>
      </w:r>
    </w:p>
    <w:p>
      <w:pPr>
        <w:spacing w:after="0" w:line="181" w:lineRule="exact"/>
        <w:rPr>
          <w:sz w:val="20"/>
          <w:szCs w:val="20"/>
          <w:color w:val="auto"/>
        </w:rPr>
      </w:pPr>
    </w:p>
    <w:p>
      <w:pPr>
        <w:ind w:right="240" w:firstLine="449"/>
        <w:spacing w:after="0" w:line="277" w:lineRule="auto"/>
        <w:rPr>
          <w:sz w:val="20"/>
          <w:szCs w:val="20"/>
          <w:color w:val="auto"/>
        </w:rPr>
      </w:pPr>
      <w:r>
        <w:rPr>
          <w:rFonts w:ascii="Arial" w:cs="Arial" w:eastAsia="Arial" w:hAnsi="Arial"/>
          <w:sz w:val="18"/>
          <w:szCs w:val="18"/>
          <w:color w:val="auto"/>
        </w:rPr>
        <w:t>With respect to investments for which market quotations are not readily available, or for which market quotations are deemed not reflective of the fair value, our board of directors undertakes a multi-step valuation process each quarter, as described below:</w:t>
      </w:r>
    </w:p>
    <w:p>
      <w:pPr>
        <w:spacing w:after="0" w:line="76" w:lineRule="exact"/>
        <w:rPr>
          <w:sz w:val="20"/>
          <w:szCs w:val="20"/>
          <w:color w:val="auto"/>
        </w:rPr>
      </w:pPr>
    </w:p>
    <w:p>
      <w:pPr>
        <w:ind w:left="900" w:hanging="447"/>
        <w:spacing w:after="0" w:line="277" w:lineRule="auto"/>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quarterly valuation process begins with each portfolio company or investment being initially valued by the investment professionals of our Investment Adviser responsible for the portfolio investment;</w:t>
      </w:r>
    </w:p>
    <w:p>
      <w:pPr>
        <w:spacing w:after="0" w:line="75" w:lineRule="exact"/>
        <w:rPr>
          <w:rFonts w:ascii="Arial" w:cs="Arial" w:eastAsia="Arial" w:hAnsi="Arial"/>
          <w:sz w:val="18"/>
          <w:szCs w:val="18"/>
          <w:color w:val="auto"/>
        </w:rPr>
      </w:pPr>
    </w:p>
    <w:p>
      <w:pPr>
        <w:ind w:left="900" w:hanging="447"/>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Preliminary valuation conclusions are then documented and discussed with the management of our Investment Adviser;</w:t>
      </w:r>
    </w:p>
    <w:p>
      <w:pPr>
        <w:spacing w:after="0" w:line="130" w:lineRule="exact"/>
        <w:rPr>
          <w:rFonts w:ascii="Arial" w:cs="Arial" w:eastAsia="Arial" w:hAnsi="Arial"/>
          <w:sz w:val="18"/>
          <w:szCs w:val="18"/>
          <w:color w:val="auto"/>
        </w:rPr>
      </w:pPr>
    </w:p>
    <w:p>
      <w:pPr>
        <w:ind w:left="900" w:right="460" w:hanging="447"/>
        <w:spacing w:after="0" w:line="279" w:lineRule="auto"/>
        <w:tabs>
          <w:tab w:leader="none" w:pos="900" w:val="left"/>
        </w:tabs>
        <w:numPr>
          <w:ilvl w:val="0"/>
          <w:numId w:val="12"/>
        </w:numPr>
        <w:rPr>
          <w:rFonts w:ascii="Arial" w:cs="Arial" w:eastAsia="Arial" w:hAnsi="Arial"/>
          <w:sz w:val="17"/>
          <w:szCs w:val="17"/>
          <w:color w:val="auto"/>
        </w:rPr>
      </w:pPr>
      <w:r>
        <w:rPr>
          <w:rFonts w:ascii="Arial" w:cs="Arial" w:eastAsia="Arial" w:hAnsi="Arial"/>
          <w:sz w:val="17"/>
          <w:szCs w:val="17"/>
          <w:color w:val="auto"/>
        </w:rPr>
        <w:t>Our board of directors also engages independent valuation firms to conduct independent appraisals of our investments for which market quotations are not readily available or are readily available but deemed not reflective of the fair value of an investment. The independent valuation firms review management’s preliminary valuations in light of its own independent assessment and also in light of any market quotations obtained from an independent pricing service, broker, dealer or market maker;</w:t>
      </w:r>
    </w:p>
    <w:p>
      <w:pPr>
        <w:spacing w:after="0" w:line="76" w:lineRule="exact"/>
        <w:rPr>
          <w:rFonts w:ascii="Arial" w:cs="Arial" w:eastAsia="Arial" w:hAnsi="Arial"/>
          <w:sz w:val="17"/>
          <w:szCs w:val="17"/>
          <w:color w:val="auto"/>
        </w:rPr>
      </w:pPr>
    </w:p>
    <w:p>
      <w:pPr>
        <w:ind w:left="900" w:right="80" w:hanging="447"/>
        <w:spacing w:after="0" w:line="263" w:lineRule="auto"/>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audit committee of our board of directors reviews the preliminary valuations of our Investment Adviser and those of the independent valuation firms, and responds to and supplements the valuation recommendations of the independent valuation firms to reflect any comments; and</w:t>
      </w:r>
    </w:p>
    <w:p>
      <w:pPr>
        <w:spacing w:after="0" w:line="89" w:lineRule="exact"/>
        <w:rPr>
          <w:rFonts w:ascii="Arial" w:cs="Arial" w:eastAsia="Arial" w:hAnsi="Arial"/>
          <w:sz w:val="18"/>
          <w:szCs w:val="18"/>
          <w:color w:val="auto"/>
        </w:rPr>
      </w:pPr>
    </w:p>
    <w:p>
      <w:pPr>
        <w:ind w:left="900" w:right="300" w:hanging="447"/>
        <w:spacing w:after="0" w:line="277" w:lineRule="auto"/>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board of directors discusses the valuations and determines the fair value of each investment in our portfolio in good faith, based on the input of our Investment Adviser, the independent valuation firms and the audit committee.</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200"/>
          </w:cols>
          <w:pgMar w:left="320" w:top="459" w:right="37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20" w:firstLine="449"/>
        <w:spacing w:after="0" w:line="272" w:lineRule="auto"/>
        <w:rPr>
          <w:sz w:val="20"/>
          <w:szCs w:val="20"/>
          <w:color w:val="auto"/>
        </w:rPr>
      </w:pPr>
      <w:r>
        <w:rPr>
          <w:rFonts w:ascii="Arial" w:cs="Arial" w:eastAsia="Arial" w:hAnsi="Arial"/>
          <w:sz w:val="17"/>
          <w:szCs w:val="17"/>
          <w:color w:val="auto"/>
        </w:rPr>
        <w:t>Our investments generally consist of illiquid securities, including debt and equity investments. Our board of directors generally uses market quotations to assess the value of our investments for which market quotations are readily available. We obtain these market values from independent pricing services or at the bid prices obtained from at least two brokers or dealers, if available, or otherwise by a principal market maker or a primary market dealer. The Investment Adviser assesses the source and reliability of bids from brokers or dealers. If our board of directors has a bona fide reason to believe any such market quote does not reflect the fair value of an investment, it may independently value such investments by using the valuation procedure that it uses with respect to assets for which market quotations are not readily available. Investments of sufficient credit quality purchased within 60 days of maturity are valued at cost plus accreted discount, or minus amortized premium, which approximates fair value.</w:t>
      </w:r>
    </w:p>
    <w:p>
      <w:pPr>
        <w:spacing w:after="0" w:line="177" w:lineRule="exact"/>
        <w:rPr>
          <w:sz w:val="20"/>
          <w:szCs w:val="20"/>
          <w:color w:val="auto"/>
        </w:rPr>
      </w:pPr>
    </w:p>
    <w:p>
      <w:pPr>
        <w:ind w:right="80" w:firstLine="449"/>
        <w:spacing w:after="0" w:line="254" w:lineRule="auto"/>
        <w:rPr>
          <w:sz w:val="20"/>
          <w:szCs w:val="20"/>
          <w:color w:val="auto"/>
        </w:rPr>
      </w:pPr>
      <w:r>
        <w:rPr>
          <w:rFonts w:ascii="Arial" w:cs="Arial" w:eastAsia="Arial" w:hAnsi="Arial"/>
          <w:sz w:val="18"/>
          <w:szCs w:val="18"/>
          <w:color w:val="auto"/>
        </w:rPr>
        <w:t>Fair value, as defined under ASC 820, is the price that we would receive upon selling an investment or pay to transfer a liability in an orderly transaction to a market participant in the principal or most advantageous market for the investment or liability. ASC 820 emphasizes that valuation techniques maximize the use of observable market inputs and minimize the use of unobservable inputs. Inputs refer broadly to the assumptions that market participants would use in pricing an asset or liability, including assumptions about risk. Inputs may be observable or unobservable. Observable inputs reflect the assumptions market participants would use in pricing an asset or liability based on market data obtained from sources independent of us. Unobservable inputs reflect the assumptions market participants would use in pricing an asset or liability based on the best information available to us on the reporting period date.</w:t>
      </w:r>
    </w:p>
    <w:p>
      <w:pPr>
        <w:spacing w:after="0" w:line="19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ASC 820 classifies the inputs used to measure these fair values into the following hierarchies:</w:t>
      </w:r>
    </w:p>
    <w:p>
      <w:pPr>
        <w:spacing w:after="0" w:line="131" w:lineRule="exact"/>
        <w:rPr>
          <w:sz w:val="20"/>
          <w:szCs w:val="20"/>
          <w:color w:val="auto"/>
        </w:rPr>
      </w:pPr>
    </w:p>
    <w:p>
      <w:pPr>
        <w:ind w:left="1300" w:right="700" w:hanging="836"/>
        <w:spacing w:after="0" w:line="277" w:lineRule="auto"/>
        <w:tabs>
          <w:tab w:leader="none" w:pos="1280" w:val="left"/>
        </w:tabs>
        <w:rPr>
          <w:sz w:val="20"/>
          <w:szCs w:val="20"/>
          <w:color w:val="auto"/>
        </w:rPr>
      </w:pPr>
      <w:r>
        <w:rPr>
          <w:rFonts w:ascii="Arial" w:cs="Arial" w:eastAsia="Arial" w:hAnsi="Arial"/>
          <w:sz w:val="18"/>
          <w:szCs w:val="18"/>
          <w:color w:val="auto"/>
        </w:rPr>
        <w:t>Level 1:</w:t>
        <w:tab/>
        <w:t>Inputs that are quoted prices (unadjusted) in active markets for identical assets or liabilities, accessible by us at the measurement date.</w:t>
      </w:r>
    </w:p>
    <w:p>
      <w:pPr>
        <w:spacing w:after="0" w:line="62" w:lineRule="exact"/>
        <w:rPr>
          <w:sz w:val="20"/>
          <w:szCs w:val="20"/>
          <w:color w:val="auto"/>
        </w:rPr>
      </w:pPr>
    </w:p>
    <w:p>
      <w:pPr>
        <w:ind w:left="1300" w:right="500" w:hanging="836"/>
        <w:spacing w:after="0" w:line="263" w:lineRule="auto"/>
        <w:tabs>
          <w:tab w:leader="none" w:pos="1280" w:val="left"/>
        </w:tabs>
        <w:rPr>
          <w:sz w:val="20"/>
          <w:szCs w:val="20"/>
          <w:color w:val="auto"/>
        </w:rPr>
      </w:pPr>
      <w:r>
        <w:rPr>
          <w:rFonts w:ascii="Arial" w:cs="Arial" w:eastAsia="Arial" w:hAnsi="Arial"/>
          <w:sz w:val="18"/>
          <w:szCs w:val="18"/>
          <w:color w:val="auto"/>
        </w:rPr>
        <w:t>Level 2:</w:t>
        <w:tab/>
        <w:t>Inputs that are quoted prices for similar assets or liabilities in active markets, or that are quoted prices for identical or similar assets or liabilities in markets that are not active and inputs that are observable for the asset or liability, either directly or indirectly, for substantially the full term, if applicable, of the financial instrument.</w:t>
      </w:r>
    </w:p>
    <w:p>
      <w:pPr>
        <w:spacing w:after="0" w:line="76" w:lineRule="exact"/>
        <w:rPr>
          <w:sz w:val="20"/>
          <w:szCs w:val="20"/>
          <w:color w:val="auto"/>
        </w:rPr>
      </w:pPr>
    </w:p>
    <w:p>
      <w:pPr>
        <w:ind w:left="1300" w:right="520" w:hanging="836"/>
        <w:spacing w:after="0" w:line="277" w:lineRule="auto"/>
        <w:tabs>
          <w:tab w:leader="none" w:pos="1280" w:val="left"/>
        </w:tabs>
        <w:rPr>
          <w:sz w:val="20"/>
          <w:szCs w:val="20"/>
          <w:color w:val="auto"/>
        </w:rPr>
      </w:pPr>
      <w:r>
        <w:rPr>
          <w:rFonts w:ascii="Arial" w:cs="Arial" w:eastAsia="Arial" w:hAnsi="Arial"/>
          <w:sz w:val="18"/>
          <w:szCs w:val="18"/>
          <w:color w:val="auto"/>
        </w:rPr>
        <w:t>Level 3:</w:t>
        <w:tab/>
        <w:t>Inputs that are unobservable for an asset or liability because they are based on our own assumptions about how market participants would price the asset or liability.</w:t>
      </w:r>
    </w:p>
    <w:p>
      <w:pPr>
        <w:spacing w:after="0" w:line="170" w:lineRule="exact"/>
        <w:rPr>
          <w:sz w:val="20"/>
          <w:szCs w:val="20"/>
          <w:color w:val="auto"/>
        </w:rPr>
      </w:pPr>
    </w:p>
    <w:p>
      <w:pPr>
        <w:ind w:right="80" w:firstLine="449"/>
        <w:spacing w:after="0" w:line="259" w:lineRule="auto"/>
        <w:rPr>
          <w:sz w:val="20"/>
          <w:szCs w:val="20"/>
          <w:color w:val="auto"/>
        </w:rPr>
      </w:pPr>
      <w:r>
        <w:rPr>
          <w:rFonts w:ascii="Arial" w:cs="Arial" w:eastAsia="Arial" w:hAnsi="Arial"/>
          <w:sz w:val="18"/>
          <w:szCs w:val="18"/>
          <w:color w:val="auto"/>
        </w:rPr>
        <w:t>A financial instrument’s categorization within the valuation hierarchy is based upon the lowest level of input that is significant to the fair value measurement. Generally, most of our investments and our Credit Facility are classified as Level 3. Due to the inherent uncertainty of determining the fair value of investments that do not have a readily available market value, the price used in an actual transaction may be different than our valuation and those differences may be material.</w:t>
      </w:r>
    </w:p>
    <w:p>
      <w:pPr>
        <w:spacing w:after="0" w:line="187" w:lineRule="exact"/>
        <w:rPr>
          <w:sz w:val="20"/>
          <w:szCs w:val="20"/>
          <w:color w:val="auto"/>
        </w:rPr>
      </w:pPr>
    </w:p>
    <w:p>
      <w:pPr>
        <w:ind w:right="40" w:firstLine="449"/>
        <w:spacing w:after="0" w:line="263" w:lineRule="auto"/>
        <w:rPr>
          <w:sz w:val="20"/>
          <w:szCs w:val="20"/>
          <w:color w:val="auto"/>
        </w:rPr>
      </w:pPr>
      <w:r>
        <w:rPr>
          <w:rFonts w:ascii="Arial" w:cs="Arial" w:eastAsia="Arial" w:hAnsi="Arial"/>
          <w:sz w:val="18"/>
          <w:szCs w:val="18"/>
          <w:color w:val="auto"/>
        </w:rPr>
        <w:t>In addition to using the above inputs in cash equivalents, investments, the 2025 Notes and our Credit Facility valuations, we employ the valuation policy approved by our board of directors that is consistent with ASC 820. Consistent with our valuation policy, we evaluate the source of inputs, including any markets in which our investments are trading, in determining fair value.</w:t>
      </w:r>
    </w:p>
    <w:p>
      <w:pPr>
        <w:spacing w:after="0" w:line="184" w:lineRule="exact"/>
        <w:rPr>
          <w:sz w:val="20"/>
          <w:szCs w:val="20"/>
          <w:color w:val="auto"/>
        </w:rPr>
      </w:pPr>
    </w:p>
    <w:p>
      <w:pPr>
        <w:ind w:firstLine="449"/>
        <w:spacing w:after="0" w:line="287" w:lineRule="auto"/>
        <w:rPr>
          <w:sz w:val="20"/>
          <w:szCs w:val="20"/>
          <w:color w:val="auto"/>
        </w:rPr>
      </w:pPr>
      <w:r>
        <w:rPr>
          <w:rFonts w:ascii="Arial" w:cs="Arial" w:eastAsia="Arial" w:hAnsi="Arial"/>
          <w:sz w:val="16"/>
          <w:szCs w:val="16"/>
          <w:color w:val="auto"/>
        </w:rPr>
        <w:t>We adopted ASC 825-10, which provides companies with an option to report selected financial assets and liabilities at fair value and made an irrevocable election to apply ASC 825-10 to our Credit Facility and our 2025 Notes. We elected to use the fair value option for the Credit Facility to align the measurement attributes of both our assets and liabilities while mitigating volatility in earnings from using different measurement attributes. ASC 825-10 establishes presentation and disclosure requirements designed to facilitate comparisons between companies that choose different measurement attributes for similar types of assets and liabilities and to more easily understand the effect on earnings of a company’s choice to use fair value. ASC 825-10 also requires entities to display the fair value of the selected assets and liabilities on the face of the Consolidated Statement of Assets and Liabilities and changes in fair value of the Credit Facility and 2025 Notes are reported in our Consolidated Statement of Operations. We elected not to apply ASC 825-10 to any other financial assets or liabilities, including the SBA debentures. For the three months ended December 31, 2013 and 2012, our Credit Facility and 2025 Notes had a net change in unrealized depreciation (appreciation) of $4.1 million and $(0.5) million, respectively. As of December 31, 2013 and September 30, 2013, net unrealized depreciation on our Credit Facility and 2025 Notes totaled $7.0 million and $2.9 million, respectively. We use a nationally recognized independent valuation service to fair value our Credit Facility in a manner consistent with the valuation process that the board of directors approves to value investments. Our 2025 Notes trade on the NYSE and we use the closing price on the exchange to determine their fair value.</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17" w:lineRule="exact"/>
        <w:rPr>
          <w:sz w:val="20"/>
          <w:szCs w:val="20"/>
          <w:color w:val="auto"/>
        </w:rPr>
      </w:pPr>
    </w:p>
    <w:p>
      <w:pPr>
        <w:ind w:right="120" w:firstLine="449"/>
        <w:spacing w:after="0" w:line="272" w:lineRule="auto"/>
        <w:rPr>
          <w:sz w:val="20"/>
          <w:szCs w:val="20"/>
          <w:color w:val="auto"/>
        </w:rPr>
      </w:pPr>
      <w:r>
        <w:rPr>
          <w:rFonts w:ascii="Arial" w:cs="Arial" w:eastAsia="Arial" w:hAnsi="Arial"/>
          <w:sz w:val="17"/>
          <w:szCs w:val="17"/>
          <w:color w:val="auto"/>
        </w:rPr>
        <w:t>We record interest income on an accrual basis to the extent that we expect to collect such amounts. For loans and debt investments with contractual PIK interest which represents contractual interest accrued and added to the loan balance that generally becomes due at maturity, we will generally not accrue PIK interest if the portfolio company valuation indicates that such PIK interest is not collectible. We do not accrue as a receivable interest on loans and debt investments if we determine that it is probable that we will not be able to collect such interest. Loan origination fees, OID, market discount or premium and deferred financing costs are capitalized and we then accrete or amortize such amounts as interest income or expense, as applicable, using the effective interest method. We record contractual prepayment penalties on loans and debt investments as income. Dividend income, if any, is recognized on an accrual basis on the ex-dividend date to the extent that we expect to collect such amounts.</w:t>
      </w:r>
    </w:p>
    <w:p>
      <w:pPr>
        <w:sectPr>
          <w:pgSz w:w="11900" w:h="16838" w:orient="portrait"/>
          <w:cols w:equalWidth="0" w:num="1">
            <w:col w:w="11240"/>
          </w:cols>
          <w:pgMar w:left="320" w:top="459" w:right="339" w:bottom="1440" w:gutter="0" w:footer="0" w:header="0"/>
        </w:sectPr>
      </w:pP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34</w:t>
      </w:r>
    </w:p>
    <w:p>
      <w:pPr>
        <w:sectPr>
          <w:pgSz w:w="11900" w:h="16838" w:orient="portrait"/>
          <w:cols w:equalWidth="0" w:num="1">
            <w:col w:w="11240"/>
          </w:cols>
          <w:pgMar w:left="320" w:top="459" w:right="339" w:bottom="1440" w:gutter="0" w:footer="0" w:header="0"/>
          <w:type w:val="continuous"/>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Realized Gains or Losses and Net Change in Unrealized Appreciation or Depreciation</w:t>
      </w:r>
    </w:p>
    <w:p>
      <w:pPr>
        <w:spacing w:after="0" w:line="117" w:lineRule="exact"/>
        <w:rPr>
          <w:sz w:val="20"/>
          <w:szCs w:val="20"/>
          <w:color w:val="auto"/>
        </w:rPr>
      </w:pPr>
    </w:p>
    <w:p>
      <w:pPr>
        <w:ind w:firstLine="449"/>
        <w:spacing w:after="0" w:line="301" w:lineRule="auto"/>
        <w:rPr>
          <w:sz w:val="20"/>
          <w:szCs w:val="20"/>
          <w:color w:val="auto"/>
        </w:rPr>
      </w:pPr>
      <w:r>
        <w:rPr>
          <w:rFonts w:ascii="Arial" w:cs="Arial" w:eastAsia="Arial" w:hAnsi="Arial"/>
          <w:sz w:val="16"/>
          <w:szCs w:val="16"/>
          <w:color w:val="auto"/>
        </w:rPr>
        <w:t>We measure realized gains or losses by the difference between the net proceeds from the repayment or sale and the amortized cost basis of the investment, using the specific identification method, without regard to unrealized appreciation or depreciation previously recognized, but considering unamortized upfront fees and prepayment penalties. Net change in unrealized appreciation or depreciation reflects the change in portfolio investment values during the reporting period, including any reversal of previously recorded unrealized appreciation or depreciation, when gains or losses are realized.</w:t>
      </w: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Payment-In-Kind, or PIK, Interest</w:t>
      </w:r>
    </w:p>
    <w:p>
      <w:pPr>
        <w:spacing w:after="0" w:line="117" w:lineRule="exact"/>
        <w:rPr>
          <w:sz w:val="20"/>
          <w:szCs w:val="20"/>
          <w:color w:val="auto"/>
        </w:rPr>
      </w:pPr>
    </w:p>
    <w:p>
      <w:pPr>
        <w:ind w:right="200" w:firstLine="449"/>
        <w:spacing w:after="0" w:line="263" w:lineRule="auto"/>
        <w:rPr>
          <w:sz w:val="20"/>
          <w:szCs w:val="20"/>
          <w:color w:val="auto"/>
        </w:rPr>
      </w:pPr>
      <w:r>
        <w:rPr>
          <w:rFonts w:ascii="Arial" w:cs="Arial" w:eastAsia="Arial" w:hAnsi="Arial"/>
          <w:sz w:val="18"/>
          <w:szCs w:val="18"/>
          <w:color w:val="auto"/>
        </w:rPr>
        <w:t>We have investments in our portfolio which contain a PIK interest provision. PIK interest is added to the principal balance of the investment and is recorded as income. For us to maintain our status as a RIC, substantially all of this income must be paid out to stockholders in the form of distributions, even though we have not collected any cash with respect to PIK securities.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Federal Income Taxes</w:t>
      </w:r>
    </w:p>
    <w:p>
      <w:pPr>
        <w:spacing w:after="0" w:line="117" w:lineRule="exact"/>
        <w:rPr>
          <w:sz w:val="20"/>
          <w:szCs w:val="20"/>
          <w:color w:val="auto"/>
        </w:rPr>
      </w:pPr>
    </w:p>
    <w:p>
      <w:pPr>
        <w:ind w:firstLine="449"/>
        <w:spacing w:after="0" w:line="285" w:lineRule="auto"/>
        <w:rPr>
          <w:sz w:val="20"/>
          <w:szCs w:val="20"/>
          <w:color w:val="auto"/>
        </w:rPr>
      </w:pPr>
      <w:r>
        <w:rPr>
          <w:rFonts w:ascii="Arial" w:cs="Arial" w:eastAsia="Arial" w:hAnsi="Arial"/>
          <w:sz w:val="16"/>
          <w:szCs w:val="16"/>
          <w:color w:val="auto"/>
        </w:rPr>
        <w:t>We have elected to be taxed, and intend to qualify annually to maintain our election to be taxed, as a RIC under Subchapter M of the Code. To maintain our RIC tax election, we must, among other requirements, meet certain source-of-income and quarterly asset diversification requirements. We also must annually distribute at least 90% of the sum of our net ordinary income and realized net short-term capital gains in excess of realized net long-term capital losses, if any, out of the assets legally available for distribution. Although not required for us to maintain our RIC tax status, in order to preclude the imposition of a 4% nondeductible federal excise tax imposed on RICs, we must distribute during each calendar year an amount at least equal to the sum of</w:t>
      </w:r>
    </w:p>
    <w:p>
      <w:pPr>
        <w:spacing w:after="0" w:line="2" w:lineRule="exact"/>
        <w:rPr>
          <w:sz w:val="20"/>
          <w:szCs w:val="20"/>
          <w:color w:val="auto"/>
        </w:rPr>
      </w:pPr>
    </w:p>
    <w:p>
      <w:pPr>
        <w:ind w:firstLine="8"/>
        <w:spacing w:after="0" w:line="292" w:lineRule="auto"/>
        <w:tabs>
          <w:tab w:leader="none" w:pos="255" w:val="left"/>
        </w:tabs>
        <w:numPr>
          <w:ilvl w:val="0"/>
          <w:numId w:val="13"/>
        </w:numPr>
        <w:rPr>
          <w:rFonts w:ascii="Arial" w:cs="Arial" w:eastAsia="Arial" w:hAnsi="Arial"/>
          <w:sz w:val="16"/>
          <w:szCs w:val="16"/>
          <w:color w:val="auto"/>
        </w:rPr>
      </w:pPr>
      <w:r>
        <w:rPr>
          <w:rFonts w:ascii="Arial" w:cs="Arial" w:eastAsia="Arial" w:hAnsi="Arial"/>
          <w:sz w:val="16"/>
          <w:szCs w:val="16"/>
          <w:color w:val="auto"/>
        </w:rPr>
        <w:t>98% of our net ordinary income for the calendar year, (2) 98.2% of the sum of our net capital gains income (i.e. the excess, if any, of our capital gains over capital losses) for the one-year period ending on October 31 of the calendar year and (3) the sum of any net ordinary income plus net capital gain income for preceding years that were not distributed during such years. In addition, although we may distribute realized net capital gains (i.e., net long-term capital gains in excess of short-term capital losses), if any, at least annually, out of the assets legally available for such distributions in the manner described above, we have retained and may continue to retain such net capital gains or net ordinary income to provide us with additional liquidity.</w:t>
      </w:r>
    </w:p>
    <w:p>
      <w:pPr>
        <w:spacing w:after="0" w:line="162" w:lineRule="exact"/>
        <w:rPr>
          <w:sz w:val="20"/>
          <w:szCs w:val="20"/>
          <w:color w:val="auto"/>
        </w:rPr>
      </w:pPr>
    </w:p>
    <w:p>
      <w:pPr>
        <w:jc w:val="both"/>
        <w:ind w:right="80" w:firstLine="449"/>
        <w:spacing w:after="0" w:line="259" w:lineRule="auto"/>
        <w:rPr>
          <w:sz w:val="20"/>
          <w:szCs w:val="20"/>
          <w:color w:val="auto"/>
        </w:rPr>
      </w:pPr>
      <w:r>
        <w:rPr>
          <w:rFonts w:ascii="Arial" w:cs="Arial" w:eastAsia="Arial" w:hAnsi="Arial"/>
          <w:sz w:val="18"/>
          <w:szCs w:val="18"/>
          <w:color w:val="auto"/>
        </w:rPr>
        <w:t>Because federal income tax regulations differ from GAAP, distributions in accordance with tax regulations may differ from net investment income and realized gains recognized for financial reporting purposes. Differences may be permanent or temporary. Permanent differences are reclassified among capital accounts in the Consolidated Financial Statements to reflect their tax character. Temporary differences arise when certain items of income, expense, gain or loss are recognized at some time in the future.</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Set forth below are the results of operations for the three months ended December 31, 2013 and 2012.</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 Income</w:t>
      </w:r>
    </w:p>
    <w:p>
      <w:pPr>
        <w:spacing w:after="0" w:line="117" w:lineRule="exact"/>
        <w:rPr>
          <w:sz w:val="20"/>
          <w:szCs w:val="20"/>
          <w:color w:val="auto"/>
        </w:rPr>
      </w:pPr>
    </w:p>
    <w:p>
      <w:pPr>
        <w:ind w:right="100" w:firstLine="449"/>
        <w:spacing w:after="0" w:line="255" w:lineRule="auto"/>
        <w:rPr>
          <w:sz w:val="20"/>
          <w:szCs w:val="20"/>
          <w:color w:val="auto"/>
        </w:rPr>
      </w:pPr>
      <w:r>
        <w:rPr>
          <w:rFonts w:ascii="Arial" w:cs="Arial" w:eastAsia="Arial" w:hAnsi="Arial"/>
          <w:sz w:val="18"/>
          <w:szCs w:val="18"/>
          <w:color w:val="auto"/>
        </w:rPr>
        <w:t>Investment income for the three months ended December 31, 2013 was $34.4 million and was primarily attributable to $9.6 million from senior secured loans, $12.3 million from second lien secured debt investments, $11.4 million from subordinated debt investments and $1.1 million from common equity investments. Investment income for the three months ended December 31, 2012 was $33.0 million and was primarily attributable to $8.8 million from senior secured loans, $6.4 million from second lien secured debt investments and $16.5 million from subordinated debt investments and $1.3 million from common equity investments . The increase in investment income compared with the same period in the prior year is due to the growth of our portfolio.</w:t>
      </w: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Expenses</w:t>
      </w:r>
    </w:p>
    <w:p>
      <w:pPr>
        <w:spacing w:after="0" w:line="117" w:lineRule="exact"/>
        <w:rPr>
          <w:sz w:val="20"/>
          <w:szCs w:val="20"/>
          <w:color w:val="auto"/>
        </w:rPr>
      </w:pPr>
    </w:p>
    <w:p>
      <w:pPr>
        <w:ind w:right="180" w:firstLine="449"/>
        <w:spacing w:after="0" w:line="296" w:lineRule="auto"/>
        <w:rPr>
          <w:sz w:val="20"/>
          <w:szCs w:val="20"/>
          <w:color w:val="auto"/>
        </w:rPr>
      </w:pPr>
      <w:r>
        <w:rPr>
          <w:rFonts w:ascii="Arial" w:cs="Arial" w:eastAsia="Arial" w:hAnsi="Arial"/>
          <w:sz w:val="16"/>
          <w:szCs w:val="16"/>
          <w:color w:val="auto"/>
        </w:rPr>
        <w:t>Expenses for the three months ended December 31, 2013 totaled $16.5 million. Base management fees for the same period totaled $5.7 million, incentive fees totaled $4.5 million, debt related interest and expenses totaled $4.6 million and general and administrative expenses totaled $1.7 million. Expenses for the three months ended December 31, 2012 totaled $14.8 million. Base management fees for the same period totaled $5.1 million, incentive fees totaled $4.5 million, debt related interest and expenses totaled $3.1 million, general and administrative expenses and excise tax totaled $2.1 million. The increase in expenses was primarily due to the higher cost of debt, which was partially offset by lower general and administrative expenses.</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Investment Income</w:t>
      </w:r>
    </w:p>
    <w:p>
      <w:pPr>
        <w:spacing w:after="0" w:line="117" w:lineRule="exact"/>
        <w:rPr>
          <w:sz w:val="20"/>
          <w:szCs w:val="20"/>
          <w:color w:val="auto"/>
        </w:rPr>
      </w:pPr>
    </w:p>
    <w:p>
      <w:pPr>
        <w:ind w:right="360" w:firstLine="449"/>
        <w:spacing w:after="0" w:line="342" w:lineRule="auto"/>
        <w:rPr>
          <w:sz w:val="20"/>
          <w:szCs w:val="20"/>
          <w:color w:val="auto"/>
        </w:rPr>
      </w:pPr>
      <w:r>
        <w:rPr>
          <w:rFonts w:ascii="Arial" w:cs="Arial" w:eastAsia="Arial" w:hAnsi="Arial"/>
          <w:sz w:val="16"/>
          <w:szCs w:val="16"/>
          <w:color w:val="auto"/>
        </w:rPr>
        <w:t>Net investment income totaled $18.0 million, or $0.27 per share, for the three months ended December 31, 2013, and $18.2 million, or $0.28 per share, for the three months ended December 31, 2012. The decrease in net investment income over the prior period was due to the higher cost of debt.</w:t>
      </w:r>
    </w:p>
    <w:p>
      <w:pPr>
        <w:spacing w:after="0" w:line="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240"/>
          </w:cols>
          <w:pgMar w:left="320" w:top="459" w:right="33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Realized Gains or Losses</w:t>
      </w:r>
    </w:p>
    <w:p>
      <w:pPr>
        <w:spacing w:after="0" w:line="117" w:lineRule="exact"/>
        <w:rPr>
          <w:sz w:val="20"/>
          <w:szCs w:val="20"/>
          <w:color w:val="auto"/>
        </w:rPr>
      </w:pPr>
    </w:p>
    <w:p>
      <w:pPr>
        <w:ind w:right="80" w:firstLine="449"/>
        <w:spacing w:after="0" w:line="286" w:lineRule="auto"/>
        <w:rPr>
          <w:sz w:val="20"/>
          <w:szCs w:val="20"/>
          <w:color w:val="auto"/>
        </w:rPr>
      </w:pPr>
      <w:r>
        <w:rPr>
          <w:rFonts w:ascii="Arial" w:cs="Arial" w:eastAsia="Arial" w:hAnsi="Arial"/>
          <w:sz w:val="17"/>
          <w:szCs w:val="17"/>
          <w:color w:val="auto"/>
        </w:rPr>
        <w:t>Sales and repayments of investments for the three months ended December 31, 2013 totaled $144.0 million and realized gains totaled $2.7 million. Sales and repayments of investments totaled $110.8 million and net realized gains totaled $0.9 million for the three months ended December 31, 2012. The increase in realized gains is due to a larger number of repayments of investments compared to the prior period.</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Unrealized Appreciation or Depreciation on Investments, Credit Facility and 2025 Notes</w:t>
      </w:r>
    </w:p>
    <w:p>
      <w:pPr>
        <w:spacing w:after="0" w:line="117" w:lineRule="exact"/>
        <w:rPr>
          <w:sz w:val="20"/>
          <w:szCs w:val="20"/>
          <w:color w:val="auto"/>
        </w:rPr>
      </w:pPr>
    </w:p>
    <w:p>
      <w:pPr>
        <w:ind w:right="60" w:firstLine="449"/>
        <w:spacing w:after="0" w:line="259" w:lineRule="auto"/>
        <w:rPr>
          <w:sz w:val="20"/>
          <w:szCs w:val="20"/>
          <w:color w:val="auto"/>
        </w:rPr>
      </w:pPr>
      <w:r>
        <w:rPr>
          <w:rFonts w:ascii="Arial" w:cs="Arial" w:eastAsia="Arial" w:hAnsi="Arial"/>
          <w:sz w:val="18"/>
          <w:szCs w:val="18"/>
          <w:color w:val="auto"/>
        </w:rPr>
        <w:t>For the three months ended December 31, 2013 and 2012 we reported a net unrealized appreciation on investments of $14.7 million and $10.0 million, respectively. As of December 31, 2013 and September 30, 2013, our net unrealized appreciation (depreciation) on investments totaled $1.4 million and $(13.3) million, respectively. The increase over the prior period was the result of changes in the market values of our investments offset by reversals of unrealized appreciation upon exiting our investments.</w:t>
      </w:r>
    </w:p>
    <w:p>
      <w:pPr>
        <w:spacing w:after="0" w:line="187" w:lineRule="exact"/>
        <w:rPr>
          <w:sz w:val="20"/>
          <w:szCs w:val="20"/>
          <w:color w:val="auto"/>
        </w:rPr>
      </w:pPr>
    </w:p>
    <w:p>
      <w:pPr>
        <w:jc w:val="both"/>
        <w:ind w:right="260" w:firstLine="449"/>
        <w:spacing w:after="0" w:line="263" w:lineRule="auto"/>
        <w:rPr>
          <w:sz w:val="20"/>
          <w:szCs w:val="20"/>
          <w:color w:val="auto"/>
        </w:rPr>
      </w:pPr>
      <w:r>
        <w:rPr>
          <w:rFonts w:ascii="Arial" w:cs="Arial" w:eastAsia="Arial" w:hAnsi="Arial"/>
          <w:sz w:val="18"/>
          <w:szCs w:val="18"/>
          <w:color w:val="auto"/>
        </w:rPr>
        <w:t>For the three months ended December 31, 2013 and 2012 we reported a net unrealized depreciation (appreciation) on our Credit Facility and 2025 Notes of $4.1 million and $(0.5) million, respectively. Net change in unrealized appreciation on the Credit Facility and 2025 Notes over the prior period was due to changes in the capital markets.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Increase in Net Assets Resulting from Operations</w:t>
      </w:r>
    </w:p>
    <w:p>
      <w:pPr>
        <w:spacing w:after="0" w:line="117" w:lineRule="exact"/>
        <w:rPr>
          <w:sz w:val="20"/>
          <w:szCs w:val="20"/>
          <w:color w:val="auto"/>
        </w:rPr>
      </w:pPr>
    </w:p>
    <w:p>
      <w:pPr>
        <w:ind w:right="100" w:firstLine="449"/>
        <w:spacing w:after="0" w:line="286" w:lineRule="auto"/>
        <w:rPr>
          <w:sz w:val="20"/>
          <w:szCs w:val="20"/>
          <w:color w:val="auto"/>
        </w:rPr>
      </w:pPr>
      <w:r>
        <w:rPr>
          <w:rFonts w:ascii="Arial" w:cs="Arial" w:eastAsia="Arial" w:hAnsi="Arial"/>
          <w:sz w:val="17"/>
          <w:szCs w:val="17"/>
          <w:color w:val="auto"/>
        </w:rPr>
        <w:t>Net increase in net assets resulting from operations totaled $39.5 million, or $0.59 per share, for the three months ended December 31, 2013. This compares to a net increase in net assets resulting from operations of $28.5 million, or $0.44 per share, for the three months ended December 31, 2012. The increase compared to the prior period was due to the continued growth of our portfolio and appreciation of our investments.</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ind w:right="60" w:firstLine="449"/>
        <w:spacing w:after="0" w:line="259" w:lineRule="auto"/>
        <w:rPr>
          <w:sz w:val="20"/>
          <w:szCs w:val="20"/>
          <w:color w:val="auto"/>
        </w:rPr>
      </w:pPr>
      <w:r>
        <w:rPr>
          <w:rFonts w:ascii="Arial" w:cs="Arial" w:eastAsia="Arial" w:hAnsi="Arial"/>
          <w:sz w:val="18"/>
          <w:szCs w:val="18"/>
          <w:color w:val="auto"/>
        </w:rPr>
        <w:t>Our liquidity and capital resources are derived primarily from proceeds of securities offerings, debt and cash flows from operations, including investment sales and repayments, and income earned. Our primary use of funds from operations includes investments in portfolio companies and payments of fees and other operating expenses we incur. We have used, and expect to continue to use, our debt and proceeds from the rotation of our portfolio and proceeds from public and private offerings of securities to finance our investment objectives.</w:t>
      </w:r>
    </w:p>
    <w:p>
      <w:pPr>
        <w:spacing w:after="0" w:line="187" w:lineRule="exact"/>
        <w:rPr>
          <w:sz w:val="20"/>
          <w:szCs w:val="20"/>
          <w:color w:val="auto"/>
        </w:rPr>
      </w:pPr>
    </w:p>
    <w:p>
      <w:pPr>
        <w:ind w:right="20" w:firstLine="449"/>
        <w:spacing w:after="0" w:line="269" w:lineRule="auto"/>
        <w:rPr>
          <w:sz w:val="20"/>
          <w:szCs w:val="20"/>
          <w:color w:val="auto"/>
        </w:rPr>
      </w:pPr>
      <w:r>
        <w:rPr>
          <w:rFonts w:ascii="Arial" w:cs="Arial" w:eastAsia="Arial" w:hAnsi="Arial"/>
          <w:sz w:val="17"/>
          <w:szCs w:val="17"/>
          <w:color w:val="auto"/>
        </w:rPr>
        <w:t>We have a $430.0 million multi-currency Credit Facility with certain lenders and SunTrust Bank, acting as administrative agent, and JPMorgan Chase Bank, N.A., acting as syndication agent for the lenders. As of December 31, 2013 and September 30, 2013, there was $240.0 million (including a temporary draw of $12.0 million) and $145.5 million (including a temporary draw of $28.0 million), respectively, in outstanding borrowings under the Credit Facility, with a weighted average interest rate at the time of 3.04% and 3.33%, respectively, exclusive of the fee on undrawn commitments of 0.50%. Our annualized weighted average cost of debt for the three months ended December 31, 2013 and 2012, inclusive of the fee on the undrawn commitment on the Credit Facility and upfront fees on SBA debentures, was 4.20% and 3.93%, respectively. The Credit Facility is a four-year revolving facility with a stated maturity date of February 2016, and a one-year term-out period following its third year. Borrowings under the Credit Facility bear interest at 275 basis points over LIBOR. As of December 31, 2013 and September 30, 2013, we had $190.0 million and $284.5 million of unused borrowing capacity, respectively, subject to the regulatory restrictions that the 1940 Act imposes on us as a BDC. The Credit Facility is secured by substantially all of our assets excluding assets held by our SBIC Funds.</w:t>
      </w:r>
    </w:p>
    <w:p>
      <w:pPr>
        <w:spacing w:after="0" w:line="18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Credit Facility contains customary affirmative and restrictive covenants, including maintenance of a minimum stockholders’ equity of the sum of</w:t>
      </w:r>
    </w:p>
    <w:p>
      <w:pPr>
        <w:spacing w:after="0" w:line="46" w:lineRule="exact"/>
        <w:rPr>
          <w:sz w:val="20"/>
          <w:szCs w:val="20"/>
          <w:color w:val="auto"/>
        </w:rPr>
      </w:pPr>
    </w:p>
    <w:p>
      <w:pPr>
        <w:ind w:left="260" w:hanging="252"/>
        <w:spacing w:after="0"/>
        <w:tabs>
          <w:tab w:leader="none" w:pos="260" w:val="left"/>
        </w:tabs>
        <w:numPr>
          <w:ilvl w:val="0"/>
          <w:numId w:val="14"/>
        </w:numPr>
        <w:rPr>
          <w:rFonts w:ascii="Arial" w:cs="Arial" w:eastAsia="Arial" w:hAnsi="Arial"/>
          <w:sz w:val="16"/>
          <w:szCs w:val="16"/>
          <w:color w:val="auto"/>
        </w:rPr>
      </w:pPr>
      <w:r>
        <w:rPr>
          <w:rFonts w:ascii="Arial" w:cs="Arial" w:eastAsia="Arial" w:hAnsi="Arial"/>
          <w:sz w:val="16"/>
          <w:szCs w:val="16"/>
          <w:color w:val="auto"/>
        </w:rPr>
        <w:t>$220.0 million plus (b) 25% of the net proceeds from the sale of equity interests in us and our subsidiaries after the closing date of the Credit Facility</w:t>
      </w:r>
    </w:p>
    <w:p>
      <w:pPr>
        <w:spacing w:after="0" w:line="32" w:lineRule="exact"/>
        <w:rPr>
          <w:rFonts w:ascii="Arial" w:cs="Arial" w:eastAsia="Arial" w:hAnsi="Arial"/>
          <w:sz w:val="16"/>
          <w:szCs w:val="16"/>
          <w:color w:val="auto"/>
        </w:rPr>
      </w:pPr>
    </w:p>
    <w:p>
      <w:pPr>
        <w:ind w:right="20"/>
        <w:spacing w:after="0" w:line="252" w:lineRule="auto"/>
        <w:rPr>
          <w:rFonts w:ascii="Arial" w:cs="Arial" w:eastAsia="Arial" w:hAnsi="Arial"/>
          <w:sz w:val="16"/>
          <w:szCs w:val="16"/>
          <w:color w:val="auto"/>
        </w:rPr>
      </w:pPr>
      <w:r>
        <w:rPr>
          <w:rFonts w:ascii="Arial" w:cs="Arial" w:eastAsia="Arial" w:hAnsi="Arial"/>
          <w:sz w:val="18"/>
          <w:szCs w:val="18"/>
          <w:color w:val="auto"/>
        </w:rPr>
        <w:t>and maintenance of a ratio of total assets (less total liabilities other than indebtedness) to total indebtedness of not less than 2:1 (before any exemptive relief granted by the SEC with respect to the indebtedness of our SBIC subsidiaries). In addition to the asset coverage ratio described in the preceding sentence, borrowings under our Credit Facility (and the incurrence of certain other permitted debt) are subject to compliance with a borrowing base that applies different advance rates to different types of assets in the Company’s portfolio. For a complete list of covenants contained in the Credit Facility, see our Form 8-K filed on February 22, 2012 and the Credit Facility agreement filed as an exhibit to our Form 10-Q filed on May 2, 2012. As of December 31, 2013, we were in compliance with the terms of our Credit Facility.</w:t>
      </w:r>
    </w:p>
    <w:p>
      <w:pPr>
        <w:spacing w:after="0" w:line="194" w:lineRule="exact"/>
        <w:rPr>
          <w:sz w:val="20"/>
          <w:szCs w:val="20"/>
          <w:color w:val="auto"/>
        </w:rPr>
      </w:pPr>
    </w:p>
    <w:p>
      <w:pPr>
        <w:ind w:right="180" w:firstLine="449"/>
        <w:spacing w:after="0" w:line="273" w:lineRule="auto"/>
        <w:rPr>
          <w:sz w:val="20"/>
          <w:szCs w:val="20"/>
          <w:color w:val="auto"/>
        </w:rPr>
      </w:pPr>
      <w:r>
        <w:rPr>
          <w:rFonts w:ascii="Arial" w:cs="Arial" w:eastAsia="Arial" w:hAnsi="Arial"/>
          <w:sz w:val="17"/>
          <w:szCs w:val="17"/>
          <w:color w:val="auto"/>
        </w:rPr>
        <w:t>In January 2013, we issued $71.3 million in aggregate principal amount of 2025 Notes, after exercise of the over-allotment option, for net proceeds of $68.8 million after underwriting discounts and offering costs. Interest on the 2025 Notes is paid quarterly on February 1, May 1, August 1 and November 1, at a rate of 6.25% per year. The 2025 Notes mature on February 1, 2025. We may redeem the 2025 Notes in whole or in part at any time or from time to time on or after February 1, 2016. The 2025 Notes are general, unsecured obligations and rank equal in right of payment with all of our existing and future senior unsecured indebtedness. The 2025 Notes are structurally subordinated to our SBA debentures and the assets pledged or secured under our Credit Facility. Our 2025 Notes trade on the NYSE under the symbol “PNTA.”</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240"/>
          </w:cols>
          <w:pgMar w:left="320" w:top="459" w:right="33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20" w:firstLine="449"/>
        <w:spacing w:after="0" w:line="289" w:lineRule="auto"/>
        <w:rPr>
          <w:sz w:val="20"/>
          <w:szCs w:val="20"/>
          <w:color w:val="auto"/>
        </w:rPr>
      </w:pPr>
      <w:r>
        <w:rPr>
          <w:rFonts w:ascii="Arial" w:cs="Arial" w:eastAsia="Arial" w:hAnsi="Arial"/>
          <w:sz w:val="16"/>
          <w:szCs w:val="16"/>
          <w:color w:val="auto"/>
        </w:rPr>
        <w:t>We may raise additional equity or debt through both registered offerings off our shelf registration statement and private offerings of securities, by securitizing a portion of our investments or borrowing from the SBA, among other sources. Any future additional debt we incur, to the extent it is available, may be issued at a higher cost and on less favorable terms and conditions than our current Credit Facility or 2025 Notes. Furthermore, our Credit Facility availability depends on various covenants and restrictions. The primary use of existing funds and any funds raised in the future is expected to be for repayment of indebtedness, investments in portfolio companies, cash distributions to our stockholders or for other general corporate or strategic purposes. For the three months ended December 31, 2013, we did not issue shares of common stock in connection with an equity offering. Any decision to sell shares below the then current net asset value per share of our common stock is subject to shareholder approval and a determination by our board of directors that such issuance and sale is in our and our stockholders’ best interests. Any sale or other issuance of shares of our common stock at a price below net asset value per share results in immediate dilution to our stockholders’ interests in our common stock and a reduction in our net asset value per share.</w:t>
      </w:r>
    </w:p>
    <w:p>
      <w:pPr>
        <w:spacing w:after="0" w:line="166" w:lineRule="exact"/>
        <w:rPr>
          <w:sz w:val="20"/>
          <w:szCs w:val="20"/>
          <w:color w:val="auto"/>
        </w:rPr>
      </w:pPr>
    </w:p>
    <w:p>
      <w:pPr>
        <w:ind w:right="160" w:firstLine="449"/>
        <w:spacing w:after="0" w:line="291" w:lineRule="auto"/>
        <w:rPr>
          <w:sz w:val="20"/>
          <w:szCs w:val="20"/>
          <w:color w:val="auto"/>
        </w:rPr>
      </w:pPr>
      <w:r>
        <w:rPr>
          <w:rFonts w:ascii="Arial" w:cs="Arial" w:eastAsia="Arial" w:hAnsi="Arial"/>
          <w:sz w:val="16"/>
          <w:szCs w:val="16"/>
          <w:color w:val="auto"/>
        </w:rPr>
        <w:t>Our SBIC Funds are able to borrow funds from the SBA against regulatory capital (which approximates equity capital) that is paid-in and is subject to customary regulatory requirements including an examination by the SBA. We have funded SBIC LP with $75.0 million of equity capital and had SBA debentures outstanding of $150.0 million as of September 30, 2013. We have funded SBIC II with $37.5 million of equity capital and received a commitment from the SBA to allow SBIC II to access $75.0 million in SBA debentures. SBA debentures are non-recourse to us, have a 10-year maturity, and may be prepaid at any time without penalty. The interest rate of SBA debentures is fixed at the time of issuance, often referred to as pooling, at a market-driven spread over 10-year U.S. Treasury Notes. Under current SBA regulations SBIC LP may borrow to a maximum of $150.0 million, which is up to twice its potential regulatory capital, and as part of a group of SBICs under common control may borrow a maximum of $225 million.</w:t>
      </w:r>
    </w:p>
    <w:p>
      <w:pPr>
        <w:spacing w:after="0" w:line="166" w:lineRule="exact"/>
        <w:rPr>
          <w:sz w:val="20"/>
          <w:szCs w:val="20"/>
          <w:color w:val="auto"/>
        </w:rPr>
      </w:pPr>
    </w:p>
    <w:p>
      <w:pPr>
        <w:ind w:firstLine="449"/>
        <w:spacing w:after="0" w:line="301" w:lineRule="auto"/>
        <w:rPr>
          <w:sz w:val="20"/>
          <w:szCs w:val="20"/>
          <w:color w:val="auto"/>
        </w:rPr>
      </w:pPr>
      <w:r>
        <w:rPr>
          <w:rFonts w:ascii="Arial" w:cs="Arial" w:eastAsia="Arial" w:hAnsi="Arial"/>
          <w:sz w:val="16"/>
          <w:szCs w:val="16"/>
          <w:color w:val="auto"/>
        </w:rPr>
        <w:t>As of December 31, 2013 and September 30, 2013, our SBIC Funds had $225.0 million and $150 million in debt commitments, respectively, for each of which $150 million were drawn with a weighted average interest rate of 3.70%, exclusive of 3.43% in upfront fees which are amortized over the life of the loan (4.04% after upfront fees). The SBA debentures’ upfront fees of 3.43% consist of a commitment fee of 1.00% and an issuance discount of 2.43%. Both fees will be amortized over the lives of the loans. Our fixed-rate SBA debentures as of December 31, 2013 and September 30, 2013 were as follows:</w:t>
      </w:r>
    </w:p>
    <w:p>
      <w:pPr>
        <w:spacing w:after="0" w:line="163" w:lineRule="exact"/>
        <w:rPr>
          <w:sz w:val="20"/>
          <w:szCs w:val="20"/>
          <w:color w:val="auto"/>
        </w:rPr>
      </w:pPr>
    </w:p>
    <w:tbl>
      <w:tblPr>
        <w:tblLayout w:type="fixed"/>
        <w:tblInd w:w="1820" w:type="dxa"/>
        <w:tblCellMar>
          <w:top w:w="0" w:type="dxa"/>
          <w:left w:w="0" w:type="dxa"/>
          <w:bottom w:w="0" w:type="dxa"/>
          <w:right w:w="0" w:type="dxa"/>
        </w:tblCellMar>
      </w:tblPr>
      <w:tr>
        <w:trPr>
          <w:trHeight w:val="161"/>
        </w:trPr>
        <w:tc>
          <w:tcPr>
            <w:tcW w:w="9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8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2"/>
              </w:rPr>
              <w:t>Fixed</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9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8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rPr>
              <w:t>All-in</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Principal</w:t>
            </w:r>
          </w:p>
        </w:tc>
        <w:tc>
          <w:tcPr>
            <w:tcW w:w="0" w:type="dxa"/>
            <w:vAlign w:val="bottom"/>
          </w:tcPr>
          <w:p>
            <w:pPr>
              <w:spacing w:after="0"/>
              <w:rPr>
                <w:sz w:val="1"/>
                <w:szCs w:val="1"/>
                <w:color w:val="auto"/>
              </w:rPr>
            </w:pPr>
          </w:p>
        </w:tc>
      </w:tr>
      <w:tr>
        <w:trPr>
          <w:trHeight w:val="148"/>
        </w:trPr>
        <w:tc>
          <w:tcPr>
            <w:tcW w:w="900" w:type="dxa"/>
            <w:vAlign w:val="bottom"/>
            <w:vMerge w:val="restart"/>
          </w:tcPr>
          <w:p>
            <w:pPr>
              <w:spacing w:after="0"/>
              <w:rPr>
                <w:sz w:val="20"/>
                <w:szCs w:val="20"/>
                <w:color w:val="auto"/>
              </w:rPr>
            </w:pPr>
            <w:r>
              <w:rPr>
                <w:rFonts w:ascii="Arial" w:cs="Arial" w:eastAsia="Arial" w:hAnsi="Arial"/>
                <w:sz w:val="14"/>
                <w:szCs w:val="14"/>
                <w:b w:val="1"/>
                <w:bCs w:val="1"/>
                <w:color w:val="auto"/>
                <w:w w:val="86"/>
              </w:rPr>
              <w:t>Issuance Dates</w:t>
            </w:r>
          </w:p>
        </w:tc>
        <w:tc>
          <w:tcPr>
            <w:tcW w:w="2120" w:type="dxa"/>
            <w:vAlign w:val="bottom"/>
            <w:gridSpan w:val="2"/>
            <w:vMerge w:val="restart"/>
          </w:tcPr>
          <w:p>
            <w:pPr>
              <w:spacing w:after="0"/>
              <w:rPr>
                <w:sz w:val="12"/>
                <w:szCs w:val="12"/>
                <w:color w:val="auto"/>
              </w:rPr>
            </w:pPr>
          </w:p>
        </w:tc>
        <w:tc>
          <w:tcPr>
            <w:tcW w:w="820" w:type="dxa"/>
            <w:vAlign w:val="bottom"/>
          </w:tcPr>
          <w:p>
            <w:pPr>
              <w:spacing w:after="0"/>
              <w:rPr>
                <w:sz w:val="12"/>
                <w:szCs w:val="12"/>
                <w:color w:val="auto"/>
              </w:rPr>
            </w:pPr>
          </w:p>
        </w:tc>
        <w:tc>
          <w:tcPr>
            <w:tcW w:w="1360" w:type="dxa"/>
            <w:vAlign w:val="bottom"/>
            <w:vMerge w:val="restart"/>
          </w:tcPr>
          <w:p>
            <w:pPr>
              <w:ind w:left="380"/>
              <w:spacing w:after="0"/>
              <w:rPr>
                <w:sz w:val="20"/>
                <w:szCs w:val="20"/>
                <w:color w:val="auto"/>
              </w:rPr>
            </w:pPr>
            <w:r>
              <w:rPr>
                <w:rFonts w:ascii="Arial" w:cs="Arial" w:eastAsia="Arial" w:hAnsi="Arial"/>
                <w:sz w:val="14"/>
                <w:szCs w:val="14"/>
                <w:b w:val="1"/>
                <w:bCs w:val="1"/>
                <w:color w:val="auto"/>
              </w:rPr>
              <w:t>Maturity</w:t>
            </w:r>
          </w:p>
        </w:tc>
        <w:tc>
          <w:tcPr>
            <w:tcW w:w="112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86"/>
              </w:rPr>
              <w:t>coupon</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900" w:type="dxa"/>
            <w:vAlign w:val="bottom"/>
            <w:tcBorders>
              <w:bottom w:val="single" w:sz="8" w:color="auto"/>
            </w:tcBorders>
            <w:vMerge w:val="continue"/>
          </w:tcPr>
          <w:p>
            <w:pPr>
              <w:spacing w:after="0"/>
              <w:rPr>
                <w:sz w:val="14"/>
                <w:szCs w:val="14"/>
                <w:color w:val="auto"/>
              </w:rPr>
            </w:pPr>
          </w:p>
        </w:tc>
        <w:tc>
          <w:tcPr>
            <w:tcW w:w="2120" w:type="dxa"/>
            <w:vAlign w:val="bottom"/>
            <w:tcBorders>
              <w:bottom w:val="single" w:sz="8" w:color="CCEEFF"/>
            </w:tcBorders>
            <w:gridSpan w:val="2"/>
            <w:vMerge w:val="continue"/>
          </w:tcPr>
          <w:p>
            <w:pPr>
              <w:spacing w:after="0"/>
              <w:rPr>
                <w:sz w:val="14"/>
                <w:szCs w:val="14"/>
                <w:color w:val="auto"/>
              </w:rPr>
            </w:pPr>
          </w:p>
        </w:tc>
        <w:tc>
          <w:tcPr>
            <w:tcW w:w="820" w:type="dxa"/>
            <w:vAlign w:val="bottom"/>
            <w:tcBorders>
              <w:bottom w:val="single" w:sz="8" w:color="CCEEFF"/>
            </w:tcBorders>
          </w:tcPr>
          <w:p>
            <w:pPr>
              <w:spacing w:after="0"/>
              <w:rPr>
                <w:sz w:val="14"/>
                <w:szCs w:val="14"/>
                <w:color w:val="auto"/>
              </w:rPr>
            </w:pPr>
          </w:p>
        </w:tc>
        <w:tc>
          <w:tcPr>
            <w:tcW w:w="1360" w:type="dxa"/>
            <w:vAlign w:val="bottom"/>
            <w:tcBorders>
              <w:bottom w:val="single" w:sz="8" w:color="auto"/>
            </w:tcBorders>
            <w:vMerge w:val="continue"/>
          </w:tcPr>
          <w:p>
            <w:pPr>
              <w:spacing w:after="0"/>
              <w:rPr>
                <w:sz w:val="14"/>
                <w:szCs w:val="14"/>
                <w:color w:val="auto"/>
              </w:rPr>
            </w:pPr>
          </w:p>
        </w:tc>
        <w:tc>
          <w:tcPr>
            <w:tcW w:w="340" w:type="dxa"/>
            <w:vAlign w:val="bottom"/>
            <w:tcBorders>
              <w:bottom w:val="single" w:sz="8" w:color="CCEEFF"/>
            </w:tcBorders>
          </w:tcPr>
          <w:p>
            <w:pPr>
              <w:spacing w:after="0"/>
              <w:rPr>
                <w:sz w:val="14"/>
                <w:szCs w:val="14"/>
                <w:color w:val="auto"/>
              </w:rPr>
            </w:pPr>
          </w:p>
        </w:tc>
        <w:tc>
          <w:tcPr>
            <w:tcW w:w="4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 xml:space="preserve">rate </w:t>
            </w:r>
            <w:r>
              <w:rPr>
                <w:rFonts w:ascii="Arial" w:cs="Arial" w:eastAsia="Arial" w:hAnsi="Arial"/>
                <w:sz w:val="12"/>
                <w:szCs w:val="12"/>
                <w:b w:val="1"/>
                <w:bCs w:val="1"/>
                <w:color w:val="auto"/>
                <w:w w:val="94"/>
              </w:rPr>
              <w:t>(1)</w:t>
            </w:r>
          </w:p>
        </w:tc>
        <w:tc>
          <w:tcPr>
            <w:tcW w:w="320" w:type="dxa"/>
            <w:vAlign w:val="bottom"/>
            <w:tcBorders>
              <w:bottom w:val="single" w:sz="8" w:color="CCEEFF"/>
            </w:tcBorders>
          </w:tcPr>
          <w:p>
            <w:pPr>
              <w:spacing w:after="0"/>
              <w:rPr>
                <w:sz w:val="14"/>
                <w:szCs w:val="14"/>
                <w:color w:val="auto"/>
              </w:rPr>
            </w:pPr>
          </w:p>
        </w:tc>
        <w:tc>
          <w:tcPr>
            <w:tcW w:w="22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176"/>
              <w:spacing w:after="0"/>
              <w:rPr>
                <w:sz w:val="20"/>
                <w:szCs w:val="20"/>
                <w:color w:val="auto"/>
              </w:rPr>
            </w:pPr>
            <w:r>
              <w:rPr>
                <w:rFonts w:ascii="Arial" w:cs="Arial" w:eastAsia="Arial" w:hAnsi="Arial"/>
                <w:sz w:val="14"/>
                <w:szCs w:val="14"/>
                <w:b w:val="1"/>
                <w:bCs w:val="1"/>
                <w:color w:val="auto"/>
              </w:rPr>
              <w:t>Balance</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30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September 22, 2010</w:t>
            </w:r>
          </w:p>
        </w:tc>
        <w:tc>
          <w:tcPr>
            <w:tcW w:w="8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20"/>
                <w:szCs w:val="20"/>
                <w:color w:val="auto"/>
              </w:rPr>
            </w:pPr>
            <w:r>
              <w:rPr>
                <w:rFonts w:ascii="Arial" w:cs="Arial" w:eastAsia="Arial" w:hAnsi="Arial"/>
                <w:sz w:val="18"/>
                <w:szCs w:val="18"/>
                <w:color w:val="auto"/>
                <w:w w:val="87"/>
              </w:rPr>
              <w:t>September 1, 2020</w:t>
            </w:r>
          </w:p>
        </w:tc>
        <w:tc>
          <w:tcPr>
            <w:tcW w:w="3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3.50%</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20" w:type="dxa"/>
            <w:vAlign w:val="bottom"/>
            <w:gridSpan w:val="3"/>
          </w:tcPr>
          <w:p>
            <w:pPr>
              <w:spacing w:after="0"/>
              <w:rPr>
                <w:sz w:val="20"/>
                <w:szCs w:val="20"/>
                <w:color w:val="auto"/>
              </w:rPr>
            </w:pPr>
            <w:r>
              <w:rPr>
                <w:rFonts w:ascii="Arial" w:cs="Arial" w:eastAsia="Arial" w:hAnsi="Arial"/>
                <w:sz w:val="18"/>
                <w:szCs w:val="18"/>
                <w:color w:val="auto"/>
              </w:rPr>
              <w:t>March 29, 2011</w:t>
            </w:r>
          </w:p>
        </w:tc>
        <w:tc>
          <w:tcPr>
            <w:tcW w:w="2180" w:type="dxa"/>
            <w:vAlign w:val="bottom"/>
            <w:gridSpan w:val="2"/>
          </w:tcPr>
          <w:p>
            <w:pPr>
              <w:ind w:left="800"/>
              <w:spacing w:after="0"/>
              <w:rPr>
                <w:sz w:val="20"/>
                <w:szCs w:val="20"/>
                <w:color w:val="auto"/>
              </w:rPr>
            </w:pPr>
            <w:r>
              <w:rPr>
                <w:rFonts w:ascii="Arial" w:cs="Arial" w:eastAsia="Arial" w:hAnsi="Arial"/>
                <w:sz w:val="18"/>
                <w:szCs w:val="18"/>
                <w:color w:val="auto"/>
              </w:rPr>
              <w:t>March 1, 2021</w:t>
            </w:r>
          </w:p>
        </w:tc>
        <w:tc>
          <w:tcPr>
            <w:tcW w:w="800" w:type="dxa"/>
            <w:vAlign w:val="bottom"/>
            <w:gridSpan w:val="2"/>
          </w:tcPr>
          <w:p>
            <w:pPr>
              <w:ind w:left="460"/>
              <w:spacing w:after="0"/>
              <w:rPr>
                <w:sz w:val="20"/>
                <w:szCs w:val="20"/>
                <w:color w:val="auto"/>
              </w:rPr>
            </w:pPr>
            <w:r>
              <w:rPr>
                <w:rFonts w:ascii="Arial" w:cs="Arial" w:eastAsia="Arial" w:hAnsi="Arial"/>
                <w:sz w:val="18"/>
                <w:szCs w:val="18"/>
                <w:color w:val="auto"/>
                <w:w w:val="91"/>
              </w:rPr>
              <w:t>4.46</w:t>
            </w: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w w:val="97"/>
              </w:rPr>
              <w:t>44,500,000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September 21, 2011</w:t>
            </w:r>
          </w:p>
        </w:tc>
        <w:tc>
          <w:tcPr>
            <w:tcW w:w="2180" w:type="dxa"/>
            <w:vAlign w:val="bottom"/>
            <w:gridSpan w:val="2"/>
            <w:shd w:val="clear" w:color="auto" w:fill="CCEEFF"/>
          </w:tcPr>
          <w:p>
            <w:pPr>
              <w:ind w:left="800"/>
              <w:spacing w:after="0"/>
              <w:rPr>
                <w:sz w:val="20"/>
                <w:szCs w:val="20"/>
                <w:color w:val="auto"/>
              </w:rPr>
            </w:pPr>
            <w:r>
              <w:rPr>
                <w:rFonts w:ascii="Arial" w:cs="Arial" w:eastAsia="Arial" w:hAnsi="Arial"/>
                <w:sz w:val="18"/>
                <w:szCs w:val="18"/>
                <w:color w:val="auto"/>
                <w:w w:val="88"/>
              </w:rPr>
              <w:t>September 1, 2021</w:t>
            </w:r>
          </w:p>
        </w:tc>
        <w:tc>
          <w:tcPr>
            <w:tcW w:w="340" w:type="dxa"/>
            <w:vAlign w:val="bottom"/>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w w:val="91"/>
              </w:rPr>
              <w:t>3.38</w:t>
            </w:r>
          </w:p>
        </w:tc>
        <w:tc>
          <w:tcPr>
            <w:tcW w:w="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105,000,000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020" w:type="dxa"/>
            <w:vAlign w:val="bottom"/>
            <w:gridSpan w:val="3"/>
          </w:tcPr>
          <w:p>
            <w:pPr>
              <w:spacing w:after="0"/>
              <w:rPr>
                <w:sz w:val="20"/>
                <w:szCs w:val="20"/>
                <w:color w:val="auto"/>
              </w:rPr>
            </w:pPr>
            <w:r>
              <w:rPr>
                <w:rFonts w:ascii="Arial" w:cs="Arial" w:eastAsia="Arial" w:hAnsi="Arial"/>
                <w:sz w:val="18"/>
                <w:szCs w:val="18"/>
                <w:color w:val="auto"/>
              </w:rPr>
              <w:t>Weighted Average Rate / Total</w:t>
            </w:r>
          </w:p>
        </w:tc>
        <w:tc>
          <w:tcPr>
            <w:tcW w:w="8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80" w:type="dxa"/>
            <w:vAlign w:val="bottom"/>
            <w:gridSpan w:val="2"/>
          </w:tcPr>
          <w:p>
            <w:pPr>
              <w:ind w:left="120"/>
              <w:spacing w:after="0"/>
              <w:rPr>
                <w:sz w:val="20"/>
                <w:szCs w:val="20"/>
                <w:color w:val="auto"/>
              </w:rPr>
            </w:pPr>
            <w:r>
              <w:rPr>
                <w:rFonts w:ascii="Arial" w:cs="Arial" w:eastAsia="Arial" w:hAnsi="Arial"/>
                <w:sz w:val="18"/>
                <w:szCs w:val="18"/>
                <w:color w:val="auto"/>
              </w:rPr>
              <w:t>3.70%</w:t>
            </w:r>
          </w:p>
        </w:tc>
        <w:tc>
          <w:tcPr>
            <w:tcW w:w="22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900" w:type="dxa"/>
            <w:vAlign w:val="bottom"/>
          </w:tcPr>
          <w:p>
            <w:pPr>
              <w:jc w:val="right"/>
              <w:spacing w:after="0"/>
              <w:rPr>
                <w:sz w:val="20"/>
                <w:szCs w:val="20"/>
                <w:color w:val="auto"/>
              </w:rPr>
            </w:pPr>
            <w:r>
              <w:rPr>
                <w:rFonts w:ascii="Arial" w:cs="Arial" w:eastAsia="Arial" w:hAnsi="Arial"/>
                <w:sz w:val="18"/>
                <w:szCs w:val="18"/>
                <w:color w:val="auto"/>
                <w:w w:val="87"/>
              </w:rPr>
              <w:t>150,000,000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9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
        </w:trPr>
        <w:tc>
          <w:tcPr>
            <w:tcW w:w="90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2060" w:type="dxa"/>
            <w:vAlign w:val="bottom"/>
          </w:tcPr>
          <w:p>
            <w:pPr>
              <w:spacing w:after="0"/>
              <w:rPr>
                <w:sz w:val="4"/>
                <w:szCs w:val="4"/>
                <w:color w:val="auto"/>
              </w:rPr>
            </w:pPr>
          </w:p>
        </w:tc>
        <w:tc>
          <w:tcPr>
            <w:tcW w:w="820" w:type="dxa"/>
            <w:vAlign w:val="bottom"/>
          </w:tcPr>
          <w:p>
            <w:pPr>
              <w:spacing w:after="0"/>
              <w:rPr>
                <w:sz w:val="4"/>
                <w:szCs w:val="4"/>
                <w:color w:val="auto"/>
              </w:rPr>
            </w:pPr>
          </w:p>
        </w:tc>
        <w:tc>
          <w:tcPr>
            <w:tcW w:w="1360" w:type="dxa"/>
            <w:vAlign w:val="bottom"/>
          </w:tcPr>
          <w:p>
            <w:pPr>
              <w:spacing w:after="0"/>
              <w:rPr>
                <w:sz w:val="4"/>
                <w:szCs w:val="4"/>
                <w:color w:val="auto"/>
              </w:rPr>
            </w:pPr>
          </w:p>
        </w:tc>
        <w:tc>
          <w:tcPr>
            <w:tcW w:w="340" w:type="dxa"/>
            <w:vAlign w:val="bottom"/>
          </w:tcPr>
          <w:p>
            <w:pPr>
              <w:spacing w:after="0"/>
              <w:rPr>
                <w:sz w:val="4"/>
                <w:szCs w:val="4"/>
                <w:color w:val="auto"/>
              </w:rPr>
            </w:pPr>
          </w:p>
        </w:tc>
        <w:tc>
          <w:tcPr>
            <w:tcW w:w="460" w:type="dxa"/>
            <w:vAlign w:val="bottom"/>
          </w:tcPr>
          <w:p>
            <w:pPr>
              <w:spacing w:after="0"/>
              <w:rPr>
                <w:sz w:val="4"/>
                <w:szCs w:val="4"/>
                <w:color w:val="auto"/>
              </w:rPr>
            </w:pPr>
          </w:p>
        </w:tc>
        <w:tc>
          <w:tcPr>
            <w:tcW w:w="320" w:type="dxa"/>
            <w:vAlign w:val="bottom"/>
          </w:tcPr>
          <w:p>
            <w:pPr>
              <w:spacing w:after="0"/>
              <w:rPr>
                <w:sz w:val="4"/>
                <w:szCs w:val="4"/>
                <w:color w:val="auto"/>
              </w:rPr>
            </w:pPr>
          </w:p>
        </w:tc>
        <w:tc>
          <w:tcPr>
            <w:tcW w:w="220" w:type="dxa"/>
            <w:vAlign w:val="bottom"/>
          </w:tcPr>
          <w:p>
            <w:pPr>
              <w:spacing w:after="0"/>
              <w:rPr>
                <w:sz w:val="4"/>
                <w:szCs w:val="4"/>
                <w:color w:val="auto"/>
              </w:rPr>
            </w:pPr>
          </w:p>
        </w:tc>
        <w:tc>
          <w:tcPr>
            <w:tcW w:w="80" w:type="dxa"/>
            <w:vAlign w:val="bottom"/>
          </w:tcPr>
          <w:p>
            <w:pPr>
              <w:spacing w:after="0"/>
              <w:rPr>
                <w:sz w:val="4"/>
                <w:szCs w:val="4"/>
                <w:color w:val="auto"/>
              </w:rPr>
            </w:pPr>
          </w:p>
        </w:tc>
        <w:tc>
          <w:tcPr>
            <w:tcW w:w="90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bl>
    <w:p>
      <w:pPr>
        <w:spacing w:after="0" w:line="22" w:lineRule="exact"/>
        <w:rPr>
          <w:sz w:val="20"/>
          <w:szCs w:val="20"/>
          <w:color w:val="auto"/>
        </w:rPr>
      </w:pPr>
    </w:p>
    <w:p>
      <w:pPr>
        <w:ind w:left="1820"/>
        <w:spacing w:after="0"/>
        <w:rPr>
          <w:sz w:val="20"/>
          <w:szCs w:val="20"/>
          <w:color w:val="auto"/>
        </w:rPr>
      </w:pPr>
      <w:r>
        <w:rPr>
          <w:rFonts w:ascii="Arial" w:cs="Arial" w:eastAsia="Arial" w:hAnsi="Arial"/>
          <w:sz w:val="14"/>
          <w:szCs w:val="14"/>
          <w:color w:val="auto"/>
        </w:rPr>
        <w:t>(2) All-in rate is 4.04% after 3.43% of upfront fees.</w:t>
      </w:r>
    </w:p>
    <w:p>
      <w:pPr>
        <w:spacing w:after="0" w:line="221" w:lineRule="exact"/>
        <w:rPr>
          <w:sz w:val="20"/>
          <w:szCs w:val="20"/>
          <w:color w:val="auto"/>
        </w:rPr>
      </w:pPr>
    </w:p>
    <w:p>
      <w:pPr>
        <w:ind w:right="40" w:firstLine="449"/>
        <w:spacing w:after="0" w:line="293" w:lineRule="auto"/>
        <w:rPr>
          <w:sz w:val="20"/>
          <w:szCs w:val="20"/>
          <w:color w:val="auto"/>
        </w:rPr>
      </w:pPr>
      <w:r>
        <w:rPr>
          <w:rFonts w:ascii="Arial" w:cs="Arial" w:eastAsia="Arial" w:hAnsi="Arial"/>
          <w:sz w:val="16"/>
          <w:szCs w:val="16"/>
          <w:color w:val="auto"/>
        </w:rPr>
        <w:t>The SBIC program is designed to stimulate the flow of capital into eligible businesses. Under SBA regulations, our SBIC Funds are subject to regulatory requirements, including making investments in SBA eligible businesses, investing at least 25% of regulatory capital in eligible smaller businesses, as defined under the 1958 Act, placing certain limitations on the financing terms of investments, prohibiting investment in certain industries and requiring capitalization thresholds that limit distributions to us, and are subject to periodic audits and examinations of their financial statements that are prepared on a basis of accounting other than GAAP (for example, fair value, as defined under ASC 820, is not required to be used for assets or liabilities for such compliance reporting). As of December 31, 2013, our SBIC Funds were in compliance with their regulatory requirements.</w:t>
      </w:r>
    </w:p>
    <w:p>
      <w:pPr>
        <w:spacing w:after="0" w:line="164" w:lineRule="exact"/>
        <w:rPr>
          <w:sz w:val="20"/>
          <w:szCs w:val="20"/>
          <w:color w:val="auto"/>
        </w:rPr>
      </w:pPr>
    </w:p>
    <w:p>
      <w:pPr>
        <w:ind w:right="40" w:firstLine="449"/>
        <w:spacing w:after="0" w:line="296" w:lineRule="auto"/>
        <w:rPr>
          <w:sz w:val="20"/>
          <w:szCs w:val="20"/>
          <w:color w:val="auto"/>
        </w:rPr>
      </w:pPr>
      <w:r>
        <w:rPr>
          <w:rFonts w:ascii="Arial" w:cs="Arial" w:eastAsia="Arial" w:hAnsi="Arial"/>
          <w:sz w:val="16"/>
          <w:szCs w:val="16"/>
          <w:color w:val="auto"/>
        </w:rPr>
        <w:t>In accordance with the 1940 Act, with certain limited exceptions, PennantPark Investment is only allowed to borrow amounts such that our asset coverage ratio is met after such borrowing. As of December 31, 2013 and September 30, 2013, we excluded the principal amounts of our SBA debentures from our asset coverage ratio pursuant to SEC exemptive relief. In June 2011, we received exemptive relief from the SEC allowing us to modify the asset coverage ratio requirement to exclude the SBA debentures from the calculation. Accordingly, our ratio of total assets on a consolidated basis to outstanding indebtedness may be less than 200% which, while providing increased investment flexibility, also increases our exposure to risks associated with leverage.</w:t>
      </w:r>
    </w:p>
    <w:p>
      <w:pPr>
        <w:spacing w:after="0" w:line="16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At December, 31, 2013 and September 30, 2013, we had cash and cash equivalents of $30.8 million and $58.4 million, respectively.</w:t>
      </w:r>
    </w:p>
    <w:p>
      <w:pPr>
        <w:spacing w:after="0" w:line="225" w:lineRule="exact"/>
        <w:rPr>
          <w:sz w:val="20"/>
          <w:szCs w:val="20"/>
          <w:color w:val="auto"/>
        </w:rPr>
      </w:pPr>
    </w:p>
    <w:p>
      <w:pPr>
        <w:ind w:right="100" w:firstLine="449"/>
        <w:spacing w:after="0" w:line="308" w:lineRule="auto"/>
        <w:rPr>
          <w:sz w:val="20"/>
          <w:szCs w:val="20"/>
          <w:color w:val="auto"/>
        </w:rPr>
      </w:pPr>
      <w:r>
        <w:rPr>
          <w:rFonts w:ascii="Arial" w:cs="Arial" w:eastAsia="Arial" w:hAnsi="Arial"/>
          <w:sz w:val="17"/>
          <w:szCs w:val="17"/>
          <w:color w:val="auto"/>
        </w:rPr>
        <w:t>Our operating activities used cash of $104.1 million for the three months ended December 31, 2013, primarily for net purchases of investments. Our financing activities provided cash of $76.4 million for the same period, primarily from net borrowings under our Credit Facility.</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240"/>
          </w:cols>
          <w:pgMar w:left="320" w:top="459" w:right="33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200" w:firstLine="449"/>
        <w:spacing w:after="0" w:line="263" w:lineRule="auto"/>
        <w:rPr>
          <w:sz w:val="20"/>
          <w:szCs w:val="20"/>
          <w:color w:val="auto"/>
        </w:rPr>
      </w:pPr>
      <w:r>
        <w:rPr>
          <w:rFonts w:ascii="Arial" w:cs="Arial" w:eastAsia="Arial" w:hAnsi="Arial"/>
          <w:sz w:val="18"/>
          <w:szCs w:val="18"/>
          <w:color w:val="auto"/>
        </w:rPr>
        <w:t>Our operating activities used cash of $35.8 million for the three months ended December 31, 2012, primarily for net purchases of investments. Our financing activities provided cash of $59.5 million for the same period, primarily from net borrowings under our Credit Facility and proceeds from our capital stock offering.</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Contractual Obligations</w:t>
      </w:r>
    </w:p>
    <w:p>
      <w:pPr>
        <w:spacing w:after="0" w:line="117" w:lineRule="exact"/>
        <w:rPr>
          <w:sz w:val="20"/>
          <w:szCs w:val="20"/>
          <w:color w:val="auto"/>
        </w:rPr>
      </w:pPr>
    </w:p>
    <w:p>
      <w:pPr>
        <w:ind w:right="180" w:firstLine="449"/>
        <w:spacing w:after="0" w:line="277" w:lineRule="auto"/>
        <w:rPr>
          <w:sz w:val="20"/>
          <w:szCs w:val="20"/>
          <w:color w:val="auto"/>
        </w:rPr>
      </w:pPr>
      <w:r>
        <w:rPr>
          <w:rFonts w:ascii="Arial" w:cs="Arial" w:eastAsia="Arial" w:hAnsi="Arial"/>
          <w:sz w:val="18"/>
          <w:szCs w:val="18"/>
          <w:color w:val="auto"/>
        </w:rPr>
        <w:t>A summary of our significant contractual payment obligations as of December 31, 2013, including borrowings under our various debt facilities and other contractual obligations, is as follows: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120" w:type="dxa"/>
            <w:vAlign w:val="bottom"/>
          </w:tcPr>
          <w:p>
            <w:pPr>
              <w:spacing w:after="0"/>
              <w:rPr>
                <w:sz w:val="14"/>
                <w:szCs w:val="14"/>
                <w:color w:val="auto"/>
              </w:rPr>
            </w:pPr>
          </w:p>
        </w:tc>
        <w:tc>
          <w:tcPr>
            <w:tcW w:w="4620" w:type="dxa"/>
            <w:vAlign w:val="bottom"/>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800" w:type="dxa"/>
            <w:vAlign w:val="bottom"/>
            <w:tcBorders>
              <w:bottom w:val="single" w:sz="8" w:color="auto"/>
            </w:tcBorders>
            <w:gridSpan w:val="7"/>
          </w:tcPr>
          <w:p>
            <w:pPr>
              <w:ind w:left="300"/>
              <w:spacing w:after="0"/>
              <w:rPr>
                <w:sz w:val="20"/>
                <w:szCs w:val="20"/>
                <w:color w:val="auto"/>
              </w:rPr>
            </w:pPr>
            <w:r>
              <w:rPr>
                <w:rFonts w:ascii="Arial" w:cs="Arial" w:eastAsia="Arial" w:hAnsi="Arial"/>
                <w:sz w:val="14"/>
                <w:szCs w:val="14"/>
                <w:b w:val="1"/>
                <w:bCs w:val="1"/>
                <w:color w:val="auto"/>
              </w:rPr>
              <w:t>Payments due by period (in millions)</w:t>
            </w:r>
          </w:p>
        </w:tc>
        <w:tc>
          <w:tcPr>
            <w:tcW w:w="6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1120" w:type="dxa"/>
            <w:vAlign w:val="bottom"/>
          </w:tcPr>
          <w:p>
            <w:pPr>
              <w:spacing w:after="0"/>
              <w:rPr>
                <w:sz w:val="10"/>
                <w:szCs w:val="10"/>
                <w:color w:val="auto"/>
              </w:rPr>
            </w:pPr>
          </w:p>
        </w:tc>
        <w:tc>
          <w:tcPr>
            <w:tcW w:w="4620" w:type="dxa"/>
            <w:vAlign w:val="bottom"/>
          </w:tcPr>
          <w:p>
            <w:pPr>
              <w:spacing w:after="0"/>
              <w:rPr>
                <w:sz w:val="10"/>
                <w:szCs w:val="10"/>
                <w:color w:val="auto"/>
              </w:rPr>
            </w:pPr>
          </w:p>
        </w:tc>
        <w:tc>
          <w:tcPr>
            <w:tcW w:w="52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Total</w:t>
            </w:r>
          </w:p>
        </w:tc>
        <w:tc>
          <w:tcPr>
            <w:tcW w:w="640" w:type="dxa"/>
            <w:vAlign w:val="bottom"/>
          </w:tcPr>
          <w:p>
            <w:pPr>
              <w:spacing w:after="0"/>
              <w:rPr>
                <w:sz w:val="10"/>
                <w:szCs w:val="10"/>
                <w:color w:val="auto"/>
              </w:rPr>
            </w:pPr>
          </w:p>
        </w:tc>
        <w:tc>
          <w:tcPr>
            <w:tcW w:w="940" w:type="dxa"/>
            <w:vAlign w:val="bottom"/>
            <w:gridSpan w:val="3"/>
          </w:tcPr>
          <w:p>
            <w:pPr>
              <w:spacing w:after="0" w:line="119" w:lineRule="exact"/>
              <w:rPr>
                <w:sz w:val="20"/>
                <w:szCs w:val="20"/>
                <w:color w:val="auto"/>
              </w:rPr>
            </w:pPr>
            <w:r>
              <w:rPr>
                <w:rFonts w:ascii="Arial" w:cs="Arial" w:eastAsia="Arial" w:hAnsi="Arial"/>
                <w:sz w:val="13"/>
                <w:szCs w:val="13"/>
                <w:b w:val="1"/>
                <w:bCs w:val="1"/>
                <w:color w:val="auto"/>
              </w:rPr>
              <w:t>Less than</w:t>
            </w:r>
          </w:p>
        </w:tc>
        <w:tc>
          <w:tcPr>
            <w:tcW w:w="840" w:type="dxa"/>
            <w:vAlign w:val="bottom"/>
            <w:gridSpan w:val="2"/>
          </w:tcPr>
          <w:p>
            <w:pPr>
              <w:jc w:val="right"/>
              <w:ind w:right="73"/>
              <w:spacing w:after="0" w:line="119" w:lineRule="exact"/>
              <w:rPr>
                <w:sz w:val="20"/>
                <w:szCs w:val="20"/>
                <w:color w:val="auto"/>
              </w:rPr>
            </w:pPr>
            <w:r>
              <w:rPr>
                <w:rFonts w:ascii="Arial" w:cs="Arial" w:eastAsia="Arial" w:hAnsi="Arial"/>
                <w:sz w:val="13"/>
                <w:szCs w:val="13"/>
                <w:b w:val="1"/>
                <w:bCs w:val="1"/>
                <w:color w:val="auto"/>
              </w:rPr>
              <w:t>1-3</w:t>
            </w: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40" w:type="dxa"/>
            <w:vAlign w:val="bottom"/>
          </w:tcPr>
          <w:p>
            <w:pPr>
              <w:ind w:left="20"/>
              <w:spacing w:after="0" w:line="119" w:lineRule="exact"/>
              <w:rPr>
                <w:sz w:val="20"/>
                <w:szCs w:val="20"/>
                <w:color w:val="auto"/>
              </w:rPr>
            </w:pPr>
            <w:r>
              <w:rPr>
                <w:rFonts w:ascii="Arial" w:cs="Arial" w:eastAsia="Arial" w:hAnsi="Arial"/>
                <w:sz w:val="13"/>
                <w:szCs w:val="13"/>
                <w:b w:val="1"/>
                <w:bCs w:val="1"/>
                <w:color w:val="auto"/>
              </w:rPr>
              <w:t>3-5</w:t>
            </w:r>
          </w:p>
        </w:tc>
        <w:tc>
          <w:tcPr>
            <w:tcW w:w="680" w:type="dxa"/>
            <w:vAlign w:val="bottom"/>
          </w:tcPr>
          <w:p>
            <w:pPr>
              <w:spacing w:after="0"/>
              <w:rPr>
                <w:sz w:val="10"/>
                <w:szCs w:val="10"/>
                <w:color w:val="auto"/>
              </w:rPr>
            </w:pPr>
          </w:p>
        </w:tc>
        <w:tc>
          <w:tcPr>
            <w:tcW w:w="660" w:type="dxa"/>
            <w:vAlign w:val="bottom"/>
            <w:gridSpan w:val="2"/>
          </w:tcPr>
          <w:p>
            <w:pPr>
              <w:ind w:left="20"/>
              <w:spacing w:after="0" w:line="119" w:lineRule="exact"/>
              <w:rPr>
                <w:sz w:val="20"/>
                <w:szCs w:val="20"/>
                <w:color w:val="auto"/>
              </w:rPr>
            </w:pPr>
            <w:r>
              <w:rPr>
                <w:rFonts w:ascii="Arial" w:cs="Arial" w:eastAsia="Arial" w:hAnsi="Arial"/>
                <w:sz w:val="13"/>
                <w:szCs w:val="13"/>
                <w:b w:val="1"/>
                <w:bCs w:val="1"/>
                <w:color w:val="auto"/>
                <w:w w:val="99"/>
              </w:rPr>
              <w:t>More than</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1120" w:type="dxa"/>
            <w:vAlign w:val="bottom"/>
          </w:tcPr>
          <w:p>
            <w:pPr>
              <w:spacing w:after="0"/>
              <w:rPr>
                <w:sz w:val="14"/>
                <w:szCs w:val="14"/>
                <w:color w:val="auto"/>
              </w:rPr>
            </w:pPr>
          </w:p>
        </w:tc>
        <w:tc>
          <w:tcPr>
            <w:tcW w:w="4620" w:type="dxa"/>
            <w:vAlign w:val="bottom"/>
          </w:tcPr>
          <w:p>
            <w:pPr>
              <w:spacing w:after="0"/>
              <w:rPr>
                <w:sz w:val="14"/>
                <w:szCs w:val="14"/>
                <w:color w:val="auto"/>
              </w:rPr>
            </w:pPr>
          </w:p>
        </w:tc>
        <w:tc>
          <w:tcPr>
            <w:tcW w:w="520" w:type="dxa"/>
            <w:vAlign w:val="bottom"/>
            <w:gridSpan w:val="2"/>
            <w:vMerge w:val="continue"/>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gridSpan w:val="2"/>
          </w:tcPr>
          <w:p>
            <w:pPr>
              <w:ind w:left="20"/>
              <w:spacing w:after="0"/>
              <w:rPr>
                <w:sz w:val="20"/>
                <w:szCs w:val="20"/>
                <w:color w:val="auto"/>
              </w:rPr>
            </w:pPr>
            <w:r>
              <w:rPr>
                <w:rFonts w:ascii="Arial" w:cs="Arial" w:eastAsia="Arial" w:hAnsi="Arial"/>
                <w:sz w:val="14"/>
                <w:szCs w:val="14"/>
                <w:b w:val="1"/>
                <w:bCs w:val="1"/>
                <w:color w:val="auto"/>
              </w:rPr>
              <w:t>1 year</w:t>
            </w:r>
          </w:p>
        </w:tc>
        <w:tc>
          <w:tcPr>
            <w:tcW w:w="340" w:type="dxa"/>
            <w:vAlign w:val="bottom"/>
          </w:tcPr>
          <w:p>
            <w:pPr>
              <w:spacing w:after="0"/>
              <w:rPr>
                <w:sz w:val="14"/>
                <w:szCs w:val="14"/>
                <w:color w:val="auto"/>
              </w:rPr>
            </w:pPr>
          </w:p>
        </w:tc>
        <w:tc>
          <w:tcPr>
            <w:tcW w:w="1160" w:type="dxa"/>
            <w:vAlign w:val="bottom"/>
            <w:gridSpan w:val="2"/>
          </w:tcPr>
          <w:p>
            <w:pPr>
              <w:jc w:val="right"/>
              <w:ind w:right="760"/>
              <w:spacing w:after="0"/>
              <w:rPr>
                <w:sz w:val="20"/>
                <w:szCs w:val="20"/>
                <w:color w:val="auto"/>
              </w:rPr>
            </w:pPr>
            <w:r>
              <w:rPr>
                <w:rFonts w:ascii="Arial" w:cs="Arial" w:eastAsia="Arial" w:hAnsi="Arial"/>
                <w:sz w:val="14"/>
                <w:szCs w:val="14"/>
                <w:b w:val="1"/>
                <w:bCs w:val="1"/>
                <w:color w:val="auto"/>
              </w:rPr>
              <w:t>years</w:t>
            </w:r>
          </w:p>
        </w:tc>
        <w:tc>
          <w:tcPr>
            <w:tcW w:w="460" w:type="dxa"/>
            <w:vAlign w:val="bottom"/>
            <w:gridSpan w:val="2"/>
          </w:tcPr>
          <w:p>
            <w:pPr>
              <w:ind w:left="80"/>
              <w:spacing w:after="0"/>
              <w:rPr>
                <w:sz w:val="20"/>
                <w:szCs w:val="20"/>
                <w:color w:val="auto"/>
              </w:rPr>
            </w:pPr>
            <w:r>
              <w:rPr>
                <w:rFonts w:ascii="Arial" w:cs="Arial" w:eastAsia="Arial" w:hAnsi="Arial"/>
                <w:sz w:val="14"/>
                <w:szCs w:val="14"/>
                <w:b w:val="1"/>
                <w:bCs w:val="1"/>
                <w:color w:val="auto"/>
                <w:w w:val="98"/>
              </w:rPr>
              <w:t>years</w:t>
            </w: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91"/>
              </w:rPr>
              <w:t>5 years</w:t>
            </w:r>
          </w:p>
        </w:tc>
        <w:tc>
          <w:tcPr>
            <w:tcW w:w="0" w:type="dxa"/>
            <w:vAlign w:val="bottom"/>
          </w:tcPr>
          <w:p>
            <w:pPr>
              <w:spacing w:after="0"/>
              <w:rPr>
                <w:sz w:val="1"/>
                <w:szCs w:val="1"/>
                <w:color w:val="auto"/>
              </w:rPr>
            </w:pPr>
          </w:p>
        </w:tc>
      </w:tr>
      <w:tr>
        <w:trPr>
          <w:trHeight w:val="209"/>
        </w:trPr>
        <w:tc>
          <w:tcPr>
            <w:tcW w:w="574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Credit Facility</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$240.0</w:t>
            </w:r>
          </w:p>
        </w:tc>
        <w:tc>
          <w:tcPr>
            <w:tcW w:w="2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tcBorders>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34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$240.0</w:t>
            </w:r>
          </w:p>
        </w:tc>
        <w:tc>
          <w:tcPr>
            <w:tcW w:w="6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340" w:type="dxa"/>
            <w:vAlign w:val="bottom"/>
            <w:tcBorders>
              <w:top w:val="single" w:sz="8" w:color="auto"/>
            </w:tcBorders>
            <w:shd w:val="clear" w:color="auto" w:fill="CCEEFF"/>
          </w:tcPr>
          <w:p>
            <w:pPr>
              <w:ind w:left="80"/>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40" w:type="dxa"/>
            <w:vAlign w:val="bottom"/>
            <w:gridSpan w:val="2"/>
          </w:tcPr>
          <w:p>
            <w:pPr>
              <w:spacing w:after="0"/>
              <w:rPr>
                <w:sz w:val="20"/>
                <w:szCs w:val="20"/>
                <w:color w:val="auto"/>
              </w:rPr>
            </w:pPr>
            <w:r>
              <w:rPr>
                <w:rFonts w:ascii="Arial" w:cs="Arial" w:eastAsia="Arial" w:hAnsi="Arial"/>
                <w:sz w:val="18"/>
                <w:szCs w:val="18"/>
                <w:color w:val="auto"/>
              </w:rPr>
              <w:t>SBA debentures</w:t>
            </w: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150.0</w:t>
            </w: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1160" w:type="dxa"/>
            <w:vAlign w:val="bottom"/>
            <w:gridSpan w:val="2"/>
          </w:tcPr>
          <w:p>
            <w:pPr>
              <w:jc w:val="right"/>
              <w:ind w:right="7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340" w:type="dxa"/>
            <w:vAlign w:val="bottom"/>
          </w:tcPr>
          <w:p>
            <w:pPr>
              <w:ind w:left="80"/>
              <w:spacing w:after="0"/>
              <w:rPr>
                <w:sz w:val="20"/>
                <w:szCs w:val="20"/>
                <w:color w:val="auto"/>
              </w:rPr>
            </w:pPr>
            <w:r>
              <w:rPr>
                <w:rFonts w:ascii="Arial" w:cs="Arial" w:eastAsia="Arial" w:hAnsi="Arial"/>
                <w:sz w:val="18"/>
                <w:szCs w:val="18"/>
                <w:color w:val="auto"/>
              </w:rPr>
              <w:t>—</w:t>
            </w: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150.0</w:t>
            </w:r>
          </w:p>
        </w:tc>
        <w:tc>
          <w:tcPr>
            <w:tcW w:w="0" w:type="dxa"/>
            <w:vAlign w:val="bottom"/>
          </w:tcPr>
          <w:p>
            <w:pPr>
              <w:spacing w:after="0"/>
              <w:rPr>
                <w:sz w:val="1"/>
                <w:szCs w:val="1"/>
                <w:color w:val="auto"/>
              </w:rPr>
            </w:pPr>
          </w:p>
        </w:tc>
      </w:tr>
      <w:tr>
        <w:trPr>
          <w:trHeight w:val="216"/>
        </w:trPr>
        <w:tc>
          <w:tcPr>
            <w:tcW w:w="5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2025 Notes</w:t>
            </w: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71.3</w:t>
            </w: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ind w:left="8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71.3</w:t>
            </w:r>
          </w:p>
        </w:tc>
        <w:tc>
          <w:tcPr>
            <w:tcW w:w="0" w:type="dxa"/>
            <w:vAlign w:val="bottom"/>
          </w:tcPr>
          <w:p>
            <w:pPr>
              <w:spacing w:after="0"/>
              <w:rPr>
                <w:sz w:val="1"/>
                <w:szCs w:val="1"/>
                <w:color w:val="auto"/>
              </w:rPr>
            </w:pPr>
          </w:p>
        </w:tc>
      </w:tr>
      <w:tr>
        <w:trPr>
          <w:trHeight w:val="223"/>
        </w:trPr>
        <w:tc>
          <w:tcPr>
            <w:tcW w:w="5740" w:type="dxa"/>
            <w:vAlign w:val="bottom"/>
            <w:gridSpan w:val="2"/>
          </w:tcPr>
          <w:p>
            <w:pPr>
              <w:spacing w:after="0"/>
              <w:rPr>
                <w:sz w:val="20"/>
                <w:szCs w:val="20"/>
                <w:color w:val="auto"/>
              </w:rPr>
            </w:pPr>
            <w:r>
              <w:rPr>
                <w:rFonts w:ascii="Arial" w:cs="Arial" w:eastAsia="Arial" w:hAnsi="Arial"/>
                <w:sz w:val="18"/>
                <w:szCs w:val="18"/>
                <w:color w:val="auto"/>
              </w:rPr>
              <w:t>Total debt outstanding</w:t>
            </w:r>
            <w:r>
              <w:rPr>
                <w:rFonts w:ascii="Arial" w:cs="Arial" w:eastAsia="Arial" w:hAnsi="Arial"/>
                <w:sz w:val="15"/>
                <w:szCs w:val="15"/>
                <w:color w:val="auto"/>
              </w:rPr>
              <w:t>(1)</w:t>
            </w: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461.3</w:t>
            </w:r>
          </w:p>
        </w:tc>
        <w:tc>
          <w:tcPr>
            <w:tcW w:w="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ind w:left="24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240.0</w:t>
            </w:r>
          </w:p>
        </w:tc>
        <w:tc>
          <w:tcPr>
            <w:tcW w:w="66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340" w:type="dxa"/>
            <w:vAlign w:val="bottom"/>
            <w:tcBorders>
              <w:top w:val="single" w:sz="8" w:color="auto"/>
            </w:tcBorders>
          </w:tcPr>
          <w:p>
            <w:pPr>
              <w:ind w:left="80"/>
              <w:spacing w:after="0"/>
              <w:rPr>
                <w:sz w:val="20"/>
                <w:szCs w:val="20"/>
                <w:color w:val="auto"/>
              </w:rPr>
            </w:pPr>
            <w:r>
              <w:rPr>
                <w:rFonts w:ascii="Arial" w:cs="Arial" w:eastAsia="Arial" w:hAnsi="Arial"/>
                <w:sz w:val="18"/>
                <w:szCs w:val="18"/>
                <w:color w:val="auto"/>
              </w:rPr>
              <w:t>—</w:t>
            </w:r>
          </w:p>
        </w:tc>
        <w:tc>
          <w:tcPr>
            <w:tcW w:w="6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221.3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Unfunded investments</w:t>
            </w:r>
            <w:r>
              <w:rPr>
                <w:rFonts w:ascii="Arial" w:cs="Arial" w:eastAsia="Arial" w:hAnsi="Arial"/>
                <w:sz w:val="15"/>
                <w:szCs w:val="15"/>
                <w:color w:val="auto"/>
              </w:rPr>
              <w:t>(2)</w:t>
            </w: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32.5</w:t>
            </w: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5.1</w:t>
            </w:r>
          </w:p>
        </w:tc>
        <w:tc>
          <w:tcPr>
            <w:tcW w:w="1500" w:type="dxa"/>
            <w:vAlign w:val="bottom"/>
            <w:gridSpan w:val="3"/>
            <w:shd w:val="clear" w:color="auto" w:fill="CCEEFF"/>
          </w:tcPr>
          <w:p>
            <w:pPr>
              <w:jc w:val="right"/>
              <w:ind w:right="660"/>
              <w:spacing w:after="0"/>
              <w:rPr>
                <w:sz w:val="20"/>
                <w:szCs w:val="20"/>
                <w:color w:val="auto"/>
              </w:rPr>
            </w:pPr>
            <w:r>
              <w:rPr>
                <w:rFonts w:ascii="Arial" w:cs="Arial" w:eastAsia="Arial" w:hAnsi="Arial"/>
                <w:sz w:val="18"/>
                <w:szCs w:val="18"/>
                <w:color w:val="auto"/>
              </w:rPr>
              <w:t>25.4</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ind w:left="8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23"/>
        </w:trPr>
        <w:tc>
          <w:tcPr>
            <w:tcW w:w="5740" w:type="dxa"/>
            <w:vAlign w:val="bottom"/>
            <w:gridSpan w:val="2"/>
          </w:tcPr>
          <w:p>
            <w:pPr>
              <w:spacing w:after="0"/>
              <w:rPr>
                <w:sz w:val="20"/>
                <w:szCs w:val="20"/>
                <w:color w:val="auto"/>
              </w:rPr>
            </w:pPr>
            <w:r>
              <w:rPr>
                <w:rFonts w:ascii="Arial" w:cs="Arial" w:eastAsia="Arial" w:hAnsi="Arial"/>
                <w:sz w:val="18"/>
                <w:szCs w:val="18"/>
                <w:color w:val="auto"/>
              </w:rPr>
              <w:t>Total contractual obligations</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493.8</w:t>
            </w:r>
          </w:p>
        </w:tc>
        <w:tc>
          <w:tcPr>
            <w:tcW w:w="20" w:type="dxa"/>
            <w:vAlign w:val="bottom"/>
            <w:tcBorders>
              <w:bottom w:val="single" w:sz="8" w:color="auto"/>
            </w:tcBorders>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bottom w:val="single" w:sz="8" w:color="auto"/>
            </w:tcBorders>
          </w:tcPr>
          <w:p>
            <w:pPr>
              <w:ind w:left="280"/>
              <w:spacing w:after="0"/>
              <w:rPr>
                <w:sz w:val="20"/>
                <w:szCs w:val="20"/>
                <w:color w:val="auto"/>
              </w:rPr>
            </w:pPr>
            <w:r>
              <w:rPr>
                <w:rFonts w:ascii="Arial" w:cs="Arial" w:eastAsia="Arial" w:hAnsi="Arial"/>
                <w:sz w:val="18"/>
                <w:szCs w:val="18"/>
                <w:color w:val="auto"/>
                <w:w w:val="79"/>
              </w:rPr>
              <w:t>5.1</w:t>
            </w:r>
          </w:p>
        </w:tc>
        <w:tc>
          <w:tcPr>
            <w:tcW w:w="3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265.4</w:t>
            </w:r>
          </w:p>
        </w:tc>
        <w:tc>
          <w:tcPr>
            <w:tcW w:w="66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340" w:type="dxa"/>
            <w:vAlign w:val="bottom"/>
            <w:tcBorders>
              <w:top w:val="single" w:sz="8" w:color="auto"/>
              <w:bottom w:val="single" w:sz="8" w:color="auto"/>
            </w:tcBorders>
          </w:tcPr>
          <w:p>
            <w:pPr>
              <w:ind w:left="80"/>
              <w:spacing w:after="0"/>
              <w:rPr>
                <w:sz w:val="20"/>
                <w:szCs w:val="20"/>
                <w:color w:val="auto"/>
              </w:rPr>
            </w:pPr>
            <w:r>
              <w:rPr>
                <w:rFonts w:ascii="Arial" w:cs="Arial" w:eastAsia="Arial" w:hAnsi="Arial"/>
                <w:sz w:val="18"/>
                <w:szCs w:val="18"/>
                <w:color w:val="auto"/>
              </w:rPr>
              <w:t>—</w:t>
            </w:r>
          </w:p>
        </w:tc>
        <w:tc>
          <w:tcPr>
            <w:tcW w:w="68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223.3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46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1120" w:type="dxa"/>
            <w:vAlign w:val="bottom"/>
            <w:tcBorders>
              <w:bottom w:val="single" w:sz="8" w:color="auto"/>
            </w:tcBorders>
          </w:tcPr>
          <w:p>
            <w:pPr>
              <w:spacing w:after="0"/>
              <w:rPr>
                <w:sz w:val="11"/>
                <w:szCs w:val="11"/>
                <w:color w:val="auto"/>
              </w:rPr>
            </w:pPr>
          </w:p>
        </w:tc>
        <w:tc>
          <w:tcPr>
            <w:tcW w:w="46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6" w:lineRule="exact"/>
        <w:rPr>
          <w:sz w:val="20"/>
          <w:szCs w:val="20"/>
          <w:color w:val="auto"/>
        </w:rPr>
      </w:pPr>
    </w:p>
    <w:p>
      <w:pPr>
        <w:ind w:left="460" w:right="960" w:hanging="452"/>
        <w:spacing w:after="0" w:line="258" w:lineRule="auto"/>
        <w:tabs>
          <w:tab w:leader="none" w:pos="4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weighted average cost of debt on the total debt outstanding as of December 31, 2013 was 4.20% inclusive of the fee on the undrawn commitment of 0.50% on the Credit Facility and 3.43% of upfront fees on SBA debentures.</w:t>
      </w:r>
    </w:p>
    <w:p>
      <w:pPr>
        <w:spacing w:after="0" w:line="1" w:lineRule="exact"/>
        <w:rPr>
          <w:rFonts w:ascii="Arial" w:cs="Arial" w:eastAsia="Arial" w:hAnsi="Arial"/>
          <w:sz w:val="18"/>
          <w:szCs w:val="18"/>
          <w:color w:val="auto"/>
        </w:rPr>
      </w:pPr>
    </w:p>
    <w:p>
      <w:pPr>
        <w:ind w:left="460" w:right="540" w:hanging="452"/>
        <w:spacing w:after="0" w:line="260" w:lineRule="auto"/>
        <w:tabs>
          <w:tab w:leader="none" w:pos="4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Unfunded debt and equity investments described in the Consolidated Statement of Assets and Liabilities represent unfunded delayed draws on investments.</w:t>
      </w:r>
    </w:p>
    <w:p>
      <w:pPr>
        <w:spacing w:after="0" w:line="185" w:lineRule="exact"/>
        <w:rPr>
          <w:sz w:val="20"/>
          <w:szCs w:val="20"/>
          <w:color w:val="auto"/>
        </w:rPr>
      </w:pPr>
    </w:p>
    <w:p>
      <w:pPr>
        <w:ind w:right="140" w:firstLine="449"/>
        <w:spacing w:after="0" w:line="291" w:lineRule="auto"/>
        <w:rPr>
          <w:sz w:val="20"/>
          <w:szCs w:val="20"/>
          <w:color w:val="auto"/>
        </w:rPr>
      </w:pPr>
      <w:r>
        <w:rPr>
          <w:rFonts w:ascii="Arial" w:cs="Arial" w:eastAsia="Arial" w:hAnsi="Arial"/>
          <w:sz w:val="16"/>
          <w:szCs w:val="16"/>
          <w:color w:val="auto"/>
        </w:rPr>
        <w:t>We have entered into certain contracts under which we have material future commitments. Under our Investment Management Agreement, which was most recently reapproved by our board of directors, including a majority of our directors who are not interested persons of us or the Investment Adviser, in February 2014, PennantPark Investment Advisers serves as our Investment Adviser in accordance with the terms of that Investment Management Agreement. PennantPark Investment, through the Investment Adviser, provides similar services to our SBIC Funds under their investment management agreements with us. Our SBIC Funds’ investment management agreements do not affect the management or incentive fees that we pay to the Investment Adviser on a consolidated basis. Payments under our Investment Management Agreement in each reporting period are equal to (1) a management fee equal to a percentage of the value of our average adjusted gross assets and (2) an incentive fee based on our performance.</w:t>
      </w:r>
    </w:p>
    <w:p>
      <w:pPr>
        <w:spacing w:after="0" w:line="166" w:lineRule="exact"/>
        <w:rPr>
          <w:sz w:val="20"/>
          <w:szCs w:val="20"/>
          <w:color w:val="auto"/>
        </w:rPr>
      </w:pPr>
    </w:p>
    <w:p>
      <w:pPr>
        <w:ind w:right="120" w:firstLine="449"/>
        <w:spacing w:after="0" w:line="270" w:lineRule="auto"/>
        <w:rPr>
          <w:sz w:val="20"/>
          <w:szCs w:val="20"/>
          <w:color w:val="auto"/>
        </w:rPr>
      </w:pPr>
      <w:r>
        <w:rPr>
          <w:rFonts w:ascii="Arial" w:cs="Arial" w:eastAsia="Arial" w:hAnsi="Arial"/>
          <w:sz w:val="17"/>
          <w:szCs w:val="17"/>
          <w:color w:val="auto"/>
        </w:rPr>
        <w:t>Under our Administration Agreement, which was most recently reapproved by our board of directors, including a majority of our directors who are not interested persons of us, in February 2014, PennantPark Investment Administration furnishes us with office facilities and administrative services necessary to conduct our day-to-day operations. PennantPark Investment, through the Administrator, provides similar services to our SBIC Funds under their administration agreements, which are intended to have no effect on the consolidated administration fee. If requested to provide managerial assistance to our portfolio companies, PennantPark Investment Advisers or PennantPark Investment Administration will be paid an additional amount based on the services provided, which amount will not in any case exceed the amount we receive from the portfolio companies for such services. Payment under our Administration Agreement is based upon our allocable portion of the Administrator’s overhead in performing its obligations under our Administration Agreement, including rent, technology systems, insurance and our allocable portion of the costs of our Chief Compliance Officer, Chief Financial Officer and their respective staffs.</w:t>
      </w:r>
    </w:p>
    <w:p>
      <w:pPr>
        <w:spacing w:after="0" w:line="181" w:lineRule="exact"/>
        <w:rPr>
          <w:sz w:val="20"/>
          <w:szCs w:val="20"/>
          <w:color w:val="auto"/>
        </w:rPr>
      </w:pPr>
    </w:p>
    <w:p>
      <w:pPr>
        <w:jc w:val="both"/>
        <w:ind w:right="100" w:firstLine="449"/>
        <w:spacing w:after="0" w:line="311" w:lineRule="auto"/>
        <w:rPr>
          <w:sz w:val="20"/>
          <w:szCs w:val="20"/>
          <w:color w:val="auto"/>
        </w:rPr>
      </w:pPr>
      <w:r>
        <w:rPr>
          <w:rFonts w:ascii="Arial" w:cs="Arial" w:eastAsia="Arial" w:hAnsi="Arial"/>
          <w:sz w:val="16"/>
          <w:szCs w:val="16"/>
          <w:color w:val="auto"/>
        </w:rPr>
        <w:t>If any of our contractual obligations discussed above is terminated, our costs under new agreements that we enter into may increase. In addition, we will likely incur significant time and expense in locating alternative parties to provide the services we expect to receive under our Investment Management Agreement and our Administration Agreement. Any new investment management agreement would also be subject to approval by our stockholders.</w:t>
      </w:r>
    </w:p>
    <w:p>
      <w:pPr>
        <w:spacing w:after="0" w:line="149" w:lineRule="exact"/>
        <w:rPr>
          <w:sz w:val="20"/>
          <w:szCs w:val="20"/>
          <w:color w:val="auto"/>
        </w:rPr>
      </w:pPr>
    </w:p>
    <w:p>
      <w:pPr>
        <w:ind w:right="20" w:firstLine="449"/>
        <w:spacing w:after="0" w:line="259" w:lineRule="auto"/>
        <w:rPr>
          <w:sz w:val="20"/>
          <w:szCs w:val="20"/>
          <w:color w:val="auto"/>
        </w:rPr>
      </w:pPr>
      <w:r>
        <w:rPr>
          <w:rFonts w:ascii="Arial" w:cs="Arial" w:eastAsia="Arial" w:hAnsi="Arial"/>
          <w:sz w:val="18"/>
          <w:szCs w:val="18"/>
          <w:color w:val="auto"/>
        </w:rPr>
        <w:t>We, in the ordinary course of business, have guaranteed certain obligations of SPH. The guaranties are only triggered if there were administrative errors in acquiring assets which SPH subsequently sold or securitized. As of December 31, 2013 and September 30, 2013, our maximum guaranty was $11.5 million and $13.0 million, respectively. Based on SPH’s and the industry’s historical loss rates we believe the risk of loss is remote, thus, we have not recorded a liability associated with the guaranties. The current guaranties will decline over time.</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240"/>
          </w:cols>
          <w:pgMar w:left="320" w:top="459" w:right="33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Off-Balance-Sheet Arrangements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7"/>
          <w:szCs w:val="17"/>
          <w:color w:val="auto"/>
        </w:rPr>
        <w:t>We currently engage in no off-balance-sheet arrangements, including any risk management of commodity pricing or other hedging practices.</w:t>
      </w: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Dividends and Distributions</w:t>
      </w:r>
    </w:p>
    <w:p>
      <w:pPr>
        <w:spacing w:after="0" w:line="117" w:lineRule="exact"/>
        <w:rPr>
          <w:sz w:val="20"/>
          <w:szCs w:val="20"/>
          <w:color w:val="auto"/>
        </w:rPr>
      </w:pPr>
    </w:p>
    <w:p>
      <w:pPr>
        <w:ind w:right="40" w:firstLine="449"/>
        <w:spacing w:after="0" w:line="285" w:lineRule="auto"/>
        <w:rPr>
          <w:sz w:val="20"/>
          <w:szCs w:val="20"/>
          <w:color w:val="auto"/>
        </w:rPr>
      </w:pPr>
      <w:r>
        <w:rPr>
          <w:rFonts w:ascii="Arial" w:cs="Arial" w:eastAsia="Arial" w:hAnsi="Arial"/>
          <w:sz w:val="16"/>
          <w:szCs w:val="16"/>
          <w:color w:val="auto"/>
        </w:rPr>
        <w:t>In order to qualify as a RIC and to not be subject to corporate-level tax on income, we are required, under Subchapter M of the Code, to distribute annually at least 90% of the sum of our net ordinary income and realized net short-term capital gains in excess of realized net long-term capital losses, if any, out of the assets legally available for distribution. Although not required for us to maintain our RIC tax status, in order to preclude the imposition of a 4% nondeductible federal excise tax imposed on RICs, we may distribute during each calendar year an amount at least equal to the sum of (1) 98% of our net ordinary income for the calendar year, (2) 98.2% of our realized net capital gains for the one-year period ending on October 31 of the calendar year and</w:t>
      </w:r>
    </w:p>
    <w:p>
      <w:pPr>
        <w:spacing w:after="0" w:line="2" w:lineRule="exact"/>
        <w:rPr>
          <w:sz w:val="20"/>
          <w:szCs w:val="20"/>
          <w:color w:val="auto"/>
        </w:rPr>
      </w:pPr>
    </w:p>
    <w:p>
      <w:pPr>
        <w:ind w:right="120" w:firstLine="8"/>
        <w:spacing w:after="0" w:line="273" w:lineRule="auto"/>
        <w:tabs>
          <w:tab w:leader="none" w:pos="255" w:val="left"/>
        </w:tabs>
        <w:numPr>
          <w:ilvl w:val="0"/>
          <w:numId w:val="16"/>
        </w:numPr>
        <w:rPr>
          <w:rFonts w:ascii="Arial" w:cs="Arial" w:eastAsia="Arial" w:hAnsi="Arial"/>
          <w:sz w:val="17"/>
          <w:szCs w:val="17"/>
          <w:color w:val="auto"/>
        </w:rPr>
      </w:pPr>
      <w:r>
        <w:rPr>
          <w:rFonts w:ascii="Arial" w:cs="Arial" w:eastAsia="Arial" w:hAnsi="Arial"/>
          <w:sz w:val="17"/>
          <w:szCs w:val="17"/>
          <w:color w:val="auto"/>
        </w:rPr>
        <w:t>any net ordinary income and net capital gains for preceding years that were not distributed during such years. In addition, although we may distribute realized net capital gains (i.e., net long-term capital gains in excess of short-term capital losses), if any, at least annually, out of the assets legally available for such distributions, we may retain such net capital gains or ordinary income to provide us with additional liquidity. For the three months ended December 31, 2013, and 2012, we elected to retain a portion of our calendar year income and accrued estimated excise taxes.</w:t>
      </w:r>
    </w:p>
    <w:p>
      <w:pPr>
        <w:spacing w:after="0" w:line="176" w:lineRule="exact"/>
        <w:rPr>
          <w:sz w:val="20"/>
          <w:szCs w:val="20"/>
          <w:color w:val="auto"/>
        </w:rPr>
      </w:pPr>
    </w:p>
    <w:p>
      <w:pPr>
        <w:ind w:firstLine="449"/>
        <w:spacing w:after="0" w:line="257" w:lineRule="auto"/>
        <w:rPr>
          <w:sz w:val="20"/>
          <w:szCs w:val="20"/>
          <w:color w:val="auto"/>
        </w:rPr>
      </w:pPr>
      <w:r>
        <w:rPr>
          <w:rFonts w:ascii="Arial" w:cs="Arial" w:eastAsia="Arial" w:hAnsi="Arial"/>
          <w:sz w:val="18"/>
          <w:szCs w:val="18"/>
          <w:color w:val="auto"/>
        </w:rPr>
        <w:t>During the three months ended December 31, 2013 and 2012, we declared dividends of $0.28 per share or an aggregate of $18.6 million for each of the periods. We monitor available net investment income to determine if a return of capital for taxation purposes may occur for the fiscal year. To the extent our taxable earnings fall below the total amount of our distributions for any given fiscal year, a portion of those distributions may be deemed to be a return of capital to our common stockholders. Tax characteristics of all distributions will be reported to stockholders on Form 1099-DIV after the end of the calendar year and in our periodic reports filed with the SEC.</w:t>
      </w:r>
    </w:p>
    <w:p>
      <w:pPr>
        <w:spacing w:after="0" w:line="188" w:lineRule="exact"/>
        <w:rPr>
          <w:sz w:val="20"/>
          <w:szCs w:val="20"/>
          <w:color w:val="auto"/>
        </w:rPr>
      </w:pPr>
    </w:p>
    <w:p>
      <w:pPr>
        <w:ind w:right="680" w:firstLine="449"/>
        <w:spacing w:after="0" w:line="277" w:lineRule="auto"/>
        <w:rPr>
          <w:sz w:val="20"/>
          <w:szCs w:val="20"/>
          <w:color w:val="auto"/>
        </w:rPr>
      </w:pPr>
      <w:r>
        <w:rPr>
          <w:rFonts w:ascii="Arial" w:cs="Arial" w:eastAsia="Arial" w:hAnsi="Arial"/>
          <w:sz w:val="18"/>
          <w:szCs w:val="18"/>
          <w:color w:val="auto"/>
        </w:rPr>
        <w:t>We intend to continue to make quarterly distributions to our stockholders. Our quarterly distributions, if any, are determined by our board of directors.</w:t>
      </w:r>
    </w:p>
    <w:p>
      <w:pPr>
        <w:spacing w:after="0" w:line="170" w:lineRule="exact"/>
        <w:rPr>
          <w:sz w:val="20"/>
          <w:szCs w:val="20"/>
          <w:color w:val="auto"/>
        </w:rPr>
      </w:pPr>
    </w:p>
    <w:p>
      <w:pPr>
        <w:ind w:firstLine="449"/>
        <w:spacing w:after="0" w:line="263" w:lineRule="auto"/>
        <w:rPr>
          <w:sz w:val="20"/>
          <w:szCs w:val="20"/>
          <w:color w:val="auto"/>
        </w:rPr>
      </w:pPr>
      <w:r>
        <w:rPr>
          <w:rFonts w:ascii="Arial" w:cs="Arial" w:eastAsia="Arial" w:hAnsi="Arial"/>
          <w:sz w:val="18"/>
          <w:szCs w:val="18"/>
          <w:color w:val="auto"/>
        </w:rPr>
        <w:t>We maintain an “opt out” dividend reinvestment plan for our common stockholders. As a result, if we declare a distribution, then stockholders’ cash distributions will be automatically reinvested in additional shares of our common stock, unless they specifically “opt out” of the dividend reinvestment plan so as to receive cash distributions.</w:t>
      </w:r>
    </w:p>
    <w:p>
      <w:pPr>
        <w:spacing w:after="0" w:line="184" w:lineRule="exact"/>
        <w:rPr>
          <w:sz w:val="20"/>
          <w:szCs w:val="20"/>
          <w:color w:val="auto"/>
        </w:rPr>
      </w:pPr>
    </w:p>
    <w:p>
      <w:pPr>
        <w:ind w:right="40" w:firstLine="449"/>
        <w:spacing w:after="0" w:line="257" w:lineRule="auto"/>
        <w:rPr>
          <w:sz w:val="20"/>
          <w:szCs w:val="20"/>
          <w:color w:val="auto"/>
        </w:rPr>
      </w:pPr>
      <w:r>
        <w:rPr>
          <w:rFonts w:ascii="Arial" w:cs="Arial" w:eastAsia="Arial" w:hAnsi="Arial"/>
          <w:sz w:val="18"/>
          <w:szCs w:val="18"/>
          <w:color w:val="auto"/>
        </w:rPr>
        <w:t>We may not be able to achieve operating results that will allow us to make distributions at a specific level or to increase the amount of these distributions from time to time. In addition, we may be limited in our ability to make distributions due to the asset coverage ratio for borrowings applicable to us as a BDC under the 1940 Act and/or due to provisions in future credit facilities. If we do not distribute a certain percentage of our income annually, we will suffer adverse tax consequences, including possible loss of RIC status. We cannot assure stockholders that they will receive any distributions at a particular level.</w:t>
      </w:r>
    </w:p>
    <w:p>
      <w:pPr>
        <w:spacing w:after="0" w:line="1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220"/>
          </w:cols>
          <w:pgMar w:left="320" w:top="459" w:right="35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tabs>
          <w:tab w:leader="none" w:pos="98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121" w:lineRule="exact"/>
        <w:rPr>
          <w:sz w:val="20"/>
          <w:szCs w:val="20"/>
          <w:color w:val="auto"/>
        </w:rPr>
      </w:pPr>
    </w:p>
    <w:p>
      <w:pPr>
        <w:ind w:right="60" w:firstLine="449"/>
        <w:spacing w:after="0" w:line="273" w:lineRule="auto"/>
        <w:rPr>
          <w:sz w:val="20"/>
          <w:szCs w:val="20"/>
          <w:color w:val="auto"/>
        </w:rPr>
      </w:pPr>
      <w:r>
        <w:rPr>
          <w:rFonts w:ascii="Arial" w:cs="Arial" w:eastAsia="Arial" w:hAnsi="Arial"/>
          <w:sz w:val="17"/>
          <w:szCs w:val="17"/>
          <w:color w:val="auto"/>
        </w:rPr>
        <w:t>We are subject to financial market risks, including changes in interest rates. As of December 31, 2013, our debt portfolio consisted of 48% fixed-rate investments and 52% variable-rate investments (including 49% with a LIBOR or prime floor). The variable-rate loans are usually based on a LIBOR rate and typically have durations of three months after which they reset to current market interest rates. Variable-rate investments subject to a floor generally reset by reference to the current market index after one to nine months only if the index exceeds the floor. In regards to variable-rate instruments with a floor, we do not benefit from increases in interest rates until such rates exceed the floor and thereafter benefit from market rates above any such floor. In contrast, our cost of funds, to the extent it is not fixed, will fluctuate with changes in interest rates.</w:t>
      </w:r>
    </w:p>
    <w:p>
      <w:pPr>
        <w:spacing w:after="0" w:line="178" w:lineRule="exact"/>
        <w:rPr>
          <w:sz w:val="20"/>
          <w:szCs w:val="20"/>
          <w:color w:val="auto"/>
        </w:rPr>
      </w:pPr>
    </w:p>
    <w:p>
      <w:pPr>
        <w:ind w:firstLine="449"/>
        <w:spacing w:after="0" w:line="277" w:lineRule="auto"/>
        <w:rPr>
          <w:sz w:val="20"/>
          <w:szCs w:val="20"/>
          <w:color w:val="auto"/>
        </w:rPr>
      </w:pPr>
      <w:r>
        <w:rPr>
          <w:rFonts w:ascii="Arial" w:cs="Arial" w:eastAsia="Arial" w:hAnsi="Arial"/>
          <w:sz w:val="18"/>
          <w:szCs w:val="18"/>
          <w:color w:val="auto"/>
        </w:rPr>
        <w:t>Assuming that the most recent statement of assets and liabilities was to remain constant, and no actions were taken to alter the interest rate sensitivity, the following table shows the annualized impact of hypothetical base rate changes in interest rates:</w:t>
      </w:r>
    </w:p>
    <w:p>
      <w:pPr>
        <w:spacing w:after="0" w:line="176" w:lineRule="exact"/>
        <w:rPr>
          <w:sz w:val="20"/>
          <w:szCs w:val="20"/>
          <w:color w:val="auto"/>
        </w:rPr>
      </w:pPr>
    </w:p>
    <w:tbl>
      <w:tblPr>
        <w:tblLayout w:type="fixed"/>
        <w:tblInd w:w="1420" w:type="dxa"/>
        <w:tblCellMar>
          <w:top w:w="0" w:type="dxa"/>
          <w:left w:w="0" w:type="dxa"/>
          <w:bottom w:w="0" w:type="dxa"/>
          <w:right w:w="0" w:type="dxa"/>
        </w:tblCellMar>
      </w:tblPr>
      <w:tr>
        <w:trPr>
          <w:trHeight w:val="161"/>
        </w:trPr>
        <w:tc>
          <w:tcPr>
            <w:tcW w:w="1540" w:type="dxa"/>
            <w:vAlign w:val="bottom"/>
            <w:vMerge w:val="restart"/>
          </w:tcPr>
          <w:p>
            <w:pPr>
              <w:spacing w:after="0"/>
              <w:rPr>
                <w:sz w:val="20"/>
                <w:szCs w:val="20"/>
                <w:color w:val="auto"/>
              </w:rPr>
            </w:pPr>
            <w:r>
              <w:rPr>
                <w:rFonts w:ascii="Arial" w:cs="Arial" w:eastAsia="Arial" w:hAnsi="Arial"/>
                <w:sz w:val="14"/>
                <w:szCs w:val="14"/>
                <w:b w:val="1"/>
                <w:bCs w:val="1"/>
                <w:color w:val="auto"/>
                <w:w w:val="92"/>
              </w:rPr>
              <w:t>Change In Interest Rates</w:t>
            </w:r>
          </w:p>
        </w:tc>
        <w:tc>
          <w:tcPr>
            <w:tcW w:w="2980" w:type="dxa"/>
            <w:vAlign w:val="bottom"/>
          </w:tcPr>
          <w:p>
            <w:pPr>
              <w:spacing w:after="0"/>
              <w:rPr>
                <w:sz w:val="14"/>
                <w:szCs w:val="14"/>
                <w:color w:val="auto"/>
              </w:rPr>
            </w:pPr>
          </w:p>
        </w:tc>
        <w:tc>
          <w:tcPr>
            <w:tcW w:w="2140" w:type="dxa"/>
            <w:vAlign w:val="bottom"/>
            <w:gridSpan w:val="2"/>
          </w:tcPr>
          <w:p>
            <w:pPr>
              <w:spacing w:after="0"/>
              <w:rPr>
                <w:sz w:val="20"/>
                <w:szCs w:val="20"/>
                <w:color w:val="auto"/>
              </w:rPr>
            </w:pPr>
            <w:r>
              <w:rPr>
                <w:rFonts w:ascii="Arial" w:cs="Arial" w:eastAsia="Arial" w:hAnsi="Arial"/>
                <w:sz w:val="14"/>
                <w:szCs w:val="14"/>
                <w:b w:val="1"/>
                <w:bCs w:val="1"/>
                <w:color w:val="auto"/>
                <w:w w:val="94"/>
              </w:rPr>
              <w:t>Change In Interest Income, Net Of</w:t>
            </w:r>
          </w:p>
        </w:tc>
        <w:tc>
          <w:tcPr>
            <w:tcW w:w="1040" w:type="dxa"/>
            <w:vAlign w:val="bottom"/>
          </w:tcPr>
          <w:p>
            <w:pPr>
              <w:spacing w:after="0"/>
              <w:rPr>
                <w:sz w:val="14"/>
                <w:szCs w:val="14"/>
                <w:color w:val="auto"/>
              </w:rPr>
            </w:pPr>
          </w:p>
        </w:tc>
        <w:tc>
          <w:tcPr>
            <w:tcW w:w="7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Per Share</w:t>
            </w:r>
          </w:p>
        </w:tc>
        <w:tc>
          <w:tcPr>
            <w:tcW w:w="0" w:type="dxa"/>
            <w:vAlign w:val="bottom"/>
          </w:tcPr>
          <w:p>
            <w:pPr>
              <w:spacing w:after="0"/>
              <w:rPr>
                <w:sz w:val="1"/>
                <w:szCs w:val="1"/>
                <w:color w:val="auto"/>
              </w:rPr>
            </w:pPr>
          </w:p>
        </w:tc>
      </w:tr>
      <w:tr>
        <w:trPr>
          <w:trHeight w:val="171"/>
        </w:trPr>
        <w:tc>
          <w:tcPr>
            <w:tcW w:w="1540" w:type="dxa"/>
            <w:vAlign w:val="bottom"/>
            <w:vMerge w:val="continue"/>
          </w:tcPr>
          <w:p>
            <w:pPr>
              <w:spacing w:after="0"/>
              <w:rPr>
                <w:sz w:val="14"/>
                <w:szCs w:val="14"/>
                <w:color w:val="auto"/>
              </w:rPr>
            </w:pPr>
          </w:p>
        </w:tc>
        <w:tc>
          <w:tcPr>
            <w:tcW w:w="2980" w:type="dxa"/>
            <w:vAlign w:val="bottom"/>
          </w:tcPr>
          <w:p>
            <w:pPr>
              <w:spacing w:after="0"/>
              <w:rPr>
                <w:sz w:val="14"/>
                <w:szCs w:val="14"/>
                <w:color w:val="auto"/>
              </w:rPr>
            </w:pPr>
          </w:p>
        </w:tc>
        <w:tc>
          <w:tcPr>
            <w:tcW w:w="2140" w:type="dxa"/>
            <w:vAlign w:val="bottom"/>
            <w:gridSpan w:val="2"/>
          </w:tcPr>
          <w:p>
            <w:pPr>
              <w:jc w:val="right"/>
              <w:spacing w:after="0"/>
              <w:rPr>
                <w:sz w:val="20"/>
                <w:szCs w:val="20"/>
                <w:color w:val="auto"/>
              </w:rPr>
            </w:pPr>
            <w:r>
              <w:rPr>
                <w:rFonts w:ascii="Arial" w:cs="Arial" w:eastAsia="Arial" w:hAnsi="Arial"/>
                <w:sz w:val="14"/>
                <w:szCs w:val="14"/>
                <w:b w:val="1"/>
                <w:bCs w:val="1"/>
                <w:color w:val="auto"/>
                <w:w w:val="95"/>
              </w:rPr>
              <w:t>Interest Expense (In Thousands)</w:t>
            </w:r>
          </w:p>
        </w:tc>
        <w:tc>
          <w:tcPr>
            <w:tcW w:w="1040" w:type="dxa"/>
            <w:vAlign w:val="bottom"/>
          </w:tcPr>
          <w:p>
            <w:pPr>
              <w:spacing w:after="0"/>
              <w:rPr>
                <w:sz w:val="14"/>
                <w:szCs w:val="14"/>
                <w:color w:val="auto"/>
              </w:rPr>
            </w:pPr>
          </w:p>
        </w:tc>
        <w:tc>
          <w:tcPr>
            <w:tcW w:w="72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1540" w:type="dxa"/>
            <w:vAlign w:val="bottom"/>
            <w:tcBorders>
              <w:top w:val="single" w:sz="8" w:color="auto"/>
            </w:tcBorders>
            <w:shd w:val="clear" w:color="auto" w:fill="CCEEFF"/>
          </w:tcPr>
          <w:p>
            <w:pPr>
              <w:ind w:left="440"/>
              <w:spacing w:after="0"/>
              <w:rPr>
                <w:sz w:val="20"/>
                <w:szCs w:val="20"/>
                <w:color w:val="auto"/>
              </w:rPr>
            </w:pPr>
            <w:r>
              <w:rPr>
                <w:rFonts w:ascii="Arial" w:cs="Arial" w:eastAsia="Arial" w:hAnsi="Arial"/>
                <w:sz w:val="18"/>
                <w:szCs w:val="18"/>
                <w:color w:val="auto"/>
              </w:rPr>
              <w:t>Up 1%</w:t>
            </w:r>
          </w:p>
        </w:tc>
        <w:tc>
          <w:tcPr>
            <w:tcW w:w="298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38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(2,042)</w:t>
            </w:r>
          </w:p>
        </w:tc>
        <w:tc>
          <w:tcPr>
            <w:tcW w:w="10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(0.03)</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40" w:type="dxa"/>
            <w:vAlign w:val="bottom"/>
          </w:tcPr>
          <w:p>
            <w:pPr>
              <w:ind w:left="440"/>
              <w:spacing w:after="0"/>
              <w:rPr>
                <w:sz w:val="20"/>
                <w:szCs w:val="20"/>
                <w:color w:val="auto"/>
              </w:rPr>
            </w:pPr>
            <w:r>
              <w:rPr>
                <w:rFonts w:ascii="Arial" w:cs="Arial" w:eastAsia="Arial" w:hAnsi="Arial"/>
                <w:sz w:val="18"/>
                <w:szCs w:val="18"/>
                <w:color w:val="auto"/>
              </w:rPr>
              <w:t>Up 2%</w:t>
            </w:r>
          </w:p>
        </w:tc>
        <w:tc>
          <w:tcPr>
            <w:tcW w:w="3740" w:type="dxa"/>
            <w:vAlign w:val="bottom"/>
            <w:gridSpan w:val="2"/>
          </w:tcPr>
          <w:p>
            <w:pPr>
              <w:ind w:left="2980"/>
              <w:spacing w:after="0"/>
              <w:rPr>
                <w:sz w:val="20"/>
                <w:szCs w:val="20"/>
                <w:color w:val="auto"/>
              </w:rPr>
            </w:pPr>
            <w:r>
              <w:rPr>
                <w:rFonts w:ascii="Arial" w:cs="Arial" w:eastAsia="Arial" w:hAnsi="Arial"/>
                <w:sz w:val="18"/>
                <w:szCs w:val="18"/>
                <w:color w:val="auto"/>
              </w:rPr>
              <w:t>$</w:t>
            </w:r>
          </w:p>
        </w:tc>
        <w:tc>
          <w:tcPr>
            <w:tcW w:w="1380" w:type="dxa"/>
            <w:vAlign w:val="bottom"/>
          </w:tcPr>
          <w:p>
            <w:pPr>
              <w:jc w:val="right"/>
              <w:ind w:right="90"/>
              <w:spacing w:after="0"/>
              <w:rPr>
                <w:sz w:val="20"/>
                <w:szCs w:val="20"/>
                <w:color w:val="auto"/>
              </w:rPr>
            </w:pPr>
            <w:r>
              <w:rPr>
                <w:rFonts w:ascii="Arial" w:cs="Arial" w:eastAsia="Arial" w:hAnsi="Arial"/>
                <w:sz w:val="18"/>
                <w:szCs w:val="18"/>
                <w:color w:val="auto"/>
              </w:rPr>
              <w:t>(445)</w:t>
            </w:r>
          </w:p>
        </w:tc>
        <w:tc>
          <w:tcPr>
            <w:tcW w:w="1200" w:type="dxa"/>
            <w:vAlign w:val="bottom"/>
            <w:gridSpan w:val="2"/>
          </w:tcPr>
          <w:p>
            <w:pPr>
              <w:ind w:left="1040"/>
              <w:spacing w:after="0"/>
              <w:rPr>
                <w:sz w:val="20"/>
                <w:szCs w:val="20"/>
                <w:color w:val="auto"/>
              </w:rPr>
            </w:pPr>
            <w:r>
              <w:rPr>
                <w:rFonts w:ascii="Arial" w:cs="Arial" w:eastAsia="Arial" w:hAnsi="Arial"/>
                <w:sz w:val="18"/>
                <w:szCs w:val="18"/>
                <w:color w:val="auto"/>
              </w:rPr>
              <w:t>$</w:t>
            </w:r>
          </w:p>
        </w:tc>
        <w:tc>
          <w:tcPr>
            <w:tcW w:w="560" w:type="dxa"/>
            <w:vAlign w:val="bottom"/>
            <w:gridSpan w:val="2"/>
          </w:tcPr>
          <w:p>
            <w:pPr>
              <w:jc w:val="right"/>
              <w:ind w:right="60"/>
              <w:spacing w:after="0"/>
              <w:rPr>
                <w:sz w:val="20"/>
                <w:szCs w:val="20"/>
                <w:color w:val="auto"/>
              </w:rPr>
            </w:pPr>
            <w:r>
              <w:rPr>
                <w:rFonts w:ascii="Arial" w:cs="Arial" w:eastAsia="Arial" w:hAnsi="Arial"/>
                <w:sz w:val="18"/>
                <w:szCs w:val="18"/>
                <w:color w:val="auto"/>
              </w:rPr>
              <w:t>(0.01)</w:t>
            </w:r>
          </w:p>
        </w:tc>
        <w:tc>
          <w:tcPr>
            <w:tcW w:w="0" w:type="dxa"/>
            <w:vAlign w:val="bottom"/>
          </w:tcPr>
          <w:p>
            <w:pPr>
              <w:spacing w:after="0"/>
              <w:rPr>
                <w:sz w:val="1"/>
                <w:szCs w:val="1"/>
                <w:color w:val="auto"/>
              </w:rPr>
            </w:pPr>
          </w:p>
        </w:tc>
      </w:tr>
      <w:tr>
        <w:trPr>
          <w:trHeight w:val="216"/>
        </w:trPr>
        <w:tc>
          <w:tcPr>
            <w:tcW w:w="15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Up 3%</w:t>
            </w:r>
          </w:p>
        </w:tc>
        <w:tc>
          <w:tcPr>
            <w:tcW w:w="3740" w:type="dxa"/>
            <w:vAlign w:val="bottom"/>
            <w:gridSpan w:val="2"/>
            <w:shd w:val="clear" w:color="auto" w:fill="CCEEFF"/>
          </w:tcPr>
          <w:p>
            <w:pPr>
              <w:ind w:left="2980"/>
              <w:spacing w:after="0"/>
              <w:rPr>
                <w:sz w:val="20"/>
                <w:szCs w:val="20"/>
                <w:color w:val="auto"/>
              </w:rPr>
            </w:pPr>
            <w:r>
              <w:rPr>
                <w:rFonts w:ascii="Arial" w:cs="Arial" w:eastAsia="Arial" w:hAnsi="Arial"/>
                <w:sz w:val="18"/>
                <w:szCs w:val="18"/>
                <w:color w:val="auto"/>
              </w:rPr>
              <w:t>$</w:t>
            </w:r>
          </w:p>
        </w:tc>
        <w:tc>
          <w:tcPr>
            <w:tcW w:w="13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2,709</w:t>
            </w:r>
          </w:p>
        </w:tc>
        <w:tc>
          <w:tcPr>
            <w:tcW w:w="1200" w:type="dxa"/>
            <w:vAlign w:val="bottom"/>
            <w:gridSpan w:val="2"/>
            <w:shd w:val="clear" w:color="auto" w:fill="CCEEFF"/>
          </w:tcPr>
          <w:p>
            <w:pPr>
              <w:ind w:left="1040"/>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0.04</w:t>
            </w:r>
          </w:p>
        </w:tc>
        <w:tc>
          <w:tcPr>
            <w:tcW w:w="0" w:type="dxa"/>
            <w:vAlign w:val="bottom"/>
          </w:tcPr>
          <w:p>
            <w:pPr>
              <w:spacing w:after="0"/>
              <w:rPr>
                <w:sz w:val="1"/>
                <w:szCs w:val="1"/>
                <w:color w:val="auto"/>
              </w:rPr>
            </w:pPr>
          </w:p>
        </w:tc>
      </w:tr>
      <w:tr>
        <w:trPr>
          <w:trHeight w:val="230"/>
        </w:trPr>
        <w:tc>
          <w:tcPr>
            <w:tcW w:w="1540" w:type="dxa"/>
            <w:vAlign w:val="bottom"/>
          </w:tcPr>
          <w:p>
            <w:pPr>
              <w:ind w:left="440"/>
              <w:spacing w:after="0"/>
              <w:rPr>
                <w:sz w:val="20"/>
                <w:szCs w:val="20"/>
                <w:color w:val="auto"/>
              </w:rPr>
            </w:pPr>
            <w:r>
              <w:rPr>
                <w:rFonts w:ascii="Arial" w:cs="Arial" w:eastAsia="Arial" w:hAnsi="Arial"/>
                <w:sz w:val="18"/>
                <w:szCs w:val="18"/>
                <w:color w:val="auto"/>
              </w:rPr>
              <w:t>Up 4%</w:t>
            </w:r>
          </w:p>
        </w:tc>
        <w:tc>
          <w:tcPr>
            <w:tcW w:w="3740" w:type="dxa"/>
            <w:vAlign w:val="bottom"/>
            <w:gridSpan w:val="2"/>
          </w:tcPr>
          <w:p>
            <w:pPr>
              <w:ind w:left="2980"/>
              <w:spacing w:after="0"/>
              <w:rPr>
                <w:sz w:val="20"/>
                <w:szCs w:val="20"/>
                <w:color w:val="auto"/>
              </w:rPr>
            </w:pPr>
            <w:r>
              <w:rPr>
                <w:rFonts w:ascii="Arial" w:cs="Arial" w:eastAsia="Arial" w:hAnsi="Arial"/>
                <w:sz w:val="18"/>
                <w:szCs w:val="18"/>
                <w:color w:val="auto"/>
              </w:rPr>
              <w:t>$</w:t>
            </w:r>
          </w:p>
        </w:tc>
        <w:tc>
          <w:tcPr>
            <w:tcW w:w="1380" w:type="dxa"/>
            <w:vAlign w:val="bottom"/>
          </w:tcPr>
          <w:p>
            <w:pPr>
              <w:jc w:val="right"/>
              <w:ind w:right="130"/>
              <w:spacing w:after="0"/>
              <w:rPr>
                <w:sz w:val="20"/>
                <w:szCs w:val="20"/>
                <w:color w:val="auto"/>
              </w:rPr>
            </w:pPr>
            <w:r>
              <w:rPr>
                <w:rFonts w:ascii="Arial" w:cs="Arial" w:eastAsia="Arial" w:hAnsi="Arial"/>
                <w:sz w:val="18"/>
                <w:szCs w:val="18"/>
                <w:color w:val="auto"/>
              </w:rPr>
              <w:t>5,864</w:t>
            </w:r>
          </w:p>
        </w:tc>
        <w:tc>
          <w:tcPr>
            <w:tcW w:w="1200" w:type="dxa"/>
            <w:vAlign w:val="bottom"/>
            <w:gridSpan w:val="2"/>
          </w:tcPr>
          <w:p>
            <w:pPr>
              <w:ind w:left="1040"/>
              <w:spacing w:after="0"/>
              <w:rPr>
                <w:sz w:val="20"/>
                <w:szCs w:val="20"/>
                <w:color w:val="auto"/>
              </w:rPr>
            </w:pPr>
            <w:r>
              <w:rPr>
                <w:rFonts w:ascii="Arial" w:cs="Arial" w:eastAsia="Arial" w:hAnsi="Arial"/>
                <w:sz w:val="18"/>
                <w:szCs w:val="18"/>
                <w:color w:val="auto"/>
              </w:rPr>
              <w:t>$</w:t>
            </w:r>
          </w:p>
        </w:tc>
        <w:tc>
          <w:tcPr>
            <w:tcW w:w="560" w:type="dxa"/>
            <w:vAlign w:val="bottom"/>
            <w:gridSpan w:val="2"/>
          </w:tcPr>
          <w:p>
            <w:pPr>
              <w:jc w:val="right"/>
              <w:ind w:right="120"/>
              <w:spacing w:after="0"/>
              <w:rPr>
                <w:sz w:val="20"/>
                <w:szCs w:val="20"/>
                <w:color w:val="auto"/>
              </w:rPr>
            </w:pPr>
            <w:r>
              <w:rPr>
                <w:rFonts w:ascii="Arial" w:cs="Arial" w:eastAsia="Arial" w:hAnsi="Arial"/>
                <w:sz w:val="18"/>
                <w:szCs w:val="18"/>
                <w:color w:val="auto"/>
              </w:rPr>
              <w:t>0.09</w:t>
            </w:r>
          </w:p>
        </w:tc>
        <w:tc>
          <w:tcPr>
            <w:tcW w:w="0" w:type="dxa"/>
            <w:vAlign w:val="bottom"/>
          </w:tcPr>
          <w:p>
            <w:pPr>
              <w:spacing w:after="0"/>
              <w:rPr>
                <w:sz w:val="1"/>
                <w:szCs w:val="1"/>
                <w:color w:val="auto"/>
              </w:rPr>
            </w:pPr>
          </w:p>
        </w:tc>
      </w:tr>
    </w:tbl>
    <w:p>
      <w:pPr>
        <w:spacing w:after="0" w:line="187" w:lineRule="exact"/>
        <w:rPr>
          <w:sz w:val="20"/>
          <w:szCs w:val="20"/>
          <w:color w:val="auto"/>
        </w:rPr>
      </w:pPr>
    </w:p>
    <w:p>
      <w:pPr>
        <w:ind w:right="40" w:firstLine="449"/>
        <w:spacing w:after="0" w:line="259" w:lineRule="auto"/>
        <w:rPr>
          <w:sz w:val="20"/>
          <w:szCs w:val="20"/>
          <w:color w:val="auto"/>
        </w:rPr>
      </w:pPr>
      <w:r>
        <w:rPr>
          <w:rFonts w:ascii="Arial" w:cs="Arial" w:eastAsia="Arial" w:hAnsi="Arial"/>
          <w:sz w:val="18"/>
          <w:szCs w:val="18"/>
          <w:color w:val="auto"/>
        </w:rPr>
        <w:t>Although management believes that this measure is indicative of our sensitivity to interest rate changes, it does not adjust for potential changes in the credit market, credit quality, size and composition of the assets on the Consolidated Statement of Assets and Liabilities and other business developments that could affect net increase in net assets resulting from operations, or net investment income. Accordingly, no assurances can be given that actual results would not differ materially from those shown above.</w:t>
      </w:r>
    </w:p>
    <w:p>
      <w:pPr>
        <w:spacing w:after="0" w:line="187" w:lineRule="exact"/>
        <w:rPr>
          <w:sz w:val="20"/>
          <w:szCs w:val="20"/>
          <w:color w:val="auto"/>
        </w:rPr>
      </w:pPr>
    </w:p>
    <w:p>
      <w:pPr>
        <w:ind w:right="120" w:firstLine="449"/>
        <w:spacing w:after="0" w:line="263" w:lineRule="auto"/>
        <w:rPr>
          <w:sz w:val="20"/>
          <w:szCs w:val="20"/>
          <w:color w:val="auto"/>
        </w:rPr>
      </w:pPr>
      <w:r>
        <w:rPr>
          <w:rFonts w:ascii="Arial" w:cs="Arial" w:eastAsia="Arial" w:hAnsi="Arial"/>
          <w:sz w:val="18"/>
          <w:szCs w:val="18"/>
          <w:color w:val="auto"/>
        </w:rPr>
        <w:t>Because we borrow money to make investments, our net investment income is dependent upon the difference between the rate at which we borrow funds and the rate at which we invest these funds as well as our level of leverage. As a result, there can be no assurance that a significant change in market interest rates will not have a material adverse effect on our net investment income or net assets.</w:t>
      </w:r>
    </w:p>
    <w:p>
      <w:pPr>
        <w:spacing w:after="0" w:line="184" w:lineRule="exact"/>
        <w:rPr>
          <w:sz w:val="20"/>
          <w:szCs w:val="20"/>
          <w:color w:val="auto"/>
        </w:rPr>
      </w:pPr>
    </w:p>
    <w:p>
      <w:pPr>
        <w:ind w:firstLine="449"/>
        <w:spacing w:after="0" w:line="259" w:lineRule="auto"/>
        <w:rPr>
          <w:sz w:val="20"/>
          <w:szCs w:val="20"/>
          <w:color w:val="auto"/>
        </w:rPr>
      </w:pPr>
      <w:r>
        <w:rPr>
          <w:rFonts w:ascii="Arial" w:cs="Arial" w:eastAsia="Arial" w:hAnsi="Arial"/>
          <w:sz w:val="18"/>
          <w:szCs w:val="18"/>
          <w:color w:val="auto"/>
        </w:rPr>
        <w:t>We may hedge against interest rate fluctuations by using standard hedging instruments such as futures, options and forward contracts subject to the requirements of the 1940 Act and applicable commodities laws. While hedging activities may insulate us against adverse changes in interest rates, they may also limit our ability to participate in benefits of lower interest rates with respect to our portfolio of investments with fixed interest rates. During the periods covered by this Report, we did not engage in interest rate hedging activities.</w:t>
      </w:r>
    </w:p>
    <w:p>
      <w:pPr>
        <w:spacing w:after="0" w:line="331" w:lineRule="exact"/>
        <w:rPr>
          <w:sz w:val="20"/>
          <w:szCs w:val="20"/>
          <w:color w:val="auto"/>
        </w:rPr>
      </w:pPr>
    </w:p>
    <w:p>
      <w:pPr>
        <w:spacing w:after="0"/>
        <w:tabs>
          <w:tab w:leader="none" w:pos="98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Controls and Procedures</w:t>
      </w:r>
    </w:p>
    <w:p>
      <w:pPr>
        <w:spacing w:after="0" w:line="121" w:lineRule="exact"/>
        <w:rPr>
          <w:sz w:val="20"/>
          <w:szCs w:val="20"/>
          <w:color w:val="auto"/>
        </w:rPr>
      </w:pPr>
    </w:p>
    <w:p>
      <w:pPr>
        <w:ind w:right="20" w:firstLine="449"/>
        <w:spacing w:after="0" w:line="270" w:lineRule="auto"/>
        <w:rPr>
          <w:sz w:val="20"/>
          <w:szCs w:val="20"/>
          <w:color w:val="auto"/>
        </w:rPr>
      </w:pPr>
      <w:r>
        <w:rPr>
          <w:rFonts w:ascii="Arial" w:cs="Arial" w:eastAsia="Arial" w:hAnsi="Arial"/>
          <w:sz w:val="17"/>
          <w:szCs w:val="17"/>
          <w:color w:val="auto"/>
        </w:rPr>
        <w:t>As of the period covered by this Report, we, including our Chief Executive Officer and Chief Financial Officer, evaluated the effectiveness of the design and operation of our disclosure controls and procedures (as defined in Rule 13a-15(e) of the Exchange Act). Based on that evaluation, our management, including the Chief Executive Officer and Chief Financial Officer, concluded that our disclosure controls and procedures were effective and provided reasonable assurance that information required to be disclosed in our periodic filings with the SEC is recorded, processed, summarized and reported within the time periods specified in the SEC’s rules and forms, and that such information is accumulated and communicated to our management, including our Chief Executive Officer and Chief Financial Officer, as appropriate, to allow timely decisions regarding required disclosure. However, in evaluating the disclosure controls and procedures, management recognized that any controls and procedures, no matter how well designed and operated can provide only reasonable assurance of achieving the desired control objectives, and management necessarily was required to apply its judgment in evaluating the cost-benefit relationship of such possible controls and procedures.</w:t>
      </w:r>
    </w:p>
    <w:p>
      <w:pPr>
        <w:spacing w:after="0" w:line="181" w:lineRule="exact"/>
        <w:rPr>
          <w:sz w:val="20"/>
          <w:szCs w:val="20"/>
          <w:color w:val="auto"/>
        </w:rPr>
      </w:pPr>
    </w:p>
    <w:p>
      <w:pPr>
        <w:ind w:right="420" w:firstLine="449"/>
        <w:spacing w:after="0" w:line="277" w:lineRule="auto"/>
        <w:rPr>
          <w:sz w:val="20"/>
          <w:szCs w:val="20"/>
          <w:color w:val="auto"/>
        </w:rPr>
      </w:pPr>
      <w:r>
        <w:rPr>
          <w:rFonts w:ascii="Arial" w:cs="Arial" w:eastAsia="Arial" w:hAnsi="Arial"/>
          <w:sz w:val="18"/>
          <w:szCs w:val="18"/>
          <w:color w:val="auto"/>
        </w:rPr>
        <w:t>There have been no changes in our internal control over financial reporting that occurred during the quarter ended December 31, 2013 that have materially affected, or are reasonably likely to materially affect, our internal control over financial reporting.</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240"/>
          </w:cols>
          <w:pgMar w:left="320" w:top="459" w:right="33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 OTHER INFORMATION</w:t>
      </w:r>
    </w:p>
    <w:p>
      <w:pPr>
        <w:spacing w:after="0" w:line="131" w:lineRule="exact"/>
        <w:rPr>
          <w:sz w:val="20"/>
          <w:szCs w:val="20"/>
          <w:color w:val="auto"/>
        </w:rPr>
      </w:pPr>
    </w:p>
    <w:p>
      <w:pPr>
        <w:spacing w:after="0"/>
        <w:tabs>
          <w:tab w:leader="none" w:pos="98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Legal Proceedings</w:t>
      </w:r>
    </w:p>
    <w:p>
      <w:pPr>
        <w:spacing w:after="0" w:line="121" w:lineRule="exact"/>
        <w:rPr>
          <w:sz w:val="20"/>
          <w:szCs w:val="20"/>
          <w:color w:val="auto"/>
        </w:rPr>
      </w:pPr>
    </w:p>
    <w:p>
      <w:pPr>
        <w:ind w:firstLine="449"/>
        <w:spacing w:after="0" w:line="275" w:lineRule="auto"/>
        <w:rPr>
          <w:sz w:val="20"/>
          <w:szCs w:val="20"/>
          <w:color w:val="auto"/>
        </w:rPr>
      </w:pPr>
      <w:r>
        <w:rPr>
          <w:rFonts w:ascii="Arial" w:cs="Arial" w:eastAsia="Arial" w:hAnsi="Arial"/>
          <w:sz w:val="17"/>
          <w:szCs w:val="17"/>
          <w:color w:val="auto"/>
        </w:rPr>
        <w:t>Neither we nor our Investment Adviser nor our Administrator is currently subject to any material legal proceedings, nor, to our knowledge, is any material legal proceeding threatened against us, or against our Investment Adviser or Administrator. From time to time, we, our Investment Adviser or Administrator may be a party to certain legal proceedings in the ordinary course of business, including proceedings relating to the enforcement of our rights under contracts with our portfolio companies. While the outcome of these legal proceedings cannot be predicted with certainty, we do not expect that these proceedings will have a material effect upon our financial condition or results of operations.</w:t>
      </w:r>
    </w:p>
    <w:p>
      <w:pPr>
        <w:spacing w:after="0" w:line="321" w:lineRule="exact"/>
        <w:rPr>
          <w:sz w:val="20"/>
          <w:szCs w:val="20"/>
          <w:color w:val="auto"/>
        </w:rPr>
      </w:pPr>
    </w:p>
    <w:p>
      <w:pPr>
        <w:spacing w:after="0"/>
        <w:tabs>
          <w:tab w:leader="none" w:pos="98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6"/>
          <w:szCs w:val="16"/>
          <w:b w:val="1"/>
          <w:bCs w:val="1"/>
          <w:color w:val="auto"/>
        </w:rPr>
        <w:t>Risk Factors</w:t>
      </w:r>
    </w:p>
    <w:p>
      <w:pPr>
        <w:spacing w:after="0" w:line="121" w:lineRule="exact"/>
        <w:rPr>
          <w:sz w:val="20"/>
          <w:szCs w:val="20"/>
          <w:color w:val="auto"/>
        </w:rPr>
      </w:pPr>
    </w:p>
    <w:p>
      <w:pPr>
        <w:ind w:right="220" w:firstLine="449"/>
        <w:spacing w:after="0" w:line="257" w:lineRule="auto"/>
        <w:rPr>
          <w:sz w:val="20"/>
          <w:szCs w:val="20"/>
          <w:color w:val="auto"/>
        </w:rPr>
      </w:pPr>
      <w:r>
        <w:rPr>
          <w:rFonts w:ascii="Arial" w:cs="Arial" w:eastAsia="Arial" w:hAnsi="Arial"/>
          <w:sz w:val="18"/>
          <w:szCs w:val="18"/>
          <w:color w:val="auto"/>
        </w:rPr>
        <w:t>In addition to the other information set forth in this Report, you should consider carefully the factors discussed in Part I “Item 1A. Risk Factors” in our Annual Report on Form 10-K for the fiscal year ended September 30, 2013, which could materially affect our business, financial condition and/or operating results. The risks described in our Annual Report on Form 10-K are not the only risks facing PennantPark Investment. Additional risks and uncertainties not currently known to us or that we currently deem to be immaterial also may materially and adversely affect our business, financial condition and/or operating results.</w:t>
      </w:r>
    </w:p>
    <w:p>
      <w:pPr>
        <w:spacing w:after="0" w:line="332" w:lineRule="exact"/>
        <w:rPr>
          <w:sz w:val="20"/>
          <w:szCs w:val="20"/>
          <w:color w:val="auto"/>
        </w:rPr>
      </w:pPr>
    </w:p>
    <w:p>
      <w:pPr>
        <w:spacing w:after="0"/>
        <w:tabs>
          <w:tab w:leader="none" w:pos="98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Unregistered Sales of Equity Securities and Use of Proceeds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370" w:lineRule="exact"/>
        <w:rPr>
          <w:sz w:val="20"/>
          <w:szCs w:val="20"/>
          <w:color w:val="auto"/>
        </w:rPr>
      </w:pPr>
    </w:p>
    <w:p>
      <w:pPr>
        <w:spacing w:after="0"/>
        <w:tabs>
          <w:tab w:leader="none" w:pos="98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Defaults Upon Senior Securities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370" w:lineRule="exact"/>
        <w:rPr>
          <w:sz w:val="20"/>
          <w:szCs w:val="20"/>
          <w:color w:val="auto"/>
        </w:rPr>
      </w:pPr>
    </w:p>
    <w:p>
      <w:pPr>
        <w:spacing w:after="0"/>
        <w:tabs>
          <w:tab w:leader="none" w:pos="98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Mine Safety Disclosure</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Not applicable.</w:t>
      </w:r>
    </w:p>
    <w:p>
      <w:pPr>
        <w:spacing w:after="0" w:line="370" w:lineRule="exact"/>
        <w:rPr>
          <w:sz w:val="20"/>
          <w:szCs w:val="20"/>
          <w:color w:val="auto"/>
        </w:rPr>
      </w:pPr>
    </w:p>
    <w:p>
      <w:pPr>
        <w:spacing w:after="0"/>
        <w:tabs>
          <w:tab w:leader="none" w:pos="98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7"/>
          <w:szCs w:val="17"/>
          <w:b w:val="1"/>
          <w:bCs w:val="1"/>
          <w:color w:val="auto"/>
        </w:rPr>
        <w:t>Other Information</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240"/>
          </w:cols>
          <w:pgMar w:left="320" w:top="459" w:right="33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tabs>
          <w:tab w:leader="none" w:pos="98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Exhibits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Unless specifically indicated otherwise, the following exhibits are incorporated by reference to exhibits previously filed with the SEC:</w:t>
      </w:r>
    </w:p>
    <w:p>
      <w:pPr>
        <w:spacing w:after="0" w:line="252" w:lineRule="exact"/>
        <w:rPr>
          <w:sz w:val="20"/>
          <w:szCs w:val="20"/>
          <w:color w:val="auto"/>
        </w:rPr>
      </w:pPr>
    </w:p>
    <w:p>
      <w:pPr>
        <w:ind w:left="900" w:right="300" w:hanging="800"/>
        <w:spacing w:after="0" w:line="277" w:lineRule="auto"/>
        <w:tabs>
          <w:tab w:leader="none" w:pos="880" w:val="left"/>
        </w:tabs>
        <w:rPr>
          <w:sz w:val="20"/>
          <w:szCs w:val="20"/>
          <w:color w:val="auto"/>
        </w:rPr>
      </w:pPr>
      <w:r>
        <w:rPr>
          <w:rFonts w:ascii="Arial" w:cs="Arial" w:eastAsia="Arial" w:hAnsi="Arial"/>
          <w:sz w:val="18"/>
          <w:szCs w:val="18"/>
          <w:color w:val="auto"/>
        </w:rPr>
        <w:t>3.1</w:t>
      </w:r>
      <w:r>
        <w:rPr>
          <w:sz w:val="20"/>
          <w:szCs w:val="20"/>
          <w:color w:val="auto"/>
        </w:rPr>
        <w:tab/>
      </w:r>
      <w:r>
        <w:rPr>
          <w:rFonts w:ascii="Arial" w:cs="Arial" w:eastAsia="Arial" w:hAnsi="Arial"/>
          <w:sz w:val="18"/>
          <w:szCs w:val="18"/>
          <w:color w:val="auto"/>
        </w:rPr>
        <w:t>Articles of Incorporation (Incorporated by reference to Exhibit 99(a) to the Registrant’s Pre-Effective Amendment No.3 to the Registration Statement on Form N-2/A (File No. 333-140092), filed on April 5, 2007).</w:t>
      </w:r>
    </w:p>
    <w:p>
      <w:pPr>
        <w:spacing w:after="0" w:line="62" w:lineRule="exact"/>
        <w:rPr>
          <w:sz w:val="20"/>
          <w:szCs w:val="20"/>
          <w:color w:val="auto"/>
        </w:rPr>
      </w:pPr>
    </w:p>
    <w:p>
      <w:pPr>
        <w:ind w:left="900" w:right="280" w:hanging="800"/>
        <w:spacing w:after="0" w:line="277" w:lineRule="auto"/>
        <w:tabs>
          <w:tab w:leader="none" w:pos="880" w:val="left"/>
        </w:tabs>
        <w:rPr>
          <w:sz w:val="20"/>
          <w:szCs w:val="20"/>
          <w:color w:val="auto"/>
        </w:rPr>
      </w:pPr>
      <w:r>
        <w:rPr>
          <w:rFonts w:ascii="Arial" w:cs="Arial" w:eastAsia="Arial" w:hAnsi="Arial"/>
          <w:sz w:val="18"/>
          <w:szCs w:val="18"/>
          <w:color w:val="auto"/>
        </w:rPr>
        <w:t>3.2</w:t>
      </w:r>
      <w:r>
        <w:rPr>
          <w:sz w:val="20"/>
          <w:szCs w:val="20"/>
          <w:color w:val="auto"/>
        </w:rPr>
        <w:tab/>
      </w:r>
      <w:r>
        <w:rPr>
          <w:rFonts w:ascii="Arial" w:cs="Arial" w:eastAsia="Arial" w:hAnsi="Arial"/>
          <w:sz w:val="18"/>
          <w:szCs w:val="18"/>
          <w:color w:val="auto"/>
        </w:rPr>
        <w:t>Amended and Restated Bylaws of the Registrant (Incorporated by reference to Exhibit 3.2 to the Registrant’s Annual Report on Form 10-K (File No. 814-00736), filed on November 13, 2013).</w:t>
      </w:r>
    </w:p>
    <w:p>
      <w:pPr>
        <w:spacing w:after="0" w:line="62" w:lineRule="exact"/>
        <w:rPr>
          <w:sz w:val="20"/>
          <w:szCs w:val="20"/>
          <w:color w:val="auto"/>
        </w:rPr>
      </w:pPr>
    </w:p>
    <w:p>
      <w:pPr>
        <w:ind w:left="100"/>
        <w:spacing w:after="0"/>
        <w:tabs>
          <w:tab w:leader="none" w:pos="880" w:val="left"/>
        </w:tabs>
        <w:rPr>
          <w:sz w:val="20"/>
          <w:szCs w:val="20"/>
          <w:color w:val="auto"/>
        </w:rPr>
      </w:pPr>
      <w:r>
        <w:rPr>
          <w:rFonts w:ascii="Arial" w:cs="Arial" w:eastAsia="Arial" w:hAnsi="Arial"/>
          <w:sz w:val="18"/>
          <w:szCs w:val="18"/>
          <w:color w:val="auto"/>
        </w:rPr>
        <w:t>4.1</w:t>
      </w:r>
      <w:r>
        <w:rPr>
          <w:sz w:val="20"/>
          <w:szCs w:val="20"/>
          <w:color w:val="auto"/>
        </w:rPr>
        <w:tab/>
      </w:r>
      <w:r>
        <w:rPr>
          <w:rFonts w:ascii="Arial" w:cs="Arial" w:eastAsia="Arial" w:hAnsi="Arial"/>
          <w:sz w:val="16"/>
          <w:szCs w:val="16"/>
          <w:color w:val="auto"/>
        </w:rPr>
        <w:t>Form of Share Certificate (Incorporated by reference to Exhibit 99(d)(1) to the Registrant’s Registration Statement on Form N-2 (File No. 333-</w:t>
      </w:r>
    </w:p>
    <w:p>
      <w:pPr>
        <w:spacing w:after="0" w:line="23" w:lineRule="exact"/>
        <w:rPr>
          <w:sz w:val="20"/>
          <w:szCs w:val="20"/>
          <w:color w:val="auto"/>
        </w:rPr>
      </w:pPr>
    </w:p>
    <w:p>
      <w:pPr>
        <w:ind w:left="900"/>
        <w:spacing w:after="0"/>
        <w:rPr>
          <w:sz w:val="20"/>
          <w:szCs w:val="20"/>
          <w:color w:val="auto"/>
        </w:rPr>
      </w:pPr>
      <w:r>
        <w:rPr>
          <w:rFonts w:ascii="Arial" w:cs="Arial" w:eastAsia="Arial" w:hAnsi="Arial"/>
          <w:sz w:val="18"/>
          <w:szCs w:val="18"/>
          <w:color w:val="auto"/>
        </w:rPr>
        <w:t>150033), filed on April 2, 2008).</w:t>
      </w:r>
    </w:p>
    <w:p>
      <w:pPr>
        <w:spacing w:after="0" w:line="103" w:lineRule="exact"/>
        <w:rPr>
          <w:sz w:val="20"/>
          <w:szCs w:val="20"/>
          <w:color w:val="auto"/>
        </w:rPr>
      </w:pPr>
    </w:p>
    <w:p>
      <w:pPr>
        <w:ind w:left="900" w:hanging="892"/>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Computation of Per Share Earnings (included in the notes to the Consolidated Financial Statements contained in this Report).</w:t>
      </w:r>
    </w:p>
    <w:p>
      <w:pPr>
        <w:spacing w:after="0" w:line="117"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31.1 *</w:t>
      </w:r>
      <w:r>
        <w:rPr>
          <w:rFonts w:ascii="Arial" w:cs="Arial" w:eastAsia="Arial" w:hAnsi="Arial"/>
          <w:sz w:val="16"/>
          <w:szCs w:val="16"/>
          <w:color w:val="auto"/>
        </w:rPr>
        <w:t>Certification of Chief Executive Officer pursuant to Rule 13a-14 of the Securities Exchange Act of 1934, as amended.</w:t>
      </w:r>
    </w:p>
    <w:p>
      <w:pPr>
        <w:spacing w:after="0" w:line="117"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31.2 *</w:t>
      </w:r>
      <w:r>
        <w:rPr>
          <w:rFonts w:ascii="Arial" w:cs="Arial" w:eastAsia="Arial" w:hAnsi="Arial"/>
          <w:sz w:val="16"/>
          <w:szCs w:val="16"/>
          <w:color w:val="auto"/>
        </w:rPr>
        <w:t>Certification of Chief Financial Officer pursuant to Rule 13a-14 of the Securities Exchange Act of 1934, as amended.</w:t>
      </w:r>
    </w:p>
    <w:p>
      <w:pPr>
        <w:spacing w:after="0" w:line="117"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32.1 *</w:t>
      </w:r>
      <w:r>
        <w:rPr>
          <w:rFonts w:ascii="Arial" w:cs="Arial" w:eastAsia="Arial" w:hAnsi="Arial"/>
          <w:sz w:val="16"/>
          <w:szCs w:val="16"/>
          <w:color w:val="auto"/>
        </w:rPr>
        <w:t>Certification of Chief Executive Officer pursuant to Section 906 of the Sarbanes-Oxley Act of 2002.</w:t>
      </w:r>
    </w:p>
    <w:p>
      <w:pPr>
        <w:spacing w:after="0" w:line="117"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32.2 *</w:t>
      </w:r>
      <w:r>
        <w:rPr>
          <w:rFonts w:ascii="Arial" w:cs="Arial" w:eastAsia="Arial" w:hAnsi="Arial"/>
          <w:sz w:val="16"/>
          <w:szCs w:val="16"/>
          <w:color w:val="auto"/>
        </w:rPr>
        <w:t>Certification of Chief Financial Officer pursuant to Section 906 of the Sarbanes-Oxley Act of 2002.</w:t>
      </w:r>
    </w:p>
    <w:p>
      <w:pPr>
        <w:spacing w:after="0" w:line="117"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6"/>
          <w:szCs w:val="16"/>
          <w:color w:val="auto"/>
        </w:rPr>
        <w:t>Privacy Policy of the Registrant (Incorporated by reference to Exhibit 99.1 to the Registrant’s Annual Report on Form 10-K (File No. 814-</w:t>
      </w:r>
    </w:p>
    <w:p>
      <w:pPr>
        <w:spacing w:after="0" w:line="23" w:lineRule="exact"/>
        <w:rPr>
          <w:sz w:val="20"/>
          <w:szCs w:val="20"/>
          <w:color w:val="auto"/>
        </w:rPr>
      </w:pPr>
    </w:p>
    <w:p>
      <w:pPr>
        <w:ind w:left="900"/>
        <w:spacing w:after="0"/>
        <w:rPr>
          <w:sz w:val="20"/>
          <w:szCs w:val="20"/>
          <w:color w:val="auto"/>
        </w:rPr>
      </w:pPr>
      <w:r>
        <w:rPr>
          <w:rFonts w:ascii="Arial" w:cs="Arial" w:eastAsia="Arial" w:hAnsi="Arial"/>
          <w:sz w:val="18"/>
          <w:szCs w:val="18"/>
          <w:color w:val="auto"/>
        </w:rPr>
        <w:t>00736), filed on November 16, 2011).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91440</wp:posOffset>
            </wp:positionV>
            <wp:extent cx="71120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1200" cy="8255"/>
                    </a:xfrm>
                    <a:prstGeom prst="rect">
                      <a:avLst/>
                    </a:prstGeom>
                    <a:noFill/>
                  </pic:spPr>
                </pic:pic>
              </a:graphicData>
            </a:graphic>
          </wp:anchor>
        </w:drawing>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color w:val="auto"/>
        </w:rPr>
        <w:t>*  Filed herewith.</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200"/>
          </w:cols>
          <w:pgMar w:left="320" w:top="459" w:right="37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449"/>
        <w:spacing w:after="0" w:line="277" w:lineRule="auto"/>
        <w:rPr>
          <w:sz w:val="20"/>
          <w:szCs w:val="20"/>
          <w:color w:val="auto"/>
        </w:rPr>
      </w:pPr>
      <w:r>
        <w:rPr>
          <w:rFonts w:ascii="Arial" w:cs="Arial" w:eastAsia="Arial" w:hAnsi="Arial"/>
          <w:sz w:val="18"/>
          <w:szCs w:val="18"/>
          <w:color w:val="auto"/>
        </w:rPr>
        <w:t>Pursuant to the requirements of Section 13(a) or 15(d) of the Securities Exchange Act of 1934, the registrant has duly caused this Report on Form 10-Q to be signed on its behalf by the undersigned, thereunto duly authorized.</w:t>
      </w:r>
    </w:p>
    <w:p>
      <w:pPr>
        <w:spacing w:after="0" w:line="197" w:lineRule="exact"/>
        <w:rPr>
          <w:sz w:val="20"/>
          <w:szCs w:val="20"/>
          <w:color w:val="auto"/>
        </w:rPr>
      </w:pPr>
    </w:p>
    <w:p>
      <w:pPr>
        <w:ind w:left="6420"/>
        <w:spacing w:after="0"/>
        <w:rPr>
          <w:sz w:val="20"/>
          <w:szCs w:val="20"/>
          <w:color w:val="auto"/>
        </w:rPr>
      </w:pPr>
      <w:r>
        <w:rPr>
          <w:rFonts w:ascii="Arial" w:cs="Arial" w:eastAsia="Arial" w:hAnsi="Arial"/>
          <w:sz w:val="18"/>
          <w:szCs w:val="18"/>
          <w:color w:val="auto"/>
        </w:rPr>
        <w:t>PENNANTPARK INVESTMENT CORPORATION</w:t>
      </w:r>
    </w:p>
    <w:p>
      <w:pPr>
        <w:spacing w:after="0" w:line="225" w:lineRule="exact"/>
        <w:rPr>
          <w:sz w:val="20"/>
          <w:szCs w:val="20"/>
          <w:color w:val="auto"/>
        </w:rPr>
      </w:pPr>
    </w:p>
    <w:p>
      <w:pPr>
        <w:spacing w:after="0"/>
        <w:tabs>
          <w:tab w:leader="none" w:pos="5380" w:val="left"/>
          <w:tab w:leader="none" w:pos="7680" w:val="left"/>
          <w:tab w:leader="none" w:pos="8020" w:val="left"/>
        </w:tabs>
        <w:rPr>
          <w:sz w:val="20"/>
          <w:szCs w:val="20"/>
          <w:color w:val="auto"/>
        </w:rPr>
      </w:pPr>
      <w:r>
        <w:rPr>
          <w:rFonts w:ascii="Arial" w:cs="Arial" w:eastAsia="Arial" w:hAnsi="Arial"/>
          <w:sz w:val="18"/>
          <w:szCs w:val="18"/>
          <w:color w:val="auto"/>
        </w:rPr>
        <w:t>Date: February 5, 2014</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Arthur H. Penn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14605</wp:posOffset>
            </wp:positionV>
            <wp:extent cx="335153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12" w:lineRule="exact"/>
        <w:rPr>
          <w:sz w:val="20"/>
          <w:szCs w:val="20"/>
          <w:color w:val="auto"/>
        </w:rPr>
      </w:pPr>
    </w:p>
    <w:p>
      <w:pPr>
        <w:jc w:val="center"/>
        <w:ind w:left="5960"/>
        <w:spacing w:after="0"/>
        <w:rPr>
          <w:sz w:val="20"/>
          <w:szCs w:val="20"/>
          <w:color w:val="auto"/>
        </w:rPr>
      </w:pPr>
      <w:r>
        <w:rPr>
          <w:rFonts w:ascii="Arial" w:cs="Arial" w:eastAsia="Arial" w:hAnsi="Arial"/>
          <w:sz w:val="18"/>
          <w:szCs w:val="18"/>
          <w:b w:val="1"/>
          <w:bCs w:val="1"/>
          <w:color w:val="auto"/>
        </w:rPr>
        <w:t>Arthur H. Penn</w:t>
      </w:r>
    </w:p>
    <w:p>
      <w:pPr>
        <w:spacing w:after="0" w:line="27" w:lineRule="exact"/>
        <w:rPr>
          <w:sz w:val="20"/>
          <w:szCs w:val="20"/>
          <w:color w:val="auto"/>
        </w:rPr>
      </w:pPr>
    </w:p>
    <w:p>
      <w:pPr>
        <w:jc w:val="center"/>
        <w:ind w:left="5960"/>
        <w:spacing w:after="0"/>
        <w:rPr>
          <w:sz w:val="20"/>
          <w:szCs w:val="20"/>
          <w:color w:val="auto"/>
        </w:rPr>
      </w:pPr>
      <w:r>
        <w:rPr>
          <w:rFonts w:ascii="Arial" w:cs="Arial" w:eastAsia="Arial" w:hAnsi="Arial"/>
          <w:sz w:val="17"/>
          <w:szCs w:val="17"/>
          <w:b w:val="1"/>
          <w:bCs w:val="1"/>
          <w:color w:val="auto"/>
        </w:rPr>
        <w:t>Chairman of the Board of Directors and Chief Executive Officer</w:t>
      </w:r>
    </w:p>
    <w:p>
      <w:pPr>
        <w:spacing w:after="0" w:line="21" w:lineRule="exact"/>
        <w:rPr>
          <w:sz w:val="20"/>
          <w:szCs w:val="20"/>
          <w:color w:val="auto"/>
        </w:rPr>
      </w:pPr>
    </w:p>
    <w:p>
      <w:pPr>
        <w:jc w:val="center"/>
        <w:ind w:left="5960"/>
        <w:spacing w:after="0"/>
        <w:rPr>
          <w:sz w:val="20"/>
          <w:szCs w:val="20"/>
          <w:color w:val="auto"/>
        </w:rPr>
      </w:pPr>
      <w:r>
        <w:rPr>
          <w:rFonts w:ascii="Arial" w:cs="Arial" w:eastAsia="Arial" w:hAnsi="Arial"/>
          <w:sz w:val="18"/>
          <w:szCs w:val="18"/>
          <w:b w:val="1"/>
          <w:bCs w:val="1"/>
          <w:color w:val="auto"/>
        </w:rPr>
        <w:t>(Principal Executive Officer)</w:t>
      </w:r>
    </w:p>
    <w:p>
      <w:pPr>
        <w:spacing w:after="0" w:line="224" w:lineRule="exact"/>
        <w:rPr>
          <w:sz w:val="20"/>
          <w:szCs w:val="20"/>
          <w:color w:val="auto"/>
        </w:rPr>
      </w:pPr>
    </w:p>
    <w:p>
      <w:pPr>
        <w:spacing w:after="0"/>
        <w:tabs>
          <w:tab w:leader="none" w:pos="5380" w:val="left"/>
          <w:tab w:leader="none" w:pos="7860" w:val="left"/>
          <w:tab w:leader="none" w:pos="8200" w:val="left"/>
        </w:tabs>
        <w:rPr>
          <w:sz w:val="20"/>
          <w:szCs w:val="20"/>
          <w:color w:val="auto"/>
        </w:rPr>
      </w:pPr>
      <w:r>
        <w:rPr>
          <w:rFonts w:ascii="Arial" w:cs="Arial" w:eastAsia="Arial" w:hAnsi="Arial"/>
          <w:sz w:val="18"/>
          <w:szCs w:val="18"/>
          <w:color w:val="auto"/>
        </w:rPr>
        <w:t>Date: February 5, 2014</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w:t>
      </w:r>
      <w:r>
        <w:rPr>
          <w:sz w:val="20"/>
          <w:szCs w:val="20"/>
          <w:color w:val="auto"/>
        </w:rPr>
        <w:tab/>
      </w:r>
      <w:r>
        <w:rPr>
          <w:rFonts w:ascii="Arial" w:cs="Arial" w:eastAsia="Arial" w:hAnsi="Arial"/>
          <w:sz w:val="17"/>
          <w:szCs w:val="17"/>
          <w:color w:val="auto"/>
        </w:rPr>
        <w:t>Aviv Efrat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14605</wp:posOffset>
            </wp:positionV>
            <wp:extent cx="335153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3351530" cy="8890"/>
                    </a:xfrm>
                    <a:prstGeom prst="rect">
                      <a:avLst/>
                    </a:prstGeom>
                    <a:noFill/>
                  </pic:spPr>
                </pic:pic>
              </a:graphicData>
            </a:graphic>
          </wp:anchor>
        </w:drawing>
      </w:r>
    </w:p>
    <w:p>
      <w:pPr>
        <w:spacing w:after="0" w:line="12" w:lineRule="exact"/>
        <w:rPr>
          <w:sz w:val="20"/>
          <w:szCs w:val="20"/>
          <w:color w:val="auto"/>
        </w:rPr>
      </w:pPr>
    </w:p>
    <w:p>
      <w:pPr>
        <w:jc w:val="center"/>
        <w:ind w:left="5960"/>
        <w:spacing w:after="0"/>
        <w:rPr>
          <w:sz w:val="20"/>
          <w:szCs w:val="20"/>
          <w:color w:val="auto"/>
        </w:rPr>
      </w:pPr>
      <w:r>
        <w:rPr>
          <w:rFonts w:ascii="Arial" w:cs="Arial" w:eastAsia="Arial" w:hAnsi="Arial"/>
          <w:sz w:val="18"/>
          <w:szCs w:val="18"/>
          <w:b w:val="1"/>
          <w:bCs w:val="1"/>
          <w:color w:val="auto"/>
        </w:rPr>
        <w:t>Aviv Efrat</w:t>
      </w:r>
    </w:p>
    <w:p>
      <w:pPr>
        <w:spacing w:after="0" w:line="27" w:lineRule="exact"/>
        <w:rPr>
          <w:sz w:val="20"/>
          <w:szCs w:val="20"/>
          <w:color w:val="auto"/>
        </w:rPr>
      </w:pPr>
    </w:p>
    <w:p>
      <w:pPr>
        <w:jc w:val="center"/>
        <w:ind w:left="5960"/>
        <w:spacing w:after="0"/>
        <w:rPr>
          <w:sz w:val="20"/>
          <w:szCs w:val="20"/>
          <w:color w:val="auto"/>
        </w:rPr>
      </w:pPr>
      <w:r>
        <w:rPr>
          <w:rFonts w:ascii="Arial" w:cs="Arial" w:eastAsia="Arial" w:hAnsi="Arial"/>
          <w:sz w:val="18"/>
          <w:szCs w:val="18"/>
          <w:b w:val="1"/>
          <w:bCs w:val="1"/>
          <w:color w:val="auto"/>
        </w:rPr>
        <w:t>Chief Financial Officer and Treasurer</w:t>
      </w:r>
    </w:p>
    <w:p>
      <w:pPr>
        <w:spacing w:after="0" w:line="9" w:lineRule="exact"/>
        <w:rPr>
          <w:sz w:val="20"/>
          <w:szCs w:val="20"/>
          <w:color w:val="auto"/>
        </w:rPr>
      </w:pPr>
    </w:p>
    <w:p>
      <w:pPr>
        <w:jc w:val="center"/>
        <w:ind w:left="5960"/>
        <w:spacing w:after="0"/>
        <w:rPr>
          <w:sz w:val="20"/>
          <w:szCs w:val="20"/>
          <w:color w:val="auto"/>
        </w:rPr>
      </w:pPr>
      <w:r>
        <w:rPr>
          <w:rFonts w:ascii="Arial" w:cs="Arial" w:eastAsia="Arial" w:hAnsi="Arial"/>
          <w:sz w:val="18"/>
          <w:szCs w:val="18"/>
          <w:b w:val="1"/>
          <w:bCs w:val="1"/>
          <w:color w:val="auto"/>
        </w:rPr>
        <w:t>(Principal Financial and Accounting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240"/>
          </w:cols>
          <w:pgMar w:left="320" w:top="459" w:right="339" w:bottom="1440" w:gutter="0" w:footer="0" w:header="0"/>
        </w:sectPr>
      </w:pPr>
    </w:p>
    <w:bookmarkStart w:id="45" w:name="page46"/>
    <w:bookmarkEnd w:id="45"/>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ind w:left="3660"/>
        <w:spacing w:after="0"/>
        <w:rPr>
          <w:sz w:val="20"/>
          <w:szCs w:val="20"/>
          <w:color w:val="auto"/>
        </w:rPr>
      </w:pPr>
      <w:r>
        <w:rPr>
          <w:rFonts w:ascii="Arial" w:cs="Arial" w:eastAsia="Arial" w:hAnsi="Arial"/>
          <w:sz w:val="18"/>
          <w:szCs w:val="18"/>
          <w:b w:val="1"/>
          <w:bCs w:val="1"/>
          <w:color w:val="auto"/>
        </w:rPr>
        <w:t>CERTIFICATION PURSUANT TO SECTION 302</w:t>
      </w:r>
    </w:p>
    <w:p>
      <w:pPr>
        <w:spacing w:after="0" w:line="27" w:lineRule="exact"/>
        <w:rPr>
          <w:sz w:val="20"/>
          <w:szCs w:val="20"/>
          <w:color w:val="auto"/>
        </w:rPr>
      </w:pPr>
    </w:p>
    <w:p>
      <w:pPr>
        <w:ind w:left="3600"/>
        <w:spacing w:after="0"/>
        <w:rPr>
          <w:sz w:val="20"/>
          <w:szCs w:val="20"/>
          <w:color w:val="auto"/>
        </w:rPr>
      </w:pPr>
      <w:r>
        <w:rPr>
          <w:rFonts w:ascii="Arial" w:cs="Arial" w:eastAsia="Arial" w:hAnsi="Arial"/>
          <w:sz w:val="18"/>
          <w:szCs w:val="18"/>
          <w:b w:val="1"/>
          <w:bCs w:val="1"/>
          <w:color w:val="auto"/>
        </w:rPr>
        <w:t>CHIEF EXECUTIVE OFFICER CERTIFICATION</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Arthur H. Penn, Chief Executive Officer of PennantPark Investment Corporation, certify that:</w:t>
      </w:r>
    </w:p>
    <w:p>
      <w:pPr>
        <w:spacing w:after="0" w:line="225" w:lineRule="exact"/>
        <w:rPr>
          <w:sz w:val="20"/>
          <w:szCs w:val="20"/>
          <w:color w:val="auto"/>
        </w:rPr>
      </w:pPr>
    </w:p>
    <w:p>
      <w:pPr>
        <w:ind w:left="180" w:hanging="172"/>
        <w:spacing w:after="0"/>
        <w:tabs>
          <w:tab w:leader="none" w:pos="1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 have reviewed this Report on Form 10-Q of PennantPark Investment Corporation;</w:t>
      </w:r>
    </w:p>
    <w:p>
      <w:pPr>
        <w:spacing w:after="0" w:line="225" w:lineRule="exact"/>
        <w:rPr>
          <w:rFonts w:ascii="Arial" w:cs="Arial" w:eastAsia="Arial" w:hAnsi="Arial"/>
          <w:sz w:val="18"/>
          <w:szCs w:val="18"/>
          <w:color w:val="auto"/>
        </w:rPr>
      </w:pPr>
    </w:p>
    <w:p>
      <w:pPr>
        <w:ind w:right="200" w:firstLine="8"/>
        <w:spacing w:after="0" w:line="342" w:lineRule="auto"/>
        <w:tabs>
          <w:tab w:leader="none" w:pos="180" w:val="left"/>
        </w:tabs>
        <w:numPr>
          <w:ilvl w:val="0"/>
          <w:numId w:val="18"/>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right="420" w:firstLine="8"/>
        <w:spacing w:after="0" w:line="342" w:lineRule="auto"/>
        <w:tabs>
          <w:tab w:leader="none" w:pos="180" w:val="left"/>
        </w:tabs>
        <w:numPr>
          <w:ilvl w:val="0"/>
          <w:numId w:val="18"/>
        </w:numPr>
        <w:rPr>
          <w:rFonts w:ascii="Arial" w:cs="Arial" w:eastAsia="Arial" w:hAnsi="Arial"/>
          <w:sz w:val="16"/>
          <w:szCs w:val="16"/>
          <w:color w:val="auto"/>
        </w:rPr>
      </w:pPr>
      <w:r>
        <w:rPr>
          <w:rFonts w:ascii="Arial" w:cs="Arial" w:eastAsia="Arial" w:hAnsi="Arial"/>
          <w:sz w:val="16"/>
          <w:szCs w:val="16"/>
          <w:color w:val="auto"/>
        </w:rPr>
        <w:t>Based on my knowledge, the consolidated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3" w:lineRule="exact"/>
        <w:rPr>
          <w:rFonts w:ascii="Arial" w:cs="Arial" w:eastAsia="Arial" w:hAnsi="Arial"/>
          <w:sz w:val="16"/>
          <w:szCs w:val="16"/>
          <w:color w:val="auto"/>
        </w:rPr>
      </w:pPr>
    </w:p>
    <w:p>
      <w:pPr>
        <w:ind w:right="20" w:firstLine="8"/>
        <w:spacing w:after="0" w:line="263" w:lineRule="auto"/>
        <w:tabs>
          <w:tab w:leader="none" w:pos="1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4" w:lineRule="exact"/>
        <w:rPr>
          <w:sz w:val="20"/>
          <w:szCs w:val="20"/>
          <w:color w:val="auto"/>
        </w:rPr>
      </w:pPr>
    </w:p>
    <w:p>
      <w:pPr>
        <w:ind w:firstLine="8"/>
        <w:spacing w:after="0" w:line="263" w:lineRule="auto"/>
        <w:tabs>
          <w:tab w:leader="none" w:pos="185" w:val="left"/>
        </w:tabs>
        <w:numPr>
          <w:ilvl w:val="0"/>
          <w:numId w:val="1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 and</w:t>
      </w:r>
    </w:p>
    <w:p>
      <w:pPr>
        <w:spacing w:after="0" w:line="183" w:lineRule="exact"/>
        <w:rPr>
          <w:rFonts w:ascii="Arial" w:cs="Arial" w:eastAsia="Arial" w:hAnsi="Arial"/>
          <w:sz w:val="18"/>
          <w:szCs w:val="18"/>
          <w:color w:val="auto"/>
        </w:rPr>
      </w:pPr>
    </w:p>
    <w:p>
      <w:pPr>
        <w:jc w:val="both"/>
        <w:ind w:right="100" w:firstLine="8"/>
        <w:spacing w:after="0" w:line="263" w:lineRule="auto"/>
        <w:tabs>
          <w:tab w:leader="none" w:pos="195" w:val="left"/>
        </w:tabs>
        <w:numPr>
          <w:ilvl w:val="0"/>
          <w:numId w:val="1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 and</w:t>
      </w:r>
    </w:p>
    <w:p>
      <w:pPr>
        <w:spacing w:after="0" w:line="183" w:lineRule="exact"/>
        <w:rPr>
          <w:rFonts w:ascii="Arial" w:cs="Arial" w:eastAsia="Arial" w:hAnsi="Arial"/>
          <w:sz w:val="18"/>
          <w:szCs w:val="18"/>
          <w:color w:val="auto"/>
        </w:rPr>
      </w:pPr>
    </w:p>
    <w:p>
      <w:pPr>
        <w:ind w:right="120" w:firstLine="8"/>
        <w:spacing w:after="0" w:line="277" w:lineRule="auto"/>
        <w:tabs>
          <w:tab w:leader="none" w:pos="185" w:val="left"/>
        </w:tabs>
        <w:numPr>
          <w:ilvl w:val="0"/>
          <w:numId w:val="19"/>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0" w:lineRule="exact"/>
        <w:rPr>
          <w:rFonts w:ascii="Arial" w:cs="Arial" w:eastAsia="Arial" w:hAnsi="Arial"/>
          <w:sz w:val="18"/>
          <w:szCs w:val="18"/>
          <w:color w:val="auto"/>
        </w:rPr>
      </w:pPr>
    </w:p>
    <w:p>
      <w:pPr>
        <w:ind w:right="320" w:firstLine="8"/>
        <w:spacing w:after="0" w:line="263" w:lineRule="auto"/>
        <w:tabs>
          <w:tab w:leader="none" w:pos="195" w:val="left"/>
        </w:tabs>
        <w:numPr>
          <w:ilvl w:val="0"/>
          <w:numId w:val="1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quarter in the case of an annual report) that has materially affected, or is reasonably likely to materially affect, the registrant’s internal control over financial reporting; and</w:t>
      </w:r>
    </w:p>
    <w:p>
      <w:pPr>
        <w:spacing w:after="0" w:line="184" w:lineRule="exact"/>
        <w:rPr>
          <w:sz w:val="20"/>
          <w:szCs w:val="20"/>
          <w:color w:val="auto"/>
        </w:rPr>
      </w:pPr>
    </w:p>
    <w:p>
      <w:pPr>
        <w:ind w:right="480" w:firstLine="8"/>
        <w:spacing w:after="0" w:line="308" w:lineRule="auto"/>
        <w:tabs>
          <w:tab w:leader="none" w:pos="180" w:val="left"/>
        </w:tabs>
        <w:numPr>
          <w:ilvl w:val="0"/>
          <w:numId w:val="20"/>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sz w:val="20"/>
          <w:szCs w:val="20"/>
          <w:color w:val="auto"/>
        </w:rPr>
      </w:pPr>
    </w:p>
    <w:p>
      <w:pPr>
        <w:ind w:right="120" w:firstLine="8"/>
        <w:spacing w:after="0" w:line="277" w:lineRule="auto"/>
        <w:tabs>
          <w:tab w:leader="none" w:pos="175" w:val="left"/>
        </w:tabs>
        <w:numPr>
          <w:ilvl w:val="0"/>
          <w:numId w:val="21"/>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right="320" w:firstLine="8"/>
        <w:spacing w:after="0" w:line="277" w:lineRule="auto"/>
        <w:tabs>
          <w:tab w:leader="none" w:pos="195" w:val="left"/>
        </w:tabs>
        <w:numPr>
          <w:ilvl w:val="0"/>
          <w:numId w:val="2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Dated: February 5, 2014</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/s/ Arthur H. Penn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84607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2846070"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Arthur H. Penn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w:t>
      </w:r>
    </w:p>
    <w:p>
      <w:pPr>
        <w:sectPr>
          <w:pgSz w:w="11900" w:h="16838" w:orient="portrait"/>
          <w:cols w:equalWidth="0" w:num="1">
            <w:col w:w="11240"/>
          </w:cols>
          <w:pgMar w:left="320" w:top="121" w:right="339" w:bottom="1440" w:gutter="0" w:footer="0" w:header="0"/>
        </w:sectPr>
      </w:pPr>
    </w:p>
    <w:bookmarkStart w:id="46" w:name="page47"/>
    <w:bookmarkEnd w:id="46"/>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ind w:left="3660"/>
        <w:spacing w:after="0"/>
        <w:rPr>
          <w:sz w:val="20"/>
          <w:szCs w:val="20"/>
          <w:color w:val="auto"/>
        </w:rPr>
      </w:pPr>
      <w:r>
        <w:rPr>
          <w:rFonts w:ascii="Arial" w:cs="Arial" w:eastAsia="Arial" w:hAnsi="Arial"/>
          <w:sz w:val="18"/>
          <w:szCs w:val="18"/>
          <w:b w:val="1"/>
          <w:bCs w:val="1"/>
          <w:color w:val="auto"/>
        </w:rPr>
        <w:t>CERTIFICATION PURSUANT TO SECTION 302</w:t>
      </w:r>
    </w:p>
    <w:p>
      <w:pPr>
        <w:spacing w:after="0" w:line="27" w:lineRule="exact"/>
        <w:rPr>
          <w:sz w:val="20"/>
          <w:szCs w:val="20"/>
          <w:color w:val="auto"/>
        </w:rPr>
      </w:pPr>
    </w:p>
    <w:p>
      <w:pPr>
        <w:ind w:left="3640"/>
        <w:spacing w:after="0"/>
        <w:rPr>
          <w:sz w:val="20"/>
          <w:szCs w:val="20"/>
          <w:color w:val="auto"/>
        </w:rPr>
      </w:pPr>
      <w:r>
        <w:rPr>
          <w:rFonts w:ascii="Arial" w:cs="Arial" w:eastAsia="Arial" w:hAnsi="Arial"/>
          <w:sz w:val="18"/>
          <w:szCs w:val="18"/>
          <w:b w:val="1"/>
          <w:bCs w:val="1"/>
          <w:color w:val="auto"/>
        </w:rPr>
        <w:t>CHIEF FINANCIAL OFFICER CERTIFICATION</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Aviv Efrat, Chief Financial Officer of PennantPark Investment Corporation, certify that:</w:t>
      </w:r>
    </w:p>
    <w:p>
      <w:pPr>
        <w:spacing w:after="0" w:line="225" w:lineRule="exact"/>
        <w:rPr>
          <w:sz w:val="20"/>
          <w:szCs w:val="20"/>
          <w:color w:val="auto"/>
        </w:rPr>
      </w:pPr>
    </w:p>
    <w:p>
      <w:pPr>
        <w:ind w:left="180" w:hanging="172"/>
        <w:spacing w:after="0"/>
        <w:tabs>
          <w:tab w:leader="none" w:pos="1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 have reviewed this Report on Form 10-Q of PennantPark Investment Corporation;</w:t>
      </w:r>
    </w:p>
    <w:p>
      <w:pPr>
        <w:spacing w:after="0" w:line="225" w:lineRule="exact"/>
        <w:rPr>
          <w:rFonts w:ascii="Arial" w:cs="Arial" w:eastAsia="Arial" w:hAnsi="Arial"/>
          <w:sz w:val="18"/>
          <w:szCs w:val="18"/>
          <w:color w:val="auto"/>
        </w:rPr>
      </w:pPr>
    </w:p>
    <w:p>
      <w:pPr>
        <w:ind w:right="200" w:firstLine="8"/>
        <w:spacing w:after="0" w:line="342" w:lineRule="auto"/>
        <w:tabs>
          <w:tab w:leader="none" w:pos="180" w:val="left"/>
        </w:tabs>
        <w:numPr>
          <w:ilvl w:val="0"/>
          <w:numId w:val="22"/>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right="420" w:firstLine="8"/>
        <w:spacing w:after="0" w:line="342" w:lineRule="auto"/>
        <w:tabs>
          <w:tab w:leader="none" w:pos="180" w:val="left"/>
        </w:tabs>
        <w:numPr>
          <w:ilvl w:val="0"/>
          <w:numId w:val="22"/>
        </w:numPr>
        <w:rPr>
          <w:rFonts w:ascii="Arial" w:cs="Arial" w:eastAsia="Arial" w:hAnsi="Arial"/>
          <w:sz w:val="16"/>
          <w:szCs w:val="16"/>
          <w:color w:val="auto"/>
        </w:rPr>
      </w:pPr>
      <w:r>
        <w:rPr>
          <w:rFonts w:ascii="Arial" w:cs="Arial" w:eastAsia="Arial" w:hAnsi="Arial"/>
          <w:sz w:val="16"/>
          <w:szCs w:val="16"/>
          <w:color w:val="auto"/>
        </w:rPr>
        <w:t>Based on my knowledge, the consolidated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3" w:lineRule="exact"/>
        <w:rPr>
          <w:rFonts w:ascii="Arial" w:cs="Arial" w:eastAsia="Arial" w:hAnsi="Arial"/>
          <w:sz w:val="16"/>
          <w:szCs w:val="16"/>
          <w:color w:val="auto"/>
        </w:rPr>
      </w:pPr>
    </w:p>
    <w:p>
      <w:pPr>
        <w:ind w:right="20" w:firstLine="8"/>
        <w:spacing w:after="0" w:line="263" w:lineRule="auto"/>
        <w:tabs>
          <w:tab w:leader="none" w:pos="1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internal control over financial reporting (as defined in Exchange Act Rules 13a-15(f) and 15d-15(f)) for the registrant and have:</w:t>
      </w:r>
    </w:p>
    <w:p>
      <w:pPr>
        <w:spacing w:after="0" w:line="184" w:lineRule="exact"/>
        <w:rPr>
          <w:sz w:val="20"/>
          <w:szCs w:val="20"/>
          <w:color w:val="auto"/>
        </w:rPr>
      </w:pPr>
    </w:p>
    <w:p>
      <w:pPr>
        <w:ind w:firstLine="8"/>
        <w:spacing w:after="0" w:line="263" w:lineRule="auto"/>
        <w:tabs>
          <w:tab w:leader="none" w:pos="185" w:val="left"/>
        </w:tabs>
        <w:numPr>
          <w:ilvl w:val="0"/>
          <w:numId w:val="2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 and</w:t>
      </w:r>
    </w:p>
    <w:p>
      <w:pPr>
        <w:spacing w:after="0" w:line="183" w:lineRule="exact"/>
        <w:rPr>
          <w:rFonts w:ascii="Arial" w:cs="Arial" w:eastAsia="Arial" w:hAnsi="Arial"/>
          <w:sz w:val="18"/>
          <w:szCs w:val="18"/>
          <w:color w:val="auto"/>
        </w:rPr>
      </w:pPr>
    </w:p>
    <w:p>
      <w:pPr>
        <w:jc w:val="both"/>
        <w:ind w:right="100" w:firstLine="8"/>
        <w:spacing w:after="0" w:line="263" w:lineRule="auto"/>
        <w:tabs>
          <w:tab w:leader="none" w:pos="195" w:val="left"/>
        </w:tabs>
        <w:numPr>
          <w:ilvl w:val="0"/>
          <w:numId w:val="2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 and</w:t>
      </w:r>
    </w:p>
    <w:p>
      <w:pPr>
        <w:spacing w:after="0" w:line="183" w:lineRule="exact"/>
        <w:rPr>
          <w:rFonts w:ascii="Arial" w:cs="Arial" w:eastAsia="Arial" w:hAnsi="Arial"/>
          <w:sz w:val="18"/>
          <w:szCs w:val="18"/>
          <w:color w:val="auto"/>
        </w:rPr>
      </w:pPr>
    </w:p>
    <w:p>
      <w:pPr>
        <w:ind w:right="120" w:firstLine="8"/>
        <w:spacing w:after="0" w:line="277" w:lineRule="auto"/>
        <w:tabs>
          <w:tab w:leader="none" w:pos="185" w:val="left"/>
        </w:tabs>
        <w:numPr>
          <w:ilvl w:val="0"/>
          <w:numId w:val="23"/>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0" w:lineRule="exact"/>
        <w:rPr>
          <w:rFonts w:ascii="Arial" w:cs="Arial" w:eastAsia="Arial" w:hAnsi="Arial"/>
          <w:sz w:val="18"/>
          <w:szCs w:val="18"/>
          <w:color w:val="auto"/>
        </w:rPr>
      </w:pPr>
    </w:p>
    <w:p>
      <w:pPr>
        <w:ind w:right="320" w:firstLine="8"/>
        <w:spacing w:after="0" w:line="263" w:lineRule="auto"/>
        <w:tabs>
          <w:tab w:leader="none" w:pos="195" w:val="left"/>
        </w:tabs>
        <w:numPr>
          <w:ilvl w:val="0"/>
          <w:numId w:val="2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quarter in the case of an annual report) that has materially affected, or is reasonably likely to materially affect, the registrant’s internal control over financial reporting; and</w:t>
      </w:r>
    </w:p>
    <w:p>
      <w:pPr>
        <w:spacing w:after="0" w:line="184" w:lineRule="exact"/>
        <w:rPr>
          <w:sz w:val="20"/>
          <w:szCs w:val="20"/>
          <w:color w:val="auto"/>
        </w:rPr>
      </w:pPr>
    </w:p>
    <w:p>
      <w:pPr>
        <w:ind w:right="480" w:firstLine="8"/>
        <w:spacing w:after="0" w:line="308" w:lineRule="auto"/>
        <w:tabs>
          <w:tab w:leader="none" w:pos="180" w:val="left"/>
        </w:tabs>
        <w:numPr>
          <w:ilvl w:val="0"/>
          <w:numId w:val="24"/>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sz w:val="20"/>
          <w:szCs w:val="20"/>
          <w:color w:val="auto"/>
        </w:rPr>
      </w:pPr>
    </w:p>
    <w:p>
      <w:pPr>
        <w:ind w:right="120" w:firstLine="8"/>
        <w:spacing w:after="0" w:line="277" w:lineRule="auto"/>
        <w:tabs>
          <w:tab w:leader="none" w:pos="175" w:val="left"/>
        </w:tabs>
        <w:numPr>
          <w:ilvl w:val="0"/>
          <w:numId w:val="25"/>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right="320" w:firstLine="8"/>
        <w:spacing w:after="0" w:line="277" w:lineRule="auto"/>
        <w:tabs>
          <w:tab w:leader="none" w:pos="195" w:val="left"/>
        </w:tabs>
        <w:numPr>
          <w:ilvl w:val="0"/>
          <w:numId w:val="2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Dated: February 5, 2014</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/s/ Aviv Efrat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84607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Aviv Efrat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240"/>
          </w:cols>
          <w:pgMar w:left="320" w:top="121" w:right="339" w:bottom="1440" w:gutter="0" w:footer="0" w:header="0"/>
        </w:sectPr>
      </w:pPr>
    </w:p>
    <w:bookmarkStart w:id="47" w:name="page48"/>
    <w:bookmarkEnd w:id="47"/>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 (18 U.S.C. 1350)</w:t>
      </w:r>
    </w:p>
    <w:p>
      <w:pPr>
        <w:spacing w:after="0" w:line="211" w:lineRule="exact"/>
        <w:rPr>
          <w:sz w:val="20"/>
          <w:szCs w:val="20"/>
          <w:color w:val="auto"/>
        </w:rPr>
      </w:pPr>
    </w:p>
    <w:p>
      <w:pPr>
        <w:jc w:val="both"/>
        <w:ind w:right="100" w:firstLine="449"/>
        <w:spacing w:after="0" w:line="263" w:lineRule="auto"/>
        <w:rPr>
          <w:sz w:val="20"/>
          <w:szCs w:val="20"/>
          <w:color w:val="auto"/>
        </w:rPr>
      </w:pPr>
      <w:r>
        <w:rPr>
          <w:rFonts w:ascii="Arial" w:cs="Arial" w:eastAsia="Arial" w:hAnsi="Arial"/>
          <w:sz w:val="18"/>
          <w:szCs w:val="18"/>
          <w:color w:val="auto"/>
        </w:rPr>
        <w:t>In connection with this Report on Form 10-Q for the three months ended December 31, 2013 (the “Report”) of PennantPark Investment Corporation (the “Registrant”), as filed with the Securities and Exchange Commission on the date hereof, I, Arthur H. Penn, Chief Executive Officer of the Registrant, hereby certify, to the best of my knowledge, that:</w:t>
      </w:r>
    </w:p>
    <w:p>
      <w:pPr>
        <w:spacing w:after="0" w:line="211" w:lineRule="exact"/>
        <w:rPr>
          <w:sz w:val="20"/>
          <w:szCs w:val="20"/>
          <w:color w:val="auto"/>
        </w:rPr>
      </w:pPr>
    </w:p>
    <w:p>
      <w:pPr>
        <w:ind w:left="900" w:hanging="447"/>
        <w:spacing w:after="0"/>
        <w:tabs>
          <w:tab w:leader="none" w:pos="900" w:val="left"/>
        </w:tabs>
        <w:numPr>
          <w:ilvl w:val="0"/>
          <w:numId w:val="26"/>
        </w:numPr>
        <w:rPr>
          <w:rFonts w:ascii="Arial" w:cs="Arial" w:eastAsia="Arial" w:hAnsi="Arial"/>
          <w:sz w:val="17"/>
          <w:szCs w:val="17"/>
          <w:color w:val="auto"/>
        </w:rPr>
      </w:pPr>
      <w:r>
        <w:rPr>
          <w:rFonts w:ascii="Arial" w:cs="Arial" w:eastAsia="Arial" w:hAnsi="Arial"/>
          <w:sz w:val="17"/>
          <w:szCs w:val="17"/>
          <w:color w:val="auto"/>
        </w:rPr>
        <w:t>The Report fully complies with the requirements of Section 13(a) or 15(d) of the Securities Exchange Act of 1934, as amended; and</w:t>
      </w:r>
    </w:p>
    <w:p>
      <w:pPr>
        <w:spacing w:after="0" w:line="142" w:lineRule="exact"/>
        <w:rPr>
          <w:rFonts w:ascii="Arial" w:cs="Arial" w:eastAsia="Arial" w:hAnsi="Arial"/>
          <w:sz w:val="17"/>
          <w:szCs w:val="17"/>
          <w:color w:val="auto"/>
        </w:rPr>
      </w:pPr>
    </w:p>
    <w:p>
      <w:pPr>
        <w:ind w:left="900" w:right="680" w:hanging="447"/>
        <w:spacing w:after="0" w:line="277" w:lineRule="auto"/>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Registrant.</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/s/ Arthur H. Penn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84607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Arthur H. Penn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February 5, 2014</w:t>
      </w:r>
    </w:p>
    <w:p>
      <w:pPr>
        <w:sectPr>
          <w:pgSz w:w="11900" w:h="16838" w:orient="portrait"/>
          <w:cols w:equalWidth="0" w:num="1">
            <w:col w:w="11240"/>
          </w:cols>
          <w:pgMar w:left="320" w:top="121" w:right="339" w:bottom="1440" w:gutter="0" w:footer="0" w:header="0"/>
        </w:sectPr>
      </w:pPr>
    </w:p>
    <w:bookmarkStart w:id="48" w:name="page49"/>
    <w:bookmarkEnd w:id="48"/>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FINANCIAL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 (18 U.S.C. 1350)</w:t>
      </w:r>
    </w:p>
    <w:p>
      <w:pPr>
        <w:spacing w:after="0" w:line="211" w:lineRule="exact"/>
        <w:rPr>
          <w:sz w:val="20"/>
          <w:szCs w:val="20"/>
          <w:color w:val="auto"/>
        </w:rPr>
      </w:pPr>
    </w:p>
    <w:p>
      <w:pPr>
        <w:jc w:val="both"/>
        <w:ind w:right="20" w:firstLine="449"/>
        <w:spacing w:after="0" w:line="263" w:lineRule="auto"/>
        <w:rPr>
          <w:sz w:val="20"/>
          <w:szCs w:val="20"/>
          <w:color w:val="auto"/>
        </w:rPr>
      </w:pPr>
      <w:r>
        <w:rPr>
          <w:rFonts w:ascii="Arial" w:cs="Arial" w:eastAsia="Arial" w:hAnsi="Arial"/>
          <w:sz w:val="18"/>
          <w:szCs w:val="18"/>
          <w:color w:val="auto"/>
        </w:rPr>
        <w:t>In connection with this Report on Form 10-Q for the three months ended December 31, 2013 (the “Report”) of PennantPark Investment Corporation (the “Registrant”), as filed with the Securities and Exchange Commission on the date hereof, I, Aviv Efrat, Chief Financial Officer of the Registrant, hereby certify, to the best of my knowledge, that:</w:t>
      </w:r>
    </w:p>
    <w:p>
      <w:pPr>
        <w:spacing w:after="0" w:line="211" w:lineRule="exact"/>
        <w:rPr>
          <w:sz w:val="20"/>
          <w:szCs w:val="20"/>
          <w:color w:val="auto"/>
        </w:rPr>
      </w:pPr>
    </w:p>
    <w:p>
      <w:pPr>
        <w:ind w:left="900" w:hanging="447"/>
        <w:spacing w:after="0"/>
        <w:tabs>
          <w:tab w:leader="none" w:pos="900" w:val="left"/>
        </w:tabs>
        <w:numPr>
          <w:ilvl w:val="0"/>
          <w:numId w:val="27"/>
        </w:numPr>
        <w:rPr>
          <w:rFonts w:ascii="Arial" w:cs="Arial" w:eastAsia="Arial" w:hAnsi="Arial"/>
          <w:sz w:val="17"/>
          <w:szCs w:val="17"/>
          <w:color w:val="auto"/>
        </w:rPr>
      </w:pPr>
      <w:r>
        <w:rPr>
          <w:rFonts w:ascii="Arial" w:cs="Arial" w:eastAsia="Arial" w:hAnsi="Arial"/>
          <w:sz w:val="17"/>
          <w:szCs w:val="17"/>
          <w:color w:val="auto"/>
        </w:rPr>
        <w:t>The Report fully complies with the requirements of Section 13(a) or 15(d) of the Securities Exchange Act of 1934, as amended; and</w:t>
      </w:r>
    </w:p>
    <w:p>
      <w:pPr>
        <w:spacing w:after="0" w:line="142" w:lineRule="exact"/>
        <w:rPr>
          <w:rFonts w:ascii="Arial" w:cs="Arial" w:eastAsia="Arial" w:hAnsi="Arial"/>
          <w:sz w:val="17"/>
          <w:szCs w:val="17"/>
          <w:color w:val="auto"/>
        </w:rPr>
      </w:pPr>
    </w:p>
    <w:p>
      <w:pPr>
        <w:ind w:left="900" w:right="680" w:hanging="447"/>
        <w:spacing w:after="0" w:line="277" w:lineRule="auto"/>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Registrant.</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/s/ Aviv Efrat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84607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Aviv Efrat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February 5, 2014</w:t>
      </w:r>
    </w:p>
    <w:sectPr>
      <w:pgSz w:w="11900" w:h="16838" w:orient="portrait"/>
      <w:cols w:equalWidth="0" w:num="1">
        <w:col w:w="11240"/>
      </w:cols>
      <w:pgMar w:left="320" w:top="12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DED7263"/>
    <w:multiLevelType w:val="hybridMultilevel"/>
    <w:lvl w:ilvl="0">
      <w:lvlJc w:val="left"/>
      <w:lvlText w:val="☒"/>
      <w:numFmt w:val="bullet"/>
      <w:start w:val="1"/>
    </w:lvl>
  </w:abstractNum>
  <w:abstractNum w:abstractNumId="1">
    <w:nsid w:val="7FDCC233"/>
    <w:multiLevelType w:val="hybridMultilevel"/>
    <w:lvl w:ilvl="0">
      <w:lvlJc w:val="left"/>
      <w:lvlText w:val="☐"/>
      <w:numFmt w:val="bullet"/>
      <w:start w:val="1"/>
    </w:lvl>
  </w:abstractNum>
  <w:abstractNum w:abstractNumId="2">
    <w:nsid w:val="1BEFD79F"/>
    <w:multiLevelType w:val="hybridMultilevel"/>
    <w:lvl w:ilvl="0">
      <w:lvlJc w:val="left"/>
      <w:lvlText w:val="(%1)"/>
      <w:numFmt w:val="decimal"/>
      <w:start w:val="1"/>
    </w:lvl>
  </w:abstractNum>
  <w:abstractNum w:abstractNumId="3">
    <w:nsid w:val="41A7C4C9"/>
    <w:multiLevelType w:val="hybridMultilevel"/>
    <w:lvl w:ilvl="0">
      <w:lvlJc w:val="left"/>
      <w:lvlText w:val="(%1)"/>
      <w:numFmt w:val="decimal"/>
      <w:start w:val="1"/>
    </w:lvl>
  </w:abstractNum>
  <w:abstractNum w:abstractNumId="4">
    <w:nsid w:val="6B68079A"/>
    <w:multiLevelType w:val="hybridMultilevel"/>
    <w:lvl w:ilvl="0">
      <w:lvlJc w:val="left"/>
      <w:lvlText w:val="(%1)"/>
      <w:numFmt w:val="decimal"/>
      <w:start w:val="1"/>
    </w:lvl>
  </w:abstractNum>
  <w:abstractNum w:abstractNumId="5">
    <w:nsid w:val="4E6AFB66"/>
    <w:multiLevelType w:val="hybridMultilevel"/>
    <w:lvl w:ilvl="0">
      <w:lvlJc w:val="left"/>
      <w:lvlText w:val="(%1)"/>
      <w:numFmt w:val="decimal"/>
      <w:start w:val="1"/>
    </w:lvl>
  </w:abstractNum>
  <w:abstractNum w:abstractNumId="6">
    <w:nsid w:val="25E45D32"/>
    <w:multiLevelType w:val="hybridMultilevel"/>
    <w:lvl w:ilvl="0">
      <w:lvlJc w:val="left"/>
      <w:lvlText w:val="*"/>
      <w:numFmt w:val="bullet"/>
      <w:start w:val="1"/>
    </w:lvl>
  </w:abstractNum>
  <w:abstractNum w:abstractNumId="7">
    <w:nsid w:val="519B500D"/>
    <w:multiLevelType w:val="hybridMultilevel"/>
    <w:lvl w:ilvl="0">
      <w:lvlJc w:val="left"/>
      <w:lvlText w:val="(%1)"/>
      <w:numFmt w:val="decimal"/>
      <w:start w:val="1"/>
    </w:lvl>
  </w:abstractNum>
  <w:abstractNum w:abstractNumId="8">
    <w:nsid w:val="431BD7B7"/>
    <w:multiLevelType w:val="hybridMultilevel"/>
    <w:lvl w:ilvl="0">
      <w:lvlJc w:val="left"/>
      <w:lvlText w:val="(%1)"/>
      <w:numFmt w:val="decimal"/>
      <w:start w:val="1"/>
    </w:lvl>
  </w:abstractNum>
  <w:abstractNum w:abstractNumId="9">
    <w:nsid w:val="3F2DBA31"/>
    <w:multiLevelType w:val="hybridMultilevel"/>
    <w:lvl w:ilvl="0">
      <w:lvlJc w:val="left"/>
      <w:lvlText w:val="•"/>
      <w:numFmt w:val="bullet"/>
      <w:start w:val="1"/>
    </w:lvl>
  </w:abstractNum>
  <w:abstractNum w:abstractNumId="10">
    <w:nsid w:val="7C83E458"/>
    <w:multiLevelType w:val="hybridMultilevel"/>
    <w:lvl w:ilvl="0">
      <w:lvlJc w:val="left"/>
      <w:lvlText w:val="•"/>
      <w:numFmt w:val="bullet"/>
      <w:start w:val="1"/>
    </w:lvl>
  </w:abstractNum>
  <w:abstractNum w:abstractNumId="11">
    <w:nsid w:val="257130A3"/>
    <w:multiLevelType w:val="hybridMultilevel"/>
    <w:lvl w:ilvl="0">
      <w:lvlJc w:val="left"/>
      <w:lvlText w:val="(%1)"/>
      <w:numFmt w:val="decimal"/>
      <w:start w:val="1"/>
    </w:lvl>
  </w:abstractNum>
  <w:abstractNum w:abstractNumId="12">
    <w:nsid w:val="62BBD95A"/>
    <w:multiLevelType w:val="hybridMultilevel"/>
    <w:lvl w:ilvl="0">
      <w:lvlJc w:val="left"/>
      <w:lvlText w:val="(%1)"/>
      <w:numFmt w:val="decimal"/>
      <w:start w:val="1"/>
    </w:lvl>
  </w:abstractNum>
  <w:abstractNum w:abstractNumId="13">
    <w:nsid w:val="436C6125"/>
    <w:multiLevelType w:val="hybridMultilevel"/>
    <w:lvl w:ilvl="0">
      <w:lvlJc w:val="left"/>
      <w:lvlText w:val="(%1)"/>
      <w:numFmt w:val="lowerLetter"/>
      <w:start w:val="1"/>
    </w:lvl>
  </w:abstractNum>
  <w:abstractNum w:abstractNumId="14">
    <w:nsid w:val="628C895D"/>
    <w:multiLevelType w:val="hybridMultilevel"/>
    <w:lvl w:ilvl="0">
      <w:lvlJc w:val="left"/>
      <w:lvlText w:val="(%1)"/>
      <w:numFmt w:val="decimal"/>
      <w:start w:val="1"/>
    </w:lvl>
  </w:abstractNum>
  <w:abstractNum w:abstractNumId="15">
    <w:nsid w:val="333AB105"/>
    <w:multiLevelType w:val="hybridMultilevel"/>
    <w:lvl w:ilvl="0">
      <w:lvlJc w:val="left"/>
      <w:lvlText w:val="(%1)"/>
      <w:numFmt w:val="decimal"/>
      <w:start w:val="3"/>
    </w:lvl>
  </w:abstractNum>
  <w:abstractNum w:abstractNumId="16">
    <w:nsid w:val="721DA317"/>
    <w:multiLevelType w:val="hybridMultilevel"/>
    <w:lvl w:ilvl="0">
      <w:lvlJc w:val="left"/>
      <w:lvlText w:val="%1"/>
      <w:numFmt w:val="decimal"/>
      <w:start w:val="11"/>
    </w:lvl>
  </w:abstractNum>
  <w:abstractNum w:abstractNumId="17">
    <w:nsid w:val="2443A858"/>
    <w:multiLevelType w:val="hybridMultilevel"/>
    <w:lvl w:ilvl="0">
      <w:lvlJc w:val="left"/>
      <w:lvlText w:val="%1."/>
      <w:numFmt w:val="decimal"/>
      <w:start w:val="1"/>
    </w:lvl>
  </w:abstractNum>
  <w:abstractNum w:abstractNumId="18">
    <w:nsid w:val="2D1D5AE9"/>
    <w:multiLevelType w:val="hybridMultilevel"/>
    <w:lvl w:ilvl="0">
      <w:lvlJc w:val="left"/>
      <w:lvlText w:val="%1)"/>
      <w:numFmt w:val="lowerLetter"/>
      <w:start w:val="1"/>
    </w:lvl>
  </w:abstractNum>
  <w:abstractNum w:abstractNumId="19">
    <w:nsid w:val="6763845E"/>
    <w:multiLevelType w:val="hybridMultilevel"/>
    <w:lvl w:ilvl="0">
      <w:lvlJc w:val="left"/>
      <w:lvlText w:val="%1."/>
      <w:numFmt w:val="decimal"/>
      <w:start w:val="5"/>
    </w:lvl>
  </w:abstractNum>
  <w:abstractNum w:abstractNumId="20">
    <w:nsid w:val="75A2A8D4"/>
    <w:multiLevelType w:val="hybridMultilevel"/>
    <w:lvl w:ilvl="0">
      <w:lvlJc w:val="left"/>
      <w:lvlText w:val="%1)"/>
      <w:numFmt w:val="lowerLetter"/>
      <w:start w:val="1"/>
    </w:lvl>
  </w:abstractNum>
  <w:abstractNum w:abstractNumId="21">
    <w:nsid w:val="8EDBDAB"/>
    <w:multiLevelType w:val="hybridMultilevel"/>
    <w:lvl w:ilvl="0">
      <w:lvlJc w:val="left"/>
      <w:lvlText w:val="%1."/>
      <w:numFmt w:val="decimal"/>
      <w:start w:val="1"/>
    </w:lvl>
  </w:abstractNum>
  <w:abstractNum w:abstractNumId="22">
    <w:nsid w:val="79838CB2"/>
    <w:multiLevelType w:val="hybridMultilevel"/>
    <w:lvl w:ilvl="0">
      <w:lvlJc w:val="left"/>
      <w:lvlText w:val="%1)"/>
      <w:numFmt w:val="lowerLetter"/>
      <w:start w:val="1"/>
    </w:lvl>
  </w:abstractNum>
  <w:abstractNum w:abstractNumId="23">
    <w:nsid w:val="4353D0CD"/>
    <w:multiLevelType w:val="hybridMultilevel"/>
    <w:lvl w:ilvl="0">
      <w:lvlJc w:val="left"/>
      <w:lvlText w:val="%1."/>
      <w:numFmt w:val="decimal"/>
      <w:start w:val="5"/>
    </w:lvl>
  </w:abstractNum>
  <w:abstractNum w:abstractNumId="24">
    <w:nsid w:val="B03E0C6"/>
    <w:multiLevelType w:val="hybridMultilevel"/>
    <w:lvl w:ilvl="0">
      <w:lvlJc w:val="left"/>
      <w:lvlText w:val="%1)"/>
      <w:numFmt w:val="lowerLetter"/>
      <w:start w:val="1"/>
    </w:lvl>
  </w:abstractNum>
  <w:abstractNum w:abstractNumId="25">
    <w:nsid w:val="189A769B"/>
    <w:multiLevelType w:val="hybridMultilevel"/>
    <w:lvl w:ilvl="0">
      <w:lvlJc w:val="left"/>
      <w:lvlText w:val="(%1)"/>
      <w:numFmt w:val="decimal"/>
      <w:start w:val="1"/>
    </w:lvl>
  </w:abstractNum>
  <w:abstractNum w:abstractNumId="26">
    <w:nsid w:val="54E49EB4"/>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jpe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2020-05-05T15:08:09Z</dcterms:created>
  <dcterms:modified xsi:type="dcterms:W3CDTF">2020-05-05T15:08:09Z</dcterms:modified>
</cp:coreProperties>
</file>