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234" w:lineRule="auto"/>
        <w:rPr>
          <w:sz w:val="20"/>
          <w:szCs w:val="20"/>
          <w:color w:val="auto"/>
        </w:rPr>
      </w:pPr>
      <w:r>
        <w:rPr>
          <w:rFonts w:ascii="Arial" w:cs="Arial" w:eastAsia="Arial" w:hAnsi="Arial"/>
          <w:sz w:val="18"/>
          <w:szCs w:val="18"/>
          <w:b w:val="1"/>
          <w:bCs w:val="1"/>
          <w:color w:val="auto"/>
        </w:rPr>
        <w:t>Prospectus Supplement</w:t>
      </w:r>
    </w:p>
    <w:p>
      <w:pPr>
        <w:spacing w:after="0" w:line="235" w:lineRule="auto"/>
        <w:rPr>
          <w:sz w:val="20"/>
          <w:szCs w:val="20"/>
          <w:color w:val="auto"/>
        </w:rPr>
      </w:pPr>
      <w:r>
        <w:rPr>
          <w:rFonts w:ascii="Arial" w:cs="Arial" w:eastAsia="Arial" w:hAnsi="Arial"/>
          <w:sz w:val="18"/>
          <w:szCs w:val="18"/>
          <w:b w:val="1"/>
          <w:bCs w:val="1"/>
          <w:color w:val="auto"/>
        </w:rPr>
        <w:t>To the Prospectus dated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February 24, 2010</w:t>
      </w:r>
    </w:p>
    <w:p>
      <w:pPr>
        <w:spacing w:after="0" w:line="64"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47015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50"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$10.00 per share</w:t>
      </w:r>
    </w:p>
    <w:p>
      <w:pPr>
        <w:spacing w:after="0" w:line="118" w:lineRule="exact"/>
        <w:rPr>
          <w:sz w:val="24"/>
          <w:szCs w:val="24"/>
          <w:color w:val="auto"/>
        </w:rPr>
      </w:pPr>
    </w:p>
    <w:p>
      <w:pPr>
        <w:ind w:right="120"/>
        <w:spacing w:after="0" w:line="236" w:lineRule="auto"/>
        <w:rPr>
          <w:sz w:val="20"/>
          <w:szCs w:val="20"/>
          <w:color w:val="auto"/>
        </w:rPr>
      </w:pPr>
      <w:r>
        <w:rPr>
          <w:rFonts w:ascii="Arial" w:cs="Arial" w:eastAsia="Arial" w:hAnsi="Arial"/>
          <w:sz w:val="18"/>
          <w:szCs w:val="18"/>
          <w:color w:val="auto"/>
        </w:rPr>
        <w:t>We are offering for sale 5,000,000 shares of our common stock. We are offering shares of our common stock at a discount from our most recently determined net asset value per share pursuant to authority granted by our stockholders on February 2, 2010. Sales of common stock at prices below net asset value per share dilute the interests of existing stockholders, have the effect of reducing our net asset value per share and may reduce our market price per share. See “</w:t>
      </w:r>
      <w:r>
        <w:rPr>
          <w:rFonts w:ascii="Arial" w:cs="Arial" w:eastAsia="Arial" w:hAnsi="Arial"/>
          <w:sz w:val="18"/>
          <w:szCs w:val="18"/>
          <w:u w:val="single" w:color="auto"/>
          <w:color w:val="0000EE"/>
        </w:rPr>
        <w:t>Risk Factors</w:t>
      </w:r>
      <w:r>
        <w:rPr>
          <w:rFonts w:ascii="Arial" w:cs="Arial" w:eastAsia="Arial" w:hAnsi="Arial"/>
          <w:sz w:val="18"/>
          <w:szCs w:val="18"/>
          <w:color w:val="auto"/>
        </w:rPr>
        <w:t>” on page 9 of the accompanying prospectus and “Sales of Common Stock Below Net Asset Value” on page 51 of the accompanying prospectus and page S-12 of this prospectus supplement.</w:t>
      </w:r>
    </w:p>
    <w:p>
      <w:pPr>
        <w:spacing w:after="0" w:line="103" w:lineRule="exact"/>
        <w:rPr>
          <w:sz w:val="24"/>
          <w:szCs w:val="24"/>
          <w:color w:val="auto"/>
        </w:rPr>
      </w:pPr>
    </w:p>
    <w:p>
      <w:pPr>
        <w:ind w:right="160"/>
        <w:spacing w:after="0" w:line="238" w:lineRule="auto"/>
        <w:rPr>
          <w:sz w:val="20"/>
          <w:szCs w:val="20"/>
          <w:color w:val="auto"/>
        </w:rPr>
      </w:pPr>
      <w:r>
        <w:rPr>
          <w:rFonts w:ascii="Arial" w:cs="Arial" w:eastAsia="Arial" w:hAnsi="Arial"/>
          <w:sz w:val="18"/>
          <w:szCs w:val="18"/>
          <w:color w:val="auto"/>
        </w:rPr>
        <w:t>Our common stock is traded on the NASDAQ Global Select Market under the symbol “PNNT”. The last reported closing price for our common stock on March 2, 2010 was $10.17 per share. The net asset value of our common stock on December 31, 2009 (the last date prior to the date of this prospectus supplement on which we determined net asset value) was $11.86 per share.</w:t>
      </w:r>
    </w:p>
    <w:p>
      <w:pPr>
        <w:spacing w:after="0" w:line="100" w:lineRule="exact"/>
        <w:rPr>
          <w:sz w:val="24"/>
          <w:szCs w:val="24"/>
          <w:color w:val="auto"/>
        </w:rPr>
      </w:pPr>
    </w:p>
    <w:p>
      <w:pPr>
        <w:ind w:right="160"/>
        <w:spacing w:after="0" w:line="273"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(the “1940 Act”). Our investment objectives are to generate both current income and capital appreciation through debt and equity investments primarily in U.S. middle-market private companies in the form of mezzanine debt, senior secured loans and equity investments. We are externally managed by PennantPark Investment Advisers, LLC. PennantPark Investment Administration, LLC provides the administrative services necessary for us to operate.</w:t>
      </w:r>
    </w:p>
    <w:p>
      <w:pPr>
        <w:spacing w:after="0" w:line="75" w:lineRule="exact"/>
        <w:rPr>
          <w:sz w:val="24"/>
          <w:szCs w:val="24"/>
          <w:color w:val="auto"/>
        </w:rPr>
      </w:pPr>
    </w:p>
    <w:p>
      <w:pPr>
        <w:ind w:right="160"/>
        <w:spacing w:after="0" w:line="236" w:lineRule="auto"/>
        <w:rPr>
          <w:sz w:val="20"/>
          <w:szCs w:val="20"/>
          <w:color w:val="auto"/>
        </w:rPr>
      </w:pPr>
      <w:r>
        <w:rPr>
          <w:rFonts w:ascii="Arial" w:cs="Arial" w:eastAsia="Arial" w:hAnsi="Arial"/>
          <w:sz w:val="18"/>
          <w:szCs w:val="18"/>
          <w:color w:val="auto"/>
        </w:rPr>
        <w:t xml:space="preserve">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or the SEC. This information is available free of charge by contacting us at 590 Madison Avenue, New York, NY 10022 or by telephone at (212) 905-1000 or on our website at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79" w:lineRule="exact"/>
        <w:rPr>
          <w:sz w:val="24"/>
          <w:szCs w:val="24"/>
          <w:color w:val="auto"/>
        </w:rPr>
      </w:pPr>
    </w:p>
    <w:p>
      <w:pPr>
        <w:ind w:right="100"/>
        <w:spacing w:after="0" w:line="244"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xml:space="preserve"> ” beginning on page 9 of the accompanying prospectus and “Sales of Common Stock Below Net Asset Value” on page S-12 in this prospectus supplement and page 51 of the accompanying prospectus.</w:t>
      </w:r>
    </w:p>
    <w:p>
      <w:pPr>
        <w:spacing w:after="0" w:line="50" w:lineRule="exact"/>
        <w:rPr>
          <w:sz w:val="24"/>
          <w:szCs w:val="24"/>
          <w:color w:val="auto"/>
        </w:rPr>
      </w:pPr>
    </w:p>
    <w:p>
      <w:pPr>
        <w:ind w:right="14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8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Per Share</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r>
      <w:tr>
        <w:trPr>
          <w:trHeight w:val="199"/>
        </w:trPr>
        <w:tc>
          <w:tcPr>
            <w:tcW w:w="8300" w:type="dxa"/>
            <w:vAlign w:val="bottom"/>
          </w:tcPr>
          <w:p>
            <w:pPr>
              <w:spacing w:after="0" w:line="200" w:lineRule="exact"/>
              <w:rPr>
                <w:sz w:val="20"/>
                <w:szCs w:val="20"/>
                <w:color w:val="auto"/>
              </w:rPr>
            </w:pPr>
            <w:r>
              <w:rPr>
                <w:rFonts w:ascii="Arial" w:cs="Arial" w:eastAsia="Arial" w:hAnsi="Arial"/>
                <w:sz w:val="18"/>
                <w:szCs w:val="18"/>
                <w:color w:val="auto"/>
              </w:rPr>
              <w:t>Public offering price (without overallotment option)</w:t>
            </w:r>
          </w:p>
        </w:tc>
        <w:tc>
          <w:tcPr>
            <w:tcW w:w="1300" w:type="dxa"/>
            <w:vAlign w:val="bottom"/>
          </w:tcPr>
          <w:p>
            <w:pPr>
              <w:ind w:left="114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line="200" w:lineRule="exact"/>
              <w:rPr>
                <w:sz w:val="20"/>
                <w:szCs w:val="20"/>
                <w:color w:val="auto"/>
              </w:rPr>
            </w:pPr>
            <w:r>
              <w:rPr>
                <w:rFonts w:ascii="Arial" w:cs="Arial" w:eastAsia="Arial" w:hAnsi="Arial"/>
                <w:sz w:val="18"/>
                <w:szCs w:val="18"/>
                <w:color w:val="auto"/>
              </w:rPr>
              <w:t>10.00</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w w:val="97"/>
              </w:rPr>
              <w:t>50,000,000</w:t>
            </w: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Underwriting discount and commission (sales load)</w:t>
            </w:r>
          </w:p>
        </w:tc>
        <w:tc>
          <w:tcPr>
            <w:tcW w:w="1300" w:type="dxa"/>
            <w:vAlign w:val="bottom"/>
          </w:tcPr>
          <w:p>
            <w:pPr>
              <w:ind w:left="11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2,500,000</w:t>
            </w:r>
          </w:p>
        </w:tc>
      </w:tr>
      <w:tr>
        <w:trPr>
          <w:trHeight w:val="199"/>
        </w:trPr>
        <w:tc>
          <w:tcPr>
            <w:tcW w:w="83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Proceeds to PennantPark Investment Corporation (before estimated expenses of $325,000)</w:t>
            </w:r>
          </w:p>
        </w:tc>
        <w:tc>
          <w:tcPr>
            <w:tcW w:w="1300" w:type="dxa"/>
            <w:vAlign w:val="bottom"/>
            <w:tcBorders>
              <w:bottom w:val="single" w:sz="8" w:color="auto"/>
            </w:tcBorders>
          </w:tcPr>
          <w:p>
            <w:pPr>
              <w:ind w:left="1140"/>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2"/>
              <w:spacing w:after="0" w:line="200" w:lineRule="exact"/>
              <w:rPr>
                <w:sz w:val="20"/>
                <w:szCs w:val="20"/>
                <w:color w:val="auto"/>
              </w:rPr>
            </w:pPr>
            <w:r>
              <w:rPr>
                <w:rFonts w:ascii="Arial" w:cs="Arial" w:eastAsia="Arial" w:hAnsi="Arial"/>
                <w:sz w:val="18"/>
                <w:szCs w:val="18"/>
                <w:color w:val="auto"/>
              </w:rPr>
              <w:t>9.50</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7"/>
              </w:rPr>
              <w:t>47,500,000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ind w:right="60"/>
        <w:spacing w:after="0" w:line="244" w:lineRule="auto"/>
        <w:rPr>
          <w:sz w:val="20"/>
          <w:szCs w:val="20"/>
          <w:color w:val="auto"/>
        </w:rPr>
      </w:pPr>
      <w:r>
        <w:rPr>
          <w:rFonts w:ascii="Arial" w:cs="Arial" w:eastAsia="Arial" w:hAnsi="Arial"/>
          <w:sz w:val="18"/>
          <w:szCs w:val="18"/>
          <w:b w:val="1"/>
          <w:bCs w:val="1"/>
          <w:color w:val="auto"/>
        </w:rPr>
        <w:t>The underwriters may also purchase up to an additional 750,000 shares from us at the public offering price, less the underwriting discount, within 30 days from the date of this prospectus supplement to cover overallotments. If the underwriters exercise this option in full, the total public offering price will be $57,500,000, the total underwriting discount and commissions (sales load) paid by us will be $2,875,000, and total proceeds, before expenses, will be $54,625,000.</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underwriters expect to deliver the shares on or about March 8, 2010.</w:t>
      </w:r>
    </w:p>
    <w:p>
      <w:pPr>
        <w:spacing w:after="0" w:line="158"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Joint-bookrunners</w:t>
      </w:r>
    </w:p>
    <w:p>
      <w:pPr>
        <w:sectPr>
          <w:pgSz w:w="11900" w:h="16838" w:orient="portrait"/>
          <w:cols w:equalWidth="0" w:num="1">
            <w:col w:w="11420"/>
          </w:cols>
          <w:pgMar w:left="240" w:top="230" w:right="239" w:bottom="1440" w:gutter="0" w:footer="0" w:header="0"/>
        </w:sectPr>
      </w:pPr>
    </w:p>
    <w:p>
      <w:pPr>
        <w:spacing w:after="0" w:line="198"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Baird</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Stifel Nicolaus</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SunTrust Robinson Humphrey</w:t>
      </w:r>
    </w:p>
    <w:p>
      <w:pPr>
        <w:spacing w:after="0" w:line="200" w:lineRule="exact"/>
        <w:rPr>
          <w:sz w:val="24"/>
          <w:szCs w:val="24"/>
          <w:color w:val="auto"/>
        </w:rPr>
      </w:pPr>
    </w:p>
    <w:p>
      <w:pPr>
        <w:sectPr>
          <w:pgSz w:w="11900" w:h="16838" w:orient="portrait"/>
          <w:cols w:equalWidth="0" w:num="4">
            <w:col w:w="1580" w:space="720"/>
            <w:col w:w="3100" w:space="720"/>
            <w:col w:w="1380" w:space="720"/>
            <w:col w:w="3200"/>
          </w:cols>
          <w:pgMar w:left="240" w:top="230"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Co-managers</w:t>
      </w:r>
    </w:p>
    <w:p>
      <w:pPr>
        <w:sectPr>
          <w:pgSz w:w="11900" w:h="16838" w:orient="portrait"/>
          <w:cols w:equalWidth="0" w:num="1">
            <w:col w:w="11420"/>
          </w:cols>
          <w:pgMar w:left="240" w:top="230" w:right="239" w:bottom="1440" w:gutter="0" w:footer="0" w:header="0"/>
          <w:type w:val="continuous"/>
        </w:sectPr>
      </w:pPr>
    </w:p>
    <w:p>
      <w:pPr>
        <w:spacing w:after="0" w:line="221"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BMO Capital Markets FBR Capital Markets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Janney Montgomery Scott</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Keefe, Bruyette &amp; Woods</w:t>
      </w:r>
    </w:p>
    <w:p>
      <w:pPr>
        <w:spacing w:after="0" w:line="200" w:lineRule="exact"/>
        <w:rPr>
          <w:sz w:val="24"/>
          <w:szCs w:val="24"/>
          <w:color w:val="auto"/>
        </w:rPr>
      </w:pPr>
    </w:p>
    <w:p>
      <w:pPr>
        <w:sectPr>
          <w:pgSz w:w="11900" w:h="16838" w:orient="portrait"/>
          <w:cols w:equalWidth="0" w:num="3">
            <w:col w:w="5000" w:space="720"/>
            <w:col w:w="2880" w:space="720"/>
            <w:col w:w="2100"/>
          </w:cols>
          <w:pgMar w:left="240" w:top="230" w:right="239" w:bottom="1440" w:gutter="0" w:footer="0" w:header="0"/>
          <w:type w:val="continuous"/>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 date of this prospectus supplement is March 2, 2010.</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14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w w:val="96"/>
              </w:rPr>
              <w:t>TABLE OF CONTENTS</w:t>
            </w:r>
          </w:p>
        </w:tc>
        <w:tc>
          <w:tcPr>
            <w:tcW w:w="1520" w:type="dxa"/>
            <w:vAlign w:val="bottom"/>
          </w:tcPr>
          <w:p>
            <w:pPr>
              <w:spacing w:after="0"/>
              <w:rPr>
                <w:sz w:val="19"/>
                <w:szCs w:val="19"/>
                <w:color w:val="auto"/>
              </w:rPr>
            </w:pPr>
          </w:p>
        </w:tc>
      </w:tr>
      <w:tr>
        <w:trPr>
          <w:trHeight w:val="297"/>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80" w:type="dxa"/>
            <w:vAlign w:val="bottom"/>
            <w:gridSpan w:val="4"/>
          </w:tcPr>
          <w:p>
            <w:pPr>
              <w:jc w:val="center"/>
              <w:ind w:right="2080"/>
              <w:spacing w:after="0"/>
              <w:rPr>
                <w:sz w:val="20"/>
                <w:szCs w:val="20"/>
                <w:color w:val="auto"/>
              </w:rPr>
            </w:pPr>
            <w:r>
              <w:rPr>
                <w:rFonts w:ascii="Arial" w:cs="Arial" w:eastAsia="Arial" w:hAnsi="Arial"/>
                <w:sz w:val="18"/>
                <w:szCs w:val="18"/>
                <w:b w:val="1"/>
                <w:bCs w:val="1"/>
                <w:color w:val="auto"/>
                <w:w w:val="95"/>
              </w:rPr>
              <w:t>PROSPECTUS SUPPLEMENT</w:t>
            </w:r>
          </w:p>
        </w:tc>
        <w:tc>
          <w:tcPr>
            <w:tcW w:w="1520" w:type="dxa"/>
            <w:vAlign w:val="bottom"/>
          </w:tcPr>
          <w:p>
            <w:pPr>
              <w:spacing w:after="0"/>
              <w:rPr>
                <w:sz w:val="24"/>
                <w:szCs w:val="24"/>
                <w:color w:val="auto"/>
              </w:rPr>
            </w:pPr>
          </w:p>
        </w:tc>
      </w:tr>
      <w:tr>
        <w:trPr>
          <w:trHeight w:val="259"/>
        </w:trPr>
        <w:tc>
          <w:tcPr>
            <w:tcW w:w="3620" w:type="dxa"/>
            <w:vAlign w:val="bottom"/>
            <w:tcBorders>
              <w:bottom w:val="single" w:sz="8" w:color="0000EE"/>
            </w:tcBorders>
            <w:gridSpan w:val="10"/>
          </w:tcPr>
          <w:p>
            <w:pPr>
              <w:spacing w:after="0"/>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SUPPLEMENTAL PROSPECTUS SUMMARY</w:t>
              </w:r>
            </w:hyperlink>
          </w:p>
        </w:tc>
        <w:tc>
          <w:tcPr>
            <w:tcW w:w="6280" w:type="dxa"/>
            <w:vAlign w:val="bottom"/>
            <w:gridSpan w:val="4"/>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S-1</w:t>
            </w:r>
          </w:p>
        </w:tc>
      </w:tr>
      <w:tr>
        <w:trPr>
          <w:trHeight w:val="196"/>
        </w:trPr>
        <w:tc>
          <w:tcPr>
            <w:tcW w:w="9900" w:type="dxa"/>
            <w:vAlign w:val="bottom"/>
            <w:gridSpan w:val="14"/>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FEES AND EXPENSES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S-6</w:t>
            </w:r>
          </w:p>
        </w:tc>
      </w:tr>
      <w:tr>
        <w:trPr>
          <w:trHeight w:val="20"/>
        </w:trPr>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900" w:type="dxa"/>
            <w:vAlign w:val="bottom"/>
            <w:gridSpan w:val="14"/>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FORWARD-LOOKING STATEMENTS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S-8</w:t>
            </w:r>
          </w:p>
        </w:tc>
      </w:tr>
      <w:tr>
        <w:trPr>
          <w:trHeight w:val="196"/>
        </w:trPr>
        <w:tc>
          <w:tcPr>
            <w:tcW w:w="1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3"/>
              </w:rPr>
            </w:pPr>
            <w:hyperlink w:anchor="page11">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3"/>
          </w:tcPr>
          <w:p>
            <w:pPr>
              <w:spacing w:after="0"/>
              <w:rPr>
                <w:sz w:val="17"/>
                <w:szCs w:val="17"/>
                <w:color w:val="auto"/>
              </w:rPr>
            </w:pPr>
          </w:p>
        </w:tc>
        <w:tc>
          <w:tcPr>
            <w:tcW w:w="686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S-9</w:t>
            </w:r>
          </w:p>
        </w:tc>
      </w:tr>
      <w:tr>
        <w:trPr>
          <w:trHeight w:val="196"/>
        </w:trPr>
        <w:tc>
          <w:tcPr>
            <w:tcW w:w="15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CAPITALIZATION</w:t>
              </w:r>
            </w:hyperlink>
          </w:p>
        </w:tc>
        <w:tc>
          <w:tcPr>
            <w:tcW w:w="8360" w:type="dxa"/>
            <w:vAlign w:val="bottom"/>
            <w:gridSpan w:val="1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S-10</w:t>
            </w:r>
          </w:p>
        </w:tc>
      </w:tr>
      <w:tr>
        <w:trPr>
          <w:trHeight w:val="196"/>
        </w:trPr>
        <w:tc>
          <w:tcPr>
            <w:tcW w:w="30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PRICE RANGE OF COMMON STOCK</w:t>
              </w:r>
            </w:hyperlink>
          </w:p>
        </w:tc>
        <w:tc>
          <w:tcPr>
            <w:tcW w:w="6820" w:type="dxa"/>
            <w:vAlign w:val="bottom"/>
            <w:gridSpan w:val="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S-11</w:t>
            </w:r>
          </w:p>
        </w:tc>
      </w:tr>
      <w:tr>
        <w:trPr>
          <w:trHeight w:val="196"/>
        </w:trPr>
        <w:tc>
          <w:tcPr>
            <w:tcW w:w="47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6"/>
              </w:rPr>
            </w:pPr>
            <w:hyperlink w:anchor="page14">
              <w:r>
                <w:rPr>
                  <w:rFonts w:ascii="Arial" w:cs="Arial" w:eastAsia="Arial" w:hAnsi="Arial"/>
                  <w:sz w:val="18"/>
                  <w:szCs w:val="18"/>
                  <w:b w:val="1"/>
                  <w:bCs w:val="1"/>
                  <w:color w:val="0000EE"/>
                  <w:w w:val="96"/>
                </w:rPr>
                <w:t>SALES OF COMMON STOCK BELOW NET ASSET VALUE</w:t>
              </w:r>
            </w:hyperlink>
          </w:p>
        </w:tc>
        <w:tc>
          <w:tcPr>
            <w:tcW w:w="5140" w:type="dxa"/>
            <w:vAlign w:val="bottom"/>
            <w:gridSpan w:val="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S-12</w:t>
            </w:r>
          </w:p>
        </w:tc>
      </w:tr>
      <w:tr>
        <w:trPr>
          <w:trHeight w:val="196"/>
        </w:trPr>
        <w:tc>
          <w:tcPr>
            <w:tcW w:w="250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8"/>
              </w:rPr>
            </w:pPr>
            <w:hyperlink w:anchor="page18">
              <w:r>
                <w:rPr>
                  <w:rFonts w:ascii="Arial" w:cs="Arial" w:eastAsia="Arial" w:hAnsi="Arial"/>
                  <w:sz w:val="18"/>
                  <w:szCs w:val="18"/>
                  <w:b w:val="1"/>
                  <w:bCs w:val="1"/>
                  <w:color w:val="0000EE"/>
                  <w:w w:val="98"/>
                </w:rPr>
                <w:t>SELECTED FINANCIAL DATA</w:t>
              </w:r>
            </w:hyperlink>
          </w:p>
        </w:tc>
        <w:tc>
          <w:tcPr>
            <w:tcW w:w="7400" w:type="dxa"/>
            <w:vAlign w:val="bottom"/>
            <w:gridSpan w:val="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S-16</w:t>
            </w:r>
          </w:p>
        </w:tc>
      </w:tr>
      <w:tr>
        <w:trPr>
          <w:trHeight w:val="196"/>
        </w:trPr>
        <w:tc>
          <w:tcPr>
            <w:tcW w:w="9900" w:type="dxa"/>
            <w:vAlign w:val="bottom"/>
            <w:gridSpan w:val="14"/>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UNDERWRITING</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S-19</w:t>
            </w:r>
          </w:p>
        </w:tc>
      </w:tr>
      <w:tr>
        <w:trPr>
          <w:trHeight w:val="196"/>
        </w:trPr>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MANAGEMENT</w:t>
              </w:r>
            </w:hyperlink>
          </w:p>
        </w:tc>
        <w:tc>
          <w:tcPr>
            <w:tcW w:w="100" w:type="dxa"/>
            <w:vAlign w:val="bottom"/>
            <w:tcBorders>
              <w:top w:val="single" w:sz="8" w:color="0000EE"/>
            </w:tcBorders>
          </w:tcPr>
          <w:p>
            <w:pPr>
              <w:spacing w:after="0"/>
              <w:rPr>
                <w:sz w:val="17"/>
                <w:szCs w:val="17"/>
                <w:color w:val="auto"/>
              </w:rPr>
            </w:pPr>
          </w:p>
        </w:tc>
        <w:tc>
          <w:tcPr>
            <w:tcW w:w="8460" w:type="dxa"/>
            <w:vAlign w:val="bottom"/>
            <w:gridSpan w:val="1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S-22</w:t>
            </w:r>
          </w:p>
        </w:tc>
      </w:tr>
      <w:tr>
        <w:trPr>
          <w:trHeight w:val="196"/>
        </w:trPr>
        <w:tc>
          <w:tcPr>
            <w:tcW w:w="9900" w:type="dxa"/>
            <w:vAlign w:val="bottom"/>
            <w:gridSpan w:val="14"/>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LEGAL MATTERS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S-24</w:t>
            </w:r>
          </w:p>
        </w:tc>
      </w:tr>
      <w:tr>
        <w:trPr>
          <w:trHeight w:val="358"/>
        </w:trPr>
        <w:tc>
          <w:tcPr>
            <w:tcW w:w="1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40" w:type="dxa"/>
            <w:vAlign w:val="bottom"/>
            <w:gridSpan w:val="3"/>
          </w:tcPr>
          <w:p>
            <w:pPr>
              <w:jc w:val="center"/>
              <w:ind w:right="3220"/>
              <w:spacing w:after="0"/>
              <w:rPr>
                <w:rFonts w:ascii="Arial" w:cs="Arial" w:eastAsia="Arial" w:hAnsi="Arial"/>
                <w:sz w:val="18"/>
                <w:szCs w:val="18"/>
                <w:b w:val="1"/>
                <w:bCs w:val="1"/>
                <w:color w:val="0000EE"/>
                <w:w w:val="93"/>
              </w:rPr>
            </w:pPr>
            <w:hyperlink w:anchor="page28">
              <w:r>
                <w:rPr>
                  <w:rFonts w:ascii="Arial" w:cs="Arial" w:eastAsia="Arial" w:hAnsi="Arial"/>
                  <w:sz w:val="18"/>
                  <w:szCs w:val="18"/>
                  <w:b w:val="1"/>
                  <w:bCs w:val="1"/>
                  <w:color w:val="0000EE"/>
                  <w:w w:val="93"/>
                </w:rPr>
                <w:t>PROSPECTUS</w:t>
              </w:r>
            </w:hyperlink>
          </w:p>
        </w:tc>
        <w:tc>
          <w:tcPr>
            <w:tcW w:w="1520" w:type="dxa"/>
            <w:vAlign w:val="bottom"/>
          </w:tcPr>
          <w:p>
            <w:pPr>
              <w:spacing w:after="0"/>
              <w:rPr>
                <w:sz w:val="24"/>
                <w:szCs w:val="24"/>
                <w:color w:val="auto"/>
              </w:rPr>
            </w:pPr>
          </w:p>
        </w:tc>
      </w:tr>
      <w:tr>
        <w:trPr>
          <w:trHeight w:val="417"/>
        </w:trPr>
        <w:tc>
          <w:tcPr>
            <w:tcW w:w="5140" w:type="dxa"/>
            <w:vAlign w:val="bottom"/>
            <w:gridSpan w:val="12"/>
          </w:tcPr>
          <w:p>
            <w:pPr>
              <w:spacing w:after="0"/>
              <w:rPr>
                <w:sz w:val="20"/>
                <w:szCs w:val="20"/>
                <w:color w:val="auto"/>
              </w:rPr>
            </w:pPr>
            <w:r>
              <w:rPr>
                <w:rFonts w:ascii="Arial" w:cs="Arial" w:eastAsia="Arial" w:hAnsi="Arial"/>
                <w:sz w:val="18"/>
                <w:szCs w:val="18"/>
                <w:color w:val="auto"/>
              </w:rPr>
              <w:t>PROSPECTUS SUMMARY</w:t>
            </w:r>
          </w:p>
        </w:tc>
        <w:tc>
          <w:tcPr>
            <w:tcW w:w="116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FEES AND EXPENSES</w:t>
            </w: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RISK FACTORS</w:t>
            </w: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FORWARD-LOOKING STATEMENTS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USE OF PROCEEDS</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SELECTED FINANCIAL DATA</w:t>
            </w: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SENIOR SECURITIES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PRICE RANGE OF COMMON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SALES OF COMMON STOCK BELOW NET ASSET VALUE</w:t>
            </w: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DISTRIBUTIONS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BUSINESS</w:t>
            </w:r>
          </w:p>
        </w:tc>
        <w:tc>
          <w:tcPr>
            <w:tcW w:w="1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INVESTMENT OBJECTIVES AND POLICIES</w:t>
            </w:r>
          </w:p>
        </w:tc>
        <w:tc>
          <w:tcPr>
            <w:tcW w:w="1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PORTFOLIO COMPANIES</w:t>
            </w:r>
          </w:p>
        </w:tc>
        <w:tc>
          <w:tcPr>
            <w:tcW w:w="1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MANAGEMENT</w:t>
            </w:r>
          </w:p>
        </w:tc>
        <w:tc>
          <w:tcPr>
            <w:tcW w:w="1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CONTROL PERSONS AND PRINCIPAL STOCKHOLDERS</w:t>
            </w:r>
          </w:p>
        </w:tc>
        <w:tc>
          <w:tcPr>
            <w:tcW w:w="1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CERTAIN RELATIONSHIPS AND TRANSACTIONS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DETERMINATION OF NET ASSET VALUE</w:t>
            </w:r>
          </w:p>
        </w:tc>
        <w:tc>
          <w:tcPr>
            <w:tcW w:w="15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DIVIDEND REINVESTMENT PLAN</w:t>
            </w:r>
          </w:p>
        </w:tc>
        <w:tc>
          <w:tcPr>
            <w:tcW w:w="1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DESCRIPTION OF OUR CAPITAL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DESCRIPTION OF OUR PREFERRED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DESCRIPTION OF OUR WARRANTS</w:t>
            </w:r>
          </w:p>
        </w:tc>
        <w:tc>
          <w:tcPr>
            <w:tcW w:w="15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DESCRIPTION OF OUR SUBSCRIPTION RIGHTS</w:t>
            </w:r>
          </w:p>
        </w:tc>
        <w:tc>
          <w:tcPr>
            <w:tcW w:w="15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DESCRIPTION OF OUR DEBT SECURITIES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REGULATION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BROKERAGE ALLOCATIONS AND OTHER PRACTICES</w:t>
            </w:r>
          </w:p>
        </w:tc>
        <w:tc>
          <w:tcPr>
            <w:tcW w:w="1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MATERIAL U.S. FEDERAL INCOME TAX CONSIDERATIONS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PLAN OF DISTRIBUTION</w:t>
            </w:r>
          </w:p>
        </w:tc>
        <w:tc>
          <w:tcPr>
            <w:tcW w:w="1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CUSTODIAN, TRANSFER AGENT AND TRUSTEE</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LEGAL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INDEPENDENT REGISTERED PUBLIC ACCOUNTING FIRM</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900" w:type="dxa"/>
            <w:vAlign w:val="bottom"/>
            <w:gridSpan w:val="14"/>
          </w:tcPr>
          <w:p>
            <w:pPr>
              <w:spacing w:after="0"/>
              <w:rPr>
                <w:sz w:val="20"/>
                <w:szCs w:val="20"/>
                <w:color w:val="auto"/>
              </w:rPr>
            </w:pPr>
            <w:r>
              <w:rPr>
                <w:rFonts w:ascii="Arial" w:cs="Arial" w:eastAsia="Arial" w:hAnsi="Arial"/>
                <w:sz w:val="18"/>
                <w:szCs w:val="18"/>
                <w:color w:val="auto"/>
              </w:rPr>
              <w:t>PRIVACY PRINCIPLES</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2"/>
        </w:trPr>
        <w:tc>
          <w:tcPr>
            <w:tcW w:w="9900" w:type="dxa"/>
            <w:vAlign w:val="bottom"/>
            <w:gridSpan w:val="14"/>
          </w:tcPr>
          <w:p>
            <w:pPr>
              <w:spacing w:after="0"/>
              <w:rPr>
                <w:sz w:val="20"/>
                <w:szCs w:val="20"/>
                <w:color w:val="auto"/>
              </w:rPr>
            </w:pPr>
            <w:r>
              <w:rPr>
                <w:rFonts w:ascii="Arial" w:cs="Arial" w:eastAsia="Arial" w:hAnsi="Arial"/>
                <w:sz w:val="18"/>
                <w:szCs w:val="18"/>
                <w:color w:val="auto"/>
              </w:rPr>
              <w:t>INDEX TO FINANCIAL STATEMENTS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You should read carefully the more detailed information set forth under “Risk Factors” and the other information included in the accompanying prospectus before making an investment decision. In this prospectus supplement and the accompanying prospectus,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supplement and the accompanying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on an ongoing basis. The Investment Adviser is led by Arthur H. Penn, its founder and the founder of PennantPark Investment. Mr. Penn has over 23 years of experience in the mezzanine lending, leveraged finance, distressed debt and private equity businesses. He has been involved in originating, structuring, negotiating, consummating, managing and monitoring investments in each of these businesses.</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 During Mr. Penn’s tenure with Apollo Investment, it invested approximately $2.8 billion in 73 companies in partnership with 54 different financial sponsors.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his more than 23-year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These professionals, Sal Giannetti, Whit Williams and Jose Briones, have in aggregate approximately 55 years of experience in the mezzanine, private equity and leveraged finance businesses. See “Management,” “Certain Relationships and Transactions—Investment Management Agreement” and “Risk Factors—Risks Relating to our Business and Structure”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our administration agreement,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116" w:lineRule="exact"/>
        <w:rPr>
          <w:sz w:val="20"/>
          <w:szCs w:val="20"/>
          <w:color w:val="auto"/>
        </w:rPr>
      </w:pPr>
    </w:p>
    <w:p>
      <w:pPr>
        <w:ind w:right="700" w:firstLine="456"/>
        <w:spacing w:after="0" w:line="306"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 in the accompanying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360" w:hanging="446"/>
        <w:spacing w:after="0" w:line="27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60" w:hanging="446"/>
        <w:spacing w:after="0" w:line="29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hanging="446"/>
        <w:spacing w:after="0" w:line="301"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maintain a five-year, multi-currency $300.0 million senior secured credit facility (the “credit facility”), which matures on June 25,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borrowings under our credit facility is set at 100 basis points over LIBOR. We believe that our capital resources will provide us with the flexibility to take advantage of market opportunities when they arise. See note 10 to our financial statements for the quarter ended December 31, 2009 in the accompanying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 in the accompanying prospectus.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in the accompanying prospectus. We have elected to be treated for federal income tax purposes under the Code as a RIC. For more information, see “Material U.S. Federal Income Tax Considerations” in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obligations under our credit facility, to invest in new or existing portfolio companies, or for other general corporate purposes. See “Use of Proceeds” in this prospectus supplement for information regarding our outstanding borrowings as of December 31, 2009, the corresponding interest rate charged on such borrowings as of that date and the length of time that it may take us to invest any proceeds in new or existing portfolio companies.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For more information, see “Distributions” in the accompanying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 in the accompanying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February 24, 2010, our board of directors approved an issuance of shares of common stock at a price below our current net asset value per share and at a price per share that approximates the market value of our shares traded on the NASDAQ Global Select Market, less an underwriting discount, at the time of sale. Our board of directors unanimously believed that such issuance was in our best interest and in the best interests of our stockholders.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this prospectus supplement, we describe the risks and dilutive effects of an offering of our common stock at a price below our current net asset value. See “Risk Factors—Risks relating to our Business and Structure” and “Sales of Common Stock Below Net Asset Value” in the accompanying prospectus, and “Sales of Common Stock Below Net Asset Value” in this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5.00%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0.65%</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common stockholder expenses</w:t>
            </w: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0780" w:type="dxa"/>
            <w:vAlign w:val="bottom"/>
            <w:gridSpan w:val="2"/>
            <w:vMerge w:val="continue"/>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3.51%</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2.21%</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1.00%</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1.35%</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4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underwriting discounts and commissions with respect to the shares sold in this offering, which is a one-time fee, is the only sales load paid in connection with this offering.</w:t>
      </w:r>
    </w:p>
    <w:p>
      <w:pPr>
        <w:ind w:left="4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$325,000 and based on the offering of 5,000,000 shares at the public offering price of $10.00 per share.</w:t>
      </w:r>
    </w:p>
    <w:p>
      <w:pPr>
        <w:ind w:left="460" w:right="2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three months ended December 31, 2009 plus the anticipated net proceeds from this offering.</w:t>
      </w:r>
    </w:p>
    <w:p>
      <w:pPr>
        <w:ind w:left="460" w:right="6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 in the accompanying prospectus.</w:t>
      </w:r>
    </w:p>
    <w:p>
      <w:pPr>
        <w:ind w:left="460" w:right="2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December 31,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“Certain Relationships and Transactions—Investment Management Agreement” in the accompanying prospectus.</w:t>
      </w:r>
    </w:p>
    <w:p>
      <w:pPr>
        <w:spacing w:after="0" w:line="6" w:lineRule="exact"/>
        <w:rPr>
          <w:rFonts w:ascii="Arial" w:cs="Arial" w:eastAsia="Arial" w:hAnsi="Arial"/>
          <w:sz w:val="16"/>
          <w:szCs w:val="16"/>
          <w:color w:val="auto"/>
        </w:rPr>
      </w:pPr>
    </w:p>
    <w:p>
      <w:pPr>
        <w:ind w:left="460" w:right="100" w:hanging="452"/>
        <w:spacing w:after="0" w:line="253"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December 31, 2009, we had $54.3 million unused, subject to maintenance of the applicable total assets to debt ratio of 200%, and $245.7 million in borrowings outstanding under our $300.0 million credit facility. We may use the proceeds of this offering to repay outstanding obligations under our credit facility. After completing the offering, we intend to continue to borrow under our credit facility to finance portfolio investments and are permitted to do so under the terms of our credit facility. We have estimated the interest payments on borrowed funds to take this into account; however, we caution you that our actual interest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 in the accompanying prospectus.</w:t>
      </w:r>
    </w:p>
    <w:p>
      <w:pPr>
        <w:spacing w:after="0" w:line="2" w:lineRule="exact"/>
        <w:rPr>
          <w:sz w:val="20"/>
          <w:szCs w:val="20"/>
          <w:color w:val="auto"/>
        </w:rPr>
      </w:pPr>
    </w:p>
    <w:p>
      <w:pPr>
        <w:ind w:left="460" w:right="420" w:hanging="452"/>
        <w:spacing w:after="0" w:line="298"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annualized for a full year. See our “Statement of Operations” in our financial statements in the accompanying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 sales load (underwriting discounts and commissions) and offering expenses totaling 0.65%, (2) total net annual expenses of</w:t>
      </w:r>
    </w:p>
    <w:p>
      <w:pPr>
        <w:ind w:right="60"/>
        <w:spacing w:after="0" w:line="261" w:lineRule="auto"/>
        <w:rPr>
          <w:sz w:val="20"/>
          <w:szCs w:val="20"/>
          <w:color w:val="auto"/>
        </w:rPr>
      </w:pPr>
      <w:r>
        <w:rPr>
          <w:rFonts w:ascii="Arial" w:cs="Arial" w:eastAsia="Arial" w:hAnsi="Arial"/>
          <w:sz w:val="18"/>
          <w:szCs w:val="18"/>
          <w:color w:val="auto"/>
        </w:rPr>
        <w:t>5.86% of average net assets attributable to common shares for the three months ended December 31, 2009 as set forth in the table above (other than performance-based incentive fees under the Investment Management Agreement) and (3) a 5% annual return: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$ 112</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$ 327</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586</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and the accompanying prospectus, including the Management’s Discussion and Analysis of Interim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and the accompanying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prospectus supplement and the accompanying prospectus.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supplement and accompanying prospectus on information available to us on the date of this prospectus supplement, and we assume no obligation to update any such forward-looking statements. Although we undertake no obligation to revise or update any forward-looking statements in this prospectus supplement and accompanying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estimate that net proceeds we will receive from the sale of 5,000,000 shares of our common stock in this offering will be approximately $47.2 million (or approximately $54.3 million if the underwriters fully exercise their overallotment option), in each case based on a public offering price of $10.00 per share, after deducting the underwriting discounts and commissions of $2.5 million (or approximately $2.9 million if the underwriters fully exercise their overallotment option) payable by us and estimated offering expenses of approximately $325,000 payable by us.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of December 31, 2009, we had $54.3 million unused, subject to maintenance of the applicable total assets to debt ratio of 200%, and $245.7 million in borrowings outstanding under our $300.0 million credit facility. Borrowings under our credit facility bear interest at an annual rate equal to LIBOR + 100 basis points per annum. At December 31, 2009, the weighted average interest rate at that time was 1.23%.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“Regulation—Temporary Investments” in the accompanying prospectus, for additional information about temporary investments we may make prior to investing in core assets.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sets forth our cash and capitalization on December 31, 2009 (1) on an actual basis and (2) as adjusted to reflect the effects of the sale of 5,000,000 shares of our common stock in this offering at an offering price of $10.00 per share ($9.44 per share net). The as 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financial statements and notes thereto, in conjunction with “Management’s Discussion and Analysis of Financial Condition and Results of Operations” included in the accompanying prospectus.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December 31, 2009</w:t>
            </w: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ind w:right="16"/>
              <w:spacing w:after="0" w:line="115" w:lineRule="exact"/>
              <w:rPr>
                <w:sz w:val="20"/>
                <w:szCs w:val="20"/>
                <w:color w:val="auto"/>
              </w:rPr>
            </w:pPr>
            <w:r>
              <w:rPr>
                <w:rFonts w:ascii="Arial" w:cs="Arial" w:eastAsia="Arial" w:hAnsi="Arial"/>
                <w:sz w:val="12"/>
                <w:szCs w:val="12"/>
                <w:b w:val="1"/>
                <w:bCs w:val="1"/>
                <w:color w:val="auto"/>
                <w:w w:val="98"/>
              </w:rPr>
              <w:t>As adjusted for</w:t>
            </w:r>
          </w:p>
        </w:tc>
        <w:tc>
          <w:tcPr>
            <w:tcW w:w="10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
              <w:spacing w:after="0" w:line="176" w:lineRule="exact"/>
              <w:rPr>
                <w:sz w:val="20"/>
                <w:szCs w:val="20"/>
                <w:color w:val="auto"/>
              </w:rPr>
            </w:pPr>
            <w:r>
              <w:rPr>
                <w:rFonts w:ascii="Arial" w:cs="Arial" w:eastAsia="Arial" w:hAnsi="Arial"/>
                <w:sz w:val="13"/>
                <w:szCs w:val="13"/>
                <w:b w:val="1"/>
                <w:bCs w:val="1"/>
                <w:color w:val="auto"/>
                <w:w w:val="93"/>
              </w:rPr>
              <w:t>the offering</w:t>
            </w:r>
            <w:r>
              <w:rPr>
                <w:rFonts w:ascii="Arial" w:cs="Arial" w:eastAsia="Arial" w:hAnsi="Arial"/>
                <w:sz w:val="20"/>
                <w:szCs w:val="20"/>
                <w:b w:val="1"/>
                <w:bCs w:val="1"/>
                <w:color w:val="auto"/>
                <w:w w:val="93"/>
                <w:vertAlign w:val="superscript"/>
              </w:rPr>
              <w:t>(1)</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7,051,165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54,226,165</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526,897,794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574,072,794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senior secured credit facility (cost $245,700,000)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201,914,294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201,914,294</w:t>
            </w:r>
          </w:p>
        </w:tc>
      </w:tr>
      <w:tr>
        <w:trPr>
          <w:trHeight w:val="282"/>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par value $0.001 per share; 100,000,000 shares authorized, 25,808,772 shares issued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outstanding, 30,808,772 shares issued and outstanding, as adjusted, respectively</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30,809</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Paid in capital in excess of par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330,405,864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377,575,864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2,675,930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2,675,930</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(67,098,312)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(67,098,312)</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(3,646,675)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(3,646,675)</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43,785,706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43,785,706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306,148,322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353,323,322</w:t>
            </w: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508,062,616</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555,237,616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over-allotment option.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March 2, 2010, the last reported closing price of our common stock was $10.17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High</w:t>
            </w: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Low</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Closing Sales Price</w:t>
            </w: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Sales</w:t>
            </w: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6"/>
              </w:rPr>
              <w:t>Sales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98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9"/>
              </w:rPr>
              <w:t>Price to</w:t>
            </w:r>
          </w:p>
        </w:tc>
        <w:tc>
          <w:tcPr>
            <w:tcW w:w="7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Price to</w:t>
            </w: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49"/>
        </w:trPr>
        <w:tc>
          <w:tcPr>
            <w:tcW w:w="6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1"/>
                <w:szCs w:val="11"/>
                <w:b w:val="1"/>
                <w:bCs w:val="1"/>
                <w:color w:val="auto"/>
              </w:rPr>
              <w:t>NAV</w:t>
            </w:r>
            <w:r>
              <w:rPr>
                <w:rFonts w:ascii="Arial" w:cs="Arial" w:eastAsia="Arial" w:hAnsi="Arial"/>
                <w:sz w:val="17"/>
                <w:szCs w:val="17"/>
                <w:b w:val="1"/>
                <w:bCs w:val="1"/>
                <w:color w:val="auto"/>
                <w:vertAlign w:val="superscript"/>
              </w:rPr>
              <w:t>(1)</w:t>
            </w: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ind w:left="100"/>
              <w:spacing w:after="0" w:line="149" w:lineRule="exact"/>
              <w:rPr>
                <w:sz w:val="20"/>
                <w:szCs w:val="20"/>
                <w:color w:val="auto"/>
              </w:rPr>
            </w:pPr>
            <w:r>
              <w:rPr>
                <w:rFonts w:ascii="Arial" w:cs="Arial" w:eastAsia="Arial" w:hAnsi="Arial"/>
                <w:sz w:val="14"/>
                <w:szCs w:val="14"/>
                <w:b w:val="1"/>
                <w:bCs w:val="1"/>
                <w:color w:val="auto"/>
              </w:rPr>
              <w:t>High</w:t>
            </w:r>
          </w:p>
        </w:tc>
        <w:tc>
          <w:tcPr>
            <w:tcW w:w="500" w:type="dxa"/>
            <w:vAlign w:val="bottom"/>
            <w:tcBorders>
              <w:top w:val="single" w:sz="8" w:color="auto"/>
            </w:tcBorders>
          </w:tcPr>
          <w:p>
            <w:pPr>
              <w:jc w:val="right"/>
              <w:ind w:right="34"/>
              <w:spacing w:after="0" w:line="149" w:lineRule="exact"/>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1"/>
                <w:szCs w:val="11"/>
                <w:b w:val="1"/>
                <w:bCs w:val="1"/>
                <w:color w:val="auto"/>
              </w:rPr>
              <w:t>NAV</w:t>
            </w:r>
            <w:r>
              <w:rPr>
                <w:rFonts w:ascii="Arial" w:cs="Arial" w:eastAsia="Arial" w:hAnsi="Arial"/>
                <w:sz w:val="17"/>
                <w:szCs w:val="17"/>
                <w:b w:val="1"/>
                <w:bCs w:val="1"/>
                <w:color w:val="auto"/>
                <w:vertAlign w:val="superscript"/>
              </w:rPr>
              <w:t>(2)</w:t>
            </w: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1"/>
                <w:szCs w:val="11"/>
                <w:b w:val="1"/>
                <w:bCs w:val="1"/>
                <w:color w:val="auto"/>
              </w:rPr>
              <w:t>NAV</w:t>
            </w:r>
            <w:r>
              <w:rPr>
                <w:rFonts w:ascii="Arial" w:cs="Arial" w:eastAsia="Arial" w:hAnsi="Arial"/>
                <w:sz w:val="17"/>
                <w:szCs w:val="17"/>
                <w:b w:val="1"/>
                <w:bCs w:val="1"/>
                <w:color w:val="auto"/>
                <w:vertAlign w:val="superscript"/>
              </w:rPr>
              <w:t>(2)</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Second quarter (through March 2, 2010)</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rPr>
              <w:t>$ N/A</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$10.56</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$ 8.88</w:t>
            </w:r>
          </w:p>
        </w:tc>
        <w:tc>
          <w:tcPr>
            <w:tcW w:w="32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  0.26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2"/>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7.65</w:t>
            </w:r>
          </w:p>
        </w:tc>
        <w:tc>
          <w:tcPr>
            <w:tcW w:w="500" w:type="dxa"/>
            <w:vAlign w:val="bottom"/>
          </w:tcPr>
          <w:p>
            <w:pPr>
              <w:jc w:val="right"/>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7.81</w:t>
            </w: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8.50</w:t>
            </w:r>
          </w:p>
        </w:tc>
        <w:tc>
          <w:tcPr>
            <w:tcW w:w="500" w:type="dxa"/>
            <w:vAlign w:val="bottom"/>
          </w:tcPr>
          <w:p>
            <w:pPr>
              <w:jc w:val="right"/>
              <w:spacing w:after="0"/>
              <w:rPr>
                <w:sz w:val="20"/>
                <w:szCs w:val="20"/>
                <w:color w:val="auto"/>
              </w:rPr>
            </w:pPr>
            <w:r>
              <w:rPr>
                <w:rFonts w:ascii="Arial" w:cs="Arial" w:eastAsia="Arial" w:hAnsi="Arial"/>
                <w:sz w:val="18"/>
                <w:szCs w:val="18"/>
                <w:color w:val="auto"/>
              </w:rPr>
              <w:t>5.92</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11.31</w:t>
            </w:r>
          </w:p>
        </w:tc>
        <w:tc>
          <w:tcPr>
            <w:tcW w:w="500" w:type="dxa"/>
            <w:vAlign w:val="bottom"/>
          </w:tcPr>
          <w:p>
            <w:pPr>
              <w:jc w:val="right"/>
              <w:spacing w:after="0"/>
              <w:rPr>
                <w:sz w:val="20"/>
                <w:szCs w:val="20"/>
                <w:color w:val="auto"/>
              </w:rPr>
            </w:pPr>
            <w:r>
              <w:rPr>
                <w:rFonts w:ascii="Arial" w:cs="Arial" w:eastAsia="Arial" w:hAnsi="Arial"/>
                <w:sz w:val="18"/>
                <w:szCs w:val="18"/>
                <w:color w:val="auto"/>
              </w:rPr>
              <w:t>8.38</w:t>
            </w:r>
          </w:p>
        </w:tc>
        <w:tc>
          <w:tcPr>
            <w:tcW w:w="3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13.74</w:t>
            </w:r>
          </w:p>
        </w:tc>
        <w:tc>
          <w:tcPr>
            <w:tcW w:w="16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15.03</w:t>
            </w:r>
          </w:p>
        </w:tc>
        <w:tc>
          <w:tcPr>
            <w:tcW w:w="500" w:type="dxa"/>
            <w:vAlign w:val="bottom"/>
          </w:tcPr>
          <w:p>
            <w:pPr>
              <w:jc w:val="right"/>
              <w:spacing w:after="0"/>
              <w:rPr>
                <w:sz w:val="20"/>
                <w:szCs w:val="20"/>
                <w:color w:val="auto"/>
              </w:rPr>
            </w:pPr>
            <w:r>
              <w:rPr>
                <w:rFonts w:ascii="Arial" w:cs="Arial" w:eastAsia="Arial" w:hAnsi="Arial"/>
                <w:sz w:val="18"/>
                <w:szCs w:val="18"/>
                <w:color w:val="auto"/>
              </w:rPr>
              <w:t>14.04</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“Certain Relationships and Transactions” in the accompanying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$8.92 and $8.11 as of December 31, 2009 and September 30, 2009, respectively. Our NAV was $11.86 and $11.85, as of December 31, 2009 and September 30, 2009,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our meeting of stockholders held on February 2, 2010,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February 2, 2010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35" w:lineRule="exact"/>
        <w:rPr>
          <w:sz w:val="20"/>
          <w:szCs w:val="20"/>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offering of common stock being made pursuant to this prospectus supplement and the accompanying prospectus is at a price below our most recently reported NAV on December 31, 2009 of $11.86 per share. Our board of directors also considered the fact that sales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a premium to NAV per share.</w:t>
      </w:r>
    </w:p>
    <w:p>
      <w:pPr>
        <w:spacing w:after="0" w:line="113"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existing stockholders who do not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following chart illustrates the level of NAV dilution that would be experienced by a stockholder who does not participate in the offering. It is not possible to predict the level of market price decline that may occur. The table below is shown based upon financial information as of December 31, 2009. NAV has not been finally determined for any day after December 31, 2009. The following example assumes a sale of 5,000,000 shares at the public offering price of $10.00 per share, with a 5% underwriting discount and $325,000 of offering expenses ($9.44 per share net).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6"/>
              </w:rPr>
              <w:t>Prior to Sale</w:t>
            </w:r>
          </w:p>
        </w:tc>
        <w:tc>
          <w:tcPr>
            <w:tcW w:w="80" w:type="dxa"/>
            <w:vAlign w:val="bottom"/>
          </w:tcPr>
          <w:p>
            <w:pPr>
              <w:spacing w:after="0"/>
              <w:rPr>
                <w:sz w:val="14"/>
                <w:szCs w:val="14"/>
                <w:color w:val="auto"/>
              </w:rPr>
            </w:pPr>
          </w:p>
        </w:tc>
        <w:tc>
          <w:tcPr>
            <w:tcW w:w="15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4"/>
              </w:rPr>
              <w:t>Following</w:t>
            </w: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Below NAV</w:t>
            </w:r>
          </w:p>
        </w:tc>
        <w:tc>
          <w:tcPr>
            <w:tcW w:w="80" w:type="dxa"/>
            <w:vAlign w:val="bottom"/>
          </w:tcPr>
          <w:p>
            <w:pPr>
              <w:spacing w:after="0"/>
              <w:rPr>
                <w:sz w:val="14"/>
                <w:szCs w:val="14"/>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10.00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9.44</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25,808,772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30,808,772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19.37 %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NAV per share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11.86</w:t>
            </w:r>
          </w:p>
        </w:tc>
        <w:tc>
          <w:tcPr>
            <w:tcW w:w="6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11.47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Non participating Stockholder A</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25,809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25,809</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NAV held by stockholder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306,095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296,029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Total investment by stockholder (assumed to be $11.86 per share)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306,095</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306,095</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dilution to stockholder (total NAV less total investment)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(10,066)</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84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per share held by stockholder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Investment per share held by stockholder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11.86</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11.86</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Dilution per share held by stockholder (NAV per share less investment per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following chart illustrates the level of dilution and accretion in the offering for a stockholder that acquires shares equal to (1) 50% of its proportionate share of the offering (i.e., 2,500 shares, which is 0.05% of the offering rather than its 0.10% proportionate share) and (2) 150% of such percentage (i.e., 7,500 shares, which is 0.15% of the offering rather than its 0.10% proportionate share). The table below is shown based upon financial information as of December 31, 2009. NAV has not been finally determined for any day after December 31, 2009. The following example assumes a sale of 5,000,000 shares at the public offering price of $10.00 per share, with a 5% underwriting discount and commissions and $325,000 of offering expenses ($9.44 per share net).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0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6"/>
              </w:rPr>
              <w:t>Prior to Sale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50% Participation</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840"/>
              <w:spacing w:after="0" w:line="129" w:lineRule="exact"/>
              <w:rPr>
                <w:sz w:val="20"/>
                <w:szCs w:val="20"/>
                <w:color w:val="auto"/>
              </w:rPr>
            </w:pPr>
            <w:r>
              <w:rPr>
                <w:rFonts w:ascii="Arial" w:cs="Arial" w:eastAsia="Arial" w:hAnsi="Arial"/>
                <w:sz w:val="14"/>
                <w:szCs w:val="14"/>
                <w:b w:val="1"/>
                <w:bCs w:val="1"/>
                <w:color w:val="auto"/>
                <w:w w:val="91"/>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right"/>
              <w:ind w:right="840"/>
              <w:spacing w:after="0" w:line="129" w:lineRule="exact"/>
              <w:rPr>
                <w:sz w:val="20"/>
                <w:szCs w:val="20"/>
                <w:color w:val="auto"/>
              </w:rPr>
            </w:pPr>
            <w:r>
              <w:rPr>
                <w:rFonts w:ascii="Arial" w:cs="Arial" w:eastAsia="Arial" w:hAnsi="Arial"/>
                <w:sz w:val="14"/>
                <w:szCs w:val="14"/>
                <w:b w:val="1"/>
                <w:bCs w:val="1"/>
                <w:color w:val="auto"/>
                <w:w w:val="94"/>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Below NAV</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Sale</w:t>
            </w: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4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10.00</w:t>
            </w:r>
          </w:p>
        </w:tc>
        <w:tc>
          <w:tcPr>
            <w:tcW w:w="11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9.44</w:t>
            </w:r>
          </w:p>
        </w:tc>
        <w:tc>
          <w:tcPr>
            <w:tcW w:w="11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9.44</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25,808,772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30,808,772</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19.37%</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30,808,772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11.86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11.47</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11.47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(3.29)%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25,809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28,309</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33,309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0.09%</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(10.00)%</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306,095</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324,704</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382,054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Total investment by stockholder (assumed to be $11.86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640"/>
              <w:spacing w:after="0"/>
              <w:rPr>
                <w:sz w:val="20"/>
                <w:szCs w:val="20"/>
                <w:color w:val="auto"/>
              </w:rPr>
            </w:pPr>
            <w:r>
              <w:rPr>
                <w:rFonts w:ascii="Arial" w:cs="Arial" w:eastAsia="Arial" w:hAnsi="Arial"/>
                <w:sz w:val="18"/>
                <w:szCs w:val="18"/>
                <w:color w:val="auto"/>
              </w:rPr>
              <w:t>per share on shares held prior to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306,095</w:t>
            </w:r>
          </w:p>
        </w:tc>
        <w:tc>
          <w:tcPr>
            <w:tcW w:w="4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331,095</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381,095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24.50%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(dilution)/accretion to stockholder (total NAV less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investment)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(6,391)</w:t>
            </w:r>
          </w:p>
        </w:tc>
        <w:tc>
          <w:tcPr>
            <w:tcW w:w="11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959</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00" w:type="dxa"/>
            <w:vAlign w:val="bottom"/>
          </w:tcPr>
          <w:p>
            <w:pPr>
              <w:ind w:left="200"/>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11.47</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w w:val="97"/>
              </w:rPr>
              <w:t>Investment per share held by stockholder (assumed to be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640"/>
              <w:spacing w:after="0"/>
              <w:rPr>
                <w:sz w:val="20"/>
                <w:szCs w:val="20"/>
                <w:color w:val="auto"/>
              </w:rPr>
            </w:pPr>
            <w:r>
              <w:rPr>
                <w:rFonts w:ascii="Arial" w:cs="Arial" w:eastAsia="Arial" w:hAnsi="Arial"/>
                <w:sz w:val="18"/>
                <w:szCs w:val="18"/>
                <w:color w:val="auto"/>
              </w:rPr>
              <w:t>$11.86 per share on shares held prior to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11.86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11.70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11.44</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(Dilution)/accretion per share held by stockholder (NAV</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 less investment per share)</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(0.23)</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S-14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following chart illustrates the level of dilution or accretion for new investors that will be experienced by a new investor who purchases the same percentage (0.10%) of the shares in the offering as the stockholder in the prior examples held immediately prior to the offering.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 It is not possible to predict the level of market price decline that may occur. The table below is shown based upon financial information as of December 31, 2009. NAV has not been finally determined for any day after December 31, 2009. The following example assumes a sale of 5,000,000 shares at the public offering price of $10.00 per share, with a 5% underwriting discount and commissions and $325,000 of offering expenses ($9.44 per share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Prior to Sale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Following</w:t>
            </w:r>
          </w:p>
        </w:tc>
        <w:tc>
          <w:tcPr>
            <w:tcW w:w="44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Below NAV</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3"/>
              </w:rPr>
              <w:t>Sale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7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25,808,772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30,808,772</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NAV per share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11.47</w:t>
            </w:r>
          </w:p>
        </w:tc>
        <w:tc>
          <w:tcPr>
            <w:tcW w:w="7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(3.29)%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Accretion to New Stockholder 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Shares held by stockholder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7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0.02%</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040" w:type="dxa"/>
            <w:vAlign w:val="bottom"/>
          </w:tcPr>
          <w:p>
            <w:pPr>
              <w:ind w:left="200"/>
              <w:spacing w:after="0"/>
              <w:rPr>
                <w:sz w:val="20"/>
                <w:szCs w:val="20"/>
                <w:color w:val="auto"/>
              </w:rPr>
            </w:pPr>
            <w:r>
              <w:rPr>
                <w:rFonts w:ascii="Arial" w:cs="Arial" w:eastAsia="Arial" w:hAnsi="Arial"/>
                <w:sz w:val="18"/>
                <w:szCs w:val="18"/>
                <w:b w:val="1"/>
                <w:bCs w:val="1"/>
                <w:color w:val="auto"/>
              </w:rPr>
              <w:t>Total Asset Values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NAV held by stockholder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57,350</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640"/>
              <w:spacing w:after="0"/>
              <w:rPr>
                <w:sz w:val="20"/>
                <w:szCs w:val="20"/>
                <w:color w:val="auto"/>
              </w:rPr>
            </w:pPr>
            <w:r>
              <w:rPr>
                <w:rFonts w:ascii="Arial" w:cs="Arial" w:eastAsia="Arial" w:hAnsi="Arial"/>
                <w:sz w:val="18"/>
                <w:szCs w:val="18"/>
                <w:color w:val="auto"/>
              </w:rPr>
              <w:t>Total investment by stockholder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7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accretion to stockholder (total NAV less total investment)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04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per share held by stockholder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640"/>
              <w:spacing w:after="0"/>
              <w:rPr>
                <w:sz w:val="20"/>
                <w:szCs w:val="20"/>
                <w:color w:val="auto"/>
              </w:rPr>
            </w:pPr>
            <w:r>
              <w:rPr>
                <w:rFonts w:ascii="Arial" w:cs="Arial" w:eastAsia="Arial" w:hAnsi="Arial"/>
                <w:sz w:val="18"/>
                <w:szCs w:val="18"/>
                <w:color w:val="auto"/>
              </w:rPr>
              <w:t>Investment per share held by stockholder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7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Accretion per share held by stockholder (NAV per share less investment per share)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14.70%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040" w:type="dxa"/>
            <w:vAlign w:val="bottom"/>
          </w:tcPr>
          <w:p>
            <w:pPr>
              <w:ind w:left="5520"/>
              <w:spacing w:after="0"/>
              <w:rPr>
                <w:sz w:val="20"/>
                <w:szCs w:val="20"/>
                <w:color w:val="auto"/>
              </w:rPr>
            </w:pPr>
            <w:r>
              <w:rPr>
                <w:rFonts w:ascii="Arial" w:cs="Arial" w:eastAsia="Arial" w:hAnsi="Arial"/>
                <w:sz w:val="18"/>
                <w:szCs w:val="18"/>
                <w:color w:val="auto"/>
              </w:rPr>
              <w:t>S-15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We have derived the quarterly and annual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2009 and 2008, and for the period from January 11, 2007 (inception) through September 30, 2007 are derived from our financial statements which have been audited by KPMG LLP, our independent registered public accounting firm. This selected financial data for the periods ended September 30, 2009, 2008 and 2007 should be read in conjunction with our financial statements and related notes thereto and “Management’s Discussion and Analysis of Financial Condition and Results of Operations” and “Regulation—Senior Securities” in the accompanying prospectus. Interim results as of and for the three months ended December 31, 2009 are not necessarily indicative of the results that may be expected for the year ending September 30, 2010. This selected financial data for the three months ended December 31, 2009 should be read in conjunction with our financial statements and related notes thereto and “Management’s Discussion and Analysis of Financial Condition and Results of Operations” in the accompanying prospectus.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Three months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80" w:type="dxa"/>
            <w:vAlign w:val="bottom"/>
          </w:tcPr>
          <w:p>
            <w:pPr>
              <w:spacing w:after="0"/>
              <w:rPr>
                <w:sz w:val="12"/>
                <w:szCs w:val="12"/>
                <w:color w:val="auto"/>
              </w:rPr>
            </w:pP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0" w:type="dxa"/>
            <w:vAlign w:val="bottom"/>
          </w:tcPr>
          <w:p>
            <w:pPr>
              <w:spacing w:after="0"/>
              <w:rPr>
                <w:sz w:val="1"/>
                <w:szCs w:val="1"/>
                <w:color w:val="auto"/>
              </w:rPr>
            </w:pPr>
          </w:p>
        </w:tc>
      </w:tr>
      <w:tr>
        <w:trPr>
          <w:trHeight w:val="16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560" w:type="dxa"/>
            <w:vAlign w:val="bottom"/>
          </w:tcPr>
          <w:p>
            <w:pPr>
              <w:spacing w:after="0"/>
              <w:rPr>
                <w:sz w:val="14"/>
                <w:szCs w:val="14"/>
                <w:color w:val="auto"/>
              </w:rPr>
            </w:pPr>
          </w:p>
        </w:tc>
        <w:tc>
          <w:tcPr>
            <w:tcW w:w="17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5"/>
              </w:rPr>
              <w:t>December 31, 2009</w:t>
            </w:r>
          </w:p>
        </w:tc>
        <w:tc>
          <w:tcPr>
            <w:tcW w:w="17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September 30, 2009</w:t>
            </w:r>
          </w:p>
        </w:tc>
        <w:tc>
          <w:tcPr>
            <w:tcW w:w="18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September 30, 2008</w:t>
            </w: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7"/>
              </w:rPr>
              <w:t>Unaudited</w:t>
            </w:r>
          </w:p>
        </w:tc>
        <w:tc>
          <w:tcPr>
            <w:tcW w:w="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8"/>
              </w:rPr>
              <w:t>Audited</w:t>
            </w: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8"/>
              </w:rPr>
              <w:t>Audited</w:t>
            </w:r>
          </w:p>
        </w:tc>
        <w:tc>
          <w:tcPr>
            <w:tcW w:w="7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13,599</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45,119</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39,811</w:t>
            </w: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6,361</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22,400</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21,676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6,361</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22,400</w:t>
            </w:r>
          </w:p>
        </w:tc>
        <w:tc>
          <w:tcPr>
            <w:tcW w:w="18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21,255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7,238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22,719</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18,556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1,438</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13,083</w:t>
            </w:r>
          </w:p>
        </w:tc>
        <w:tc>
          <w:tcPr>
            <w:tcW w:w="18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(59,259)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increase/(decrease) in net assets resulting from</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8,676</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35,802</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(40,703)</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82"/>
        </w:trPr>
        <w:tc>
          <w:tcPr>
            <w:tcW w:w="414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11.85</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0.28</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8"/>
                <w:szCs w:val="18"/>
                <w:color w:val="auto"/>
                <w:w w:val="99"/>
              </w:rPr>
              <w:t>Net increase/(decrease) in net assets resulting from</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22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19"/>
                <w:szCs w:val="19"/>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9"/>
                <w:szCs w:val="19"/>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(0.96)</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82"/>
        </w:trPr>
        <w:tc>
          <w:tcPr>
            <w:tcW w:w="414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526,898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512,381</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419,811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513,141</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469,760</w:t>
            </w:r>
          </w:p>
        </w:tc>
        <w:tc>
          <w:tcPr>
            <w:tcW w:w="18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372,148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201,914</w:t>
            </w:r>
            <w:r>
              <w:rPr>
                <w:rFonts w:ascii="Arial" w:cs="Arial" w:eastAsia="Arial" w:hAnsi="Arial"/>
                <w:sz w:val="11"/>
                <w:szCs w:val="11"/>
                <w:color w:val="auto"/>
              </w:rPr>
              <w:t>(5)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202,000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25,821</w:t>
            </w:r>
          </w:p>
        </w:tc>
        <w:tc>
          <w:tcPr>
            <w:tcW w:w="18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306,148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300,580</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210,728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4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30.39%</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63"/>
        </w:trPr>
        <w:tc>
          <w:tcPr>
            <w:tcW w:w="4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S-16</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 See “Certain Relationships and Transaction” in the accompanying prospectus.</w:t>
      </w:r>
    </w:p>
    <w:p>
      <w:pPr>
        <w:ind w:left="460" w:right="1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investment income and net realized and change in unrealized losses per share data are calculated based on the weighted average shares outstanding for the respective periods.</w:t>
      </w:r>
    </w:p>
    <w:p>
      <w:pPr>
        <w:ind w:left="460" w:right="3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accounting principles generally accepted in the United States of America.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r>
      <w:tr>
        <w:trPr>
          <w:trHeight w:val="142"/>
        </w:trPr>
        <w:tc>
          <w:tcPr>
            <w:tcW w:w="10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5"/>
              </w:rPr>
              <w:t>Q1</w:t>
            </w:r>
          </w:p>
        </w:tc>
        <w:tc>
          <w:tcPr>
            <w:tcW w:w="20" w:type="dxa"/>
            <w:vAlign w:val="bottom"/>
          </w:tcPr>
          <w:p>
            <w:pPr>
              <w:spacing w:after="0"/>
              <w:rPr>
                <w:sz w:val="12"/>
                <w:szCs w:val="12"/>
                <w:color w:val="auto"/>
              </w:rPr>
            </w:pPr>
          </w:p>
        </w:tc>
      </w:tr>
      <w:tr>
        <w:trPr>
          <w:trHeight w:val="210"/>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13,599</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7,238</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8,676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8"/>
                <w:szCs w:val="18"/>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Q4</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Q2</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6"/>
              </w:rPr>
              <w:t>$11,847</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$10,770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$10,425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12,077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6,018</w:t>
            </w:r>
          </w:p>
        </w:tc>
        <w:tc>
          <w:tcPr>
            <w:tcW w:w="2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5,666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$20,162</w:t>
            </w:r>
          </w:p>
        </w:tc>
        <w:tc>
          <w:tcPr>
            <w:tcW w:w="2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4"/>
              </w:rPr>
              <w:t>$ (6,486)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$36,932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(37,525)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w w:val="98"/>
              </w:rPr>
              <w:t>Net increase (decrease) in net assets resulting from operations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$26,180</w:t>
            </w:r>
          </w:p>
        </w:tc>
        <w:tc>
          <w:tcPr>
            <w:tcW w:w="2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$42,199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(31,757)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11.85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51"/>
        </w:trPr>
        <w:tc>
          <w:tcPr>
            <w:tcW w:w="4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9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Q4</w:t>
            </w:r>
          </w:p>
        </w:tc>
        <w:tc>
          <w:tcPr>
            <w:tcW w:w="44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Q3</w:t>
            </w:r>
          </w:p>
        </w:tc>
        <w:tc>
          <w:tcPr>
            <w:tcW w:w="1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55"/>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$ 11,431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9,662</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2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5,434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3,941</w:t>
            </w: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4,449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34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(16,475)</w:t>
            </w:r>
          </w:p>
        </w:tc>
        <w:tc>
          <w:tcPr>
            <w:tcW w:w="2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$11,263</w:t>
            </w:r>
          </w:p>
        </w:tc>
        <w:tc>
          <w:tcPr>
            <w:tcW w:w="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(37,778)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(16,269)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w w:val="98"/>
              </w:rPr>
              <w:t>Net increase (decrease) in net assets resulting from operations</w:t>
            </w:r>
          </w:p>
        </w:tc>
        <w:tc>
          <w:tcPr>
            <w:tcW w:w="3420" w:type="dxa"/>
            <w:vAlign w:val="bottom"/>
            <w:gridSpan w:val="5"/>
          </w:tcPr>
          <w:p>
            <w:pPr>
              <w:jc w:val="right"/>
              <w:ind w:right="100"/>
              <w:spacing w:after="0"/>
              <w:rPr>
                <w:sz w:val="20"/>
                <w:szCs w:val="20"/>
                <w:color w:val="auto"/>
              </w:rPr>
            </w:pPr>
            <w:r>
              <w:rPr>
                <w:rFonts w:ascii="Arial" w:cs="Arial" w:eastAsia="Arial" w:hAnsi="Arial"/>
                <w:sz w:val="18"/>
                <w:szCs w:val="18"/>
                <w:color w:val="auto"/>
              </w:rPr>
              <w:t>$ (11,041)</w:t>
            </w:r>
          </w:p>
        </w:tc>
        <w:tc>
          <w:tcPr>
            <w:tcW w:w="28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86"/>
              </w:rPr>
              <w:t>$15,204</w:t>
            </w:r>
          </w:p>
        </w:tc>
        <w:tc>
          <w:tcPr>
            <w:tcW w:w="8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 (33,329)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(11,537)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(0.53)</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10.77</w:t>
            </w: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10.26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63"/>
        </w:trPr>
        <w:tc>
          <w:tcPr>
            <w:tcW w:w="4960" w:type="dxa"/>
            <w:vAlign w:val="bottom"/>
          </w:tcPr>
          <w:p>
            <w:pPr>
              <w:spacing w:after="0"/>
              <w:rPr>
                <w:sz w:val="24"/>
                <w:szCs w:val="24"/>
                <w:color w:val="auto"/>
              </w:rPr>
            </w:pPr>
          </w:p>
        </w:tc>
        <w:tc>
          <w:tcPr>
            <w:tcW w:w="2840" w:type="dxa"/>
            <w:vAlign w:val="bottom"/>
            <w:gridSpan w:val="2"/>
          </w:tcPr>
          <w:p>
            <w:pPr>
              <w:jc w:val="right"/>
              <w:ind w:right="1920"/>
              <w:spacing w:after="0"/>
              <w:rPr>
                <w:sz w:val="20"/>
                <w:szCs w:val="20"/>
                <w:color w:val="auto"/>
              </w:rPr>
            </w:pPr>
            <w:r>
              <w:rPr>
                <w:rFonts w:ascii="Arial" w:cs="Arial" w:eastAsia="Arial" w:hAnsi="Arial"/>
                <w:sz w:val="18"/>
                <w:szCs w:val="18"/>
                <w:color w:val="auto"/>
              </w:rPr>
              <w:t>S-17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5,425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4,348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3,208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(18,870)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(5,152)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(14,522)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(0.01)</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13.74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12.08</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14.04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intend to offer the shares through the underwriters named in the table below. J.P. Morgan Securities Inc., Robert W. Baird &amp; Co. Incorporated, Stifel, Nicolaus &amp; Company, Incorporated and SunTrust Robinson Humphrey,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rPr>
              <w:t>Number of</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220" w:type="dxa"/>
            <w:vAlign w:val="bottom"/>
          </w:tcPr>
          <w:p>
            <w:pPr>
              <w:spacing w:after="0"/>
              <w:rPr>
                <w:sz w:val="14"/>
                <w:szCs w:val="14"/>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r>
      <w:tr>
        <w:trPr>
          <w:trHeight w:val="210"/>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Robert W. Baird &amp; Co. Incorporated</w:t>
            </w:r>
          </w:p>
        </w:tc>
        <w:tc>
          <w:tcPr>
            <w:tcW w:w="98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98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BMO Capital Markets Corp.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FBR Capital Markets &amp; Co.</w:t>
            </w:r>
          </w:p>
        </w:tc>
        <w:tc>
          <w:tcPr>
            <w:tcW w:w="980" w:type="dxa"/>
            <w:vAlign w:val="bottom"/>
          </w:tcPr>
          <w:p>
            <w:pPr>
              <w:jc w:val="right"/>
              <w:spacing w:after="0"/>
              <w:rPr>
                <w:sz w:val="20"/>
                <w:szCs w:val="20"/>
                <w:color w:val="auto"/>
              </w:rPr>
            </w:pPr>
            <w:r>
              <w:rPr>
                <w:rFonts w:ascii="Arial" w:cs="Arial" w:eastAsia="Arial" w:hAnsi="Arial"/>
                <w:sz w:val="18"/>
                <w:szCs w:val="18"/>
                <w:color w:val="auto"/>
              </w:rPr>
              <w:t>312,500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0"/>
        </w:trPr>
        <w:tc>
          <w:tcPr>
            <w:tcW w:w="3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over-allotment option described below, if they purchase any of the shares. The underwriters reserve the right to withdraw, cancel or modify offers to the public and to reject orders in whole or in part.</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underwriters have advised us that they have offered the shares to the public at the public offering price on the cover page of this prospectus supplement and to dealers at that price less a concession not in excess of $0.50 per share. The underwriters may allow, and the dealers may reallow, a discount not in excess of $0.10 per share to other dealers. After the public offering, the public offering price, concession and discount may be changed.</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750,000 shares.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Per Share</w:t>
            </w:r>
          </w:p>
        </w:tc>
        <w:tc>
          <w:tcPr>
            <w:tcW w:w="440" w:type="dxa"/>
            <w:vAlign w:val="bottom"/>
          </w:tcPr>
          <w:p>
            <w:pPr>
              <w:spacing w:after="0"/>
              <w:rPr>
                <w:sz w:val="14"/>
                <w:szCs w:val="14"/>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Without Option</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With Option</w:t>
            </w:r>
          </w:p>
        </w:tc>
        <w:tc>
          <w:tcPr>
            <w:tcW w:w="20" w:type="dxa"/>
            <w:vAlign w:val="bottom"/>
          </w:tcPr>
          <w:p>
            <w:pPr>
              <w:spacing w:after="0"/>
              <w:rPr>
                <w:sz w:val="14"/>
                <w:szCs w:val="14"/>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8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50,000,000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57,500,000</w:t>
            </w:r>
          </w:p>
        </w:tc>
        <w:tc>
          <w:tcPr>
            <w:tcW w:w="2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Underwriting discount</w:t>
            </w:r>
          </w:p>
        </w:tc>
        <w:tc>
          <w:tcPr>
            <w:tcW w:w="2980" w:type="dxa"/>
            <w:vAlign w:val="bottom"/>
            <w:gridSpan w:val="2"/>
          </w:tcPr>
          <w:p>
            <w:pPr>
              <w:ind w:left="28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2,500,000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2,875,000</w:t>
            </w:r>
          </w:p>
        </w:tc>
        <w:tc>
          <w:tcPr>
            <w:tcW w:w="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3"/>
              </w:rPr>
              <w:t>Proceeds, before expenses, to PennantPark Investment Corporation</w:t>
            </w:r>
          </w:p>
        </w:tc>
        <w:tc>
          <w:tcPr>
            <w:tcW w:w="298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47,500,000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54,625,000</w:t>
            </w:r>
          </w:p>
        </w:tc>
        <w:tc>
          <w:tcPr>
            <w:tcW w:w="20" w:type="dxa"/>
            <w:vAlign w:val="bottom"/>
          </w:tcPr>
          <w:p>
            <w:pPr>
              <w:spacing w:after="0"/>
              <w:rPr>
                <w:sz w:val="18"/>
                <w:szCs w:val="18"/>
                <w:color w:val="auto"/>
              </w:rPr>
            </w:pPr>
          </w:p>
        </w:tc>
      </w:tr>
      <w:tr>
        <w:trPr>
          <w:trHeight w:val="363"/>
        </w:trPr>
        <w:tc>
          <w:tcPr>
            <w:tcW w:w="5140" w:type="dxa"/>
            <w:vAlign w:val="bottom"/>
          </w:tcPr>
          <w:p>
            <w:pPr>
              <w:spacing w:after="0"/>
              <w:rPr>
                <w:sz w:val="24"/>
                <w:szCs w:val="24"/>
                <w:color w:val="auto"/>
              </w:rPr>
            </w:pPr>
          </w:p>
        </w:tc>
        <w:tc>
          <w:tcPr>
            <w:tcW w:w="2980" w:type="dxa"/>
            <w:vAlign w:val="bottom"/>
            <w:gridSpan w:val="2"/>
          </w:tcPr>
          <w:p>
            <w:pPr>
              <w:ind w:left="400"/>
              <w:spacing w:after="0"/>
              <w:rPr>
                <w:sz w:val="20"/>
                <w:szCs w:val="20"/>
                <w:color w:val="auto"/>
              </w:rPr>
            </w:pPr>
            <w:r>
              <w:rPr>
                <w:rFonts w:ascii="Arial" w:cs="Arial" w:eastAsia="Arial" w:hAnsi="Arial"/>
                <w:sz w:val="18"/>
                <w:szCs w:val="18"/>
                <w:color w:val="auto"/>
              </w:rPr>
              <w:t>S-19</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payable by us, not including underwriting discounts and commissions, will be approximately $325,000.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granted an option to the underwriters to purchase up to 750,000 additional shares at the public offering price less the underwriting discount. J.P. Morgan Securities Inc., on behalf of the underwriters, may exercise this option for 30 days from the date of this prospectus supplement solely to cover any overallotments. If the underwriters exercise this option, they will be obligated, subject to conditions contained in the underwriting agreement, to purchase the additional shares approximately proportionate to that underwriter’s initial purchase commitment.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60 days after the date of this prospectus without first obtaining the written consent of J.P. Morgan Securities Inc.</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Pennant Park Investment Administration, LLC and certain of its affiliates have agreed, with exceptions, not to sell or transfer any common stock for 90 days after the date of this prospectus supplement without first obtaining the written consent of J.P. Morgan Securities Inc. Specifically, we and these other individuals and entities have agreed not to directly or indirectly:</w:t>
      </w:r>
    </w:p>
    <w:p>
      <w:pPr>
        <w:spacing w:after="0" w:line="2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overallotment option described above. In making this determination, the underwriters will consider, among other things, the price of shares available for purchase in the open market compared to the price at which the underwriters may purchase shares through the over allotment option.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Purchases of the common stock to stabilize its price or to reduce a short position may cause the price of the common stock to be higher than it might be in the absence of such purchases.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separate fees.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Some of the underwriters and their affiliates were underwriters in connection with our initial public offering for which they received customary fees. Affiliates of the underwriters may receive part of the proceeds of the offering by reason of the repayment of certain amounts outstanding under our credit facility.</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principal business address of the underwriters are: J.P. Morgan Securities Inc. is 383 Madison Ave., New York, NY 10179; Robert W. Baird &amp; Co. Incorporated is 777 E. Wisconsin Avenue, Milwaukee, WI 53202; Stifel, Nicolaus &amp; Company Incorporated, 501 N. Broadway, St. Louis, Missouri 63102; and SunTrust Robinson Humphrey, Inc. is 3333 Peachtree Rd., NE, Atlanta, GA 30326.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 and its Role in Risk Oversight</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Chief Executive Officer, Arthur H. Penn, is chairman of our board and an “interested person” under the 1940 Act. The board believes that it is in the best interests of our shareholders for Mr. Penn to lead the board because of his broad experience. See “Management” in the accompanying prospectus.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our founder, Mr. Penn has demonstrated a track record of achievement on strategic and operating aspects of our business. Under our bylaws, our board does not have an independent chairman. Many significant corporate governance duties of the board are executed by independent committees, each of which has an independent chairman. Mr. Penn is the only interested director on the board and he answers to the full board. The board believes that its structure, small size and the uniformly high degree of engagement among directors create a highly efficient governance structure that provides ample opportunity for direct communication and interaction between management and the board. While the board regularly evaluates alternative structures, it believes that, as a business development company, it is appropriate for our founder, chief executive officer and chair of our investment committee to perform the functions of chairman of the board, including leading discussions of strategic issues facing PennantPark Investment. The independent directors set the agenda for meetings of the Board. The board believes the current structure provides appropriate guidance and oversight while also enabling efficient input from management.</w:t>
      </w:r>
    </w:p>
    <w:p>
      <w:pPr>
        <w:spacing w:after="0" w:line="118"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There are a number of significant risks facing us which are described under the heading “Risk Factors” in the accompanying prospectus. Our board uses its judgment to create and maintain policies and practices designed to limit or manage the risks we face, including: (1) the establishment of board-approved policies and procedures designed serve the interests of PennantPark Investment, (2) the application of these policies uniformly to directors, management and third-party service providers, (3) the establishment of independent board committees with clearly defined risk oversight functions and (4) review and analysis by the board of reports by management and certain third-party service providers. Accordingly, our board has approved a Code of Ethics (which is jointly applicable to our Investment Adviser) and a Code of Conduct to promote ethical conduct and prohibit certain transactions that could pose significant risks to us. Our board has established a related party transaction review policy, under which it monitors the risks related to certain transactions that present a conflict of interest on a quarterly basis. Our board of directors has also established and approved an investment valuation process to manage risks relating to the valuations of our investments and to ensure that our financial statements appropriately reflect the performance of our portfolio of assets. Additionally, through the board’s delegated authority, the Audit Committee of the board has primary oversight over risks relating to our internal controls over financial reporting and audit-related risks, while the Nominating and Corporate Governance Committee of the board has primary oversight over risks relating to corporate governance. The board oversees risks related to our disclosure controls by requiring and reviewing quarterly reports from our Disclosure Committee. The Disclosure Committee, comprised of our Chief Executive Officer, Chief Financial Officer, a representative of our Investment Adviser and a representative of our Administrator, reviews our performance in light of reports from our transfer agent, custodian, Investment Adviser and legal counsel to evaluate our disclosure controls and procedures. Finally, the board oversees the performance of our management team through quarterly reports provided by the Investment Adviser. Under this oversight structure, our management team manages the risks facing us in our day-to-day operations. We caution you, however, that although our board of directors believes it has established an effective system of oversight, no risk management system can eliminate risks or ensure that particular events do not adversely affect our business.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Qualifications and Experience</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Nominating and Corporate Governance Committee has recommended, and our board and stockholders have approved, the members of our board based on their respective background, experience, qualifications and skills, including but not limited to their sector experience, civic and community involvement, and leadership qualities. See “Management” in the accompanying prospectus.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Simpson Thacher &amp; Bartlett LLP, New York, N.Y. Dechert LLP and Simpson Thacher &amp; Bartlett LLP may rely as to certain matters of Maryland law upon the opinion of Venable LLP.</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311150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PennantPark Investment Corporation, a Maryland corporation, is a closed-end, externally managed, non-diversified investment company that has elected to be treated as a business development company, or BDC, under the Investment Company Act of 1940 (the “1940 Act”).</w:t>
      </w:r>
    </w:p>
    <w:p>
      <w:pPr>
        <w:spacing w:after="0" w:line="51"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fund a portion of our investments with borrowed money, a practice commonly known as leverage. We can offer no assurances that we will achieve our investment objectives.</w:t>
      </w:r>
    </w:p>
    <w:p>
      <w:pPr>
        <w:spacing w:after="0" w:line="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w:t>
      </w:r>
    </w:p>
    <w:p>
      <w:pPr>
        <w:jc w:val="both"/>
        <w:ind w:right="340" w:firstLine="8"/>
        <w:spacing w:after="0" w:line="302"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under such circumstances as the Securities and Exchange Commission, or the SEC, may permit. On February 2, 2010, our common stockholders voted to allow us to issue common stock at a price below net asset value per share for a period of one year ending February 2, 2011. See “Risk Factors” on page 9 and “Sales of Common Stock Below Net Asset Value” on page 50 of this prospectus for more information.</w:t>
      </w:r>
    </w:p>
    <w:p>
      <w:pPr>
        <w:spacing w:after="0" w:line="2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common stock has been approved for quotation on NASDAQ Global Select Market under the symbol “PNNT”. The last reported closing price for our common stock on February 17, 2010 was $10.10 per share and our net asset value on December 31, 2009 was $11.86 per share.</w:t>
      </w:r>
    </w:p>
    <w:p>
      <w:pPr>
        <w:spacing w:after="0" w:line="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12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38">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February 24, 2010</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3"/>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3"/>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USE OF PROCEEDS</w:t>
              </w:r>
            </w:hyperlink>
          </w:p>
        </w:tc>
        <w:tc>
          <w:tcPr>
            <w:tcW w:w="820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SELECTED FINANCIAL DATA</w:t>
              </w:r>
            </w:hyperlink>
          </w:p>
        </w:tc>
        <w:tc>
          <w:tcPr>
            <w:tcW w:w="868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SENIOR SECURITIES</w:t>
              </w:r>
            </w:hyperlink>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PRICE RANGE OF COMMON STOCK</w:t>
              </w:r>
            </w:hyperlink>
          </w:p>
        </w:tc>
        <w:tc>
          <w:tcPr>
            <w:tcW w:w="81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80">
              <w:r>
                <w:rPr>
                  <w:rFonts w:ascii="Arial" w:cs="Arial" w:eastAsia="Arial" w:hAnsi="Arial"/>
                  <w:sz w:val="18"/>
                  <w:szCs w:val="18"/>
                  <w:color w:val="0000EE"/>
                  <w:w w:val="93"/>
                </w:rPr>
                <w:t>SALES OF COMMON STOCK BELOW NET ASSET VALUE</w:t>
              </w:r>
            </w:hyperlink>
          </w:p>
        </w:tc>
        <w:tc>
          <w:tcPr>
            <w:tcW w:w="65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DISTRIBUTIONS</w:t>
              </w:r>
            </w:hyperlink>
          </w:p>
        </w:tc>
        <w:tc>
          <w:tcPr>
            <w:tcW w:w="9720" w:type="dxa"/>
            <w:vAlign w:val="bottom"/>
            <w:gridSpan w:val="2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BUSINESS</w:t>
              </w:r>
            </w:hyperlink>
          </w:p>
        </w:tc>
        <w:tc>
          <w:tcPr>
            <w:tcW w:w="10220" w:type="dxa"/>
            <w:vAlign w:val="bottom"/>
            <w:gridSpan w:val="3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PORTFOLIO COMPANIES</w:t>
              </w:r>
            </w:hyperlink>
          </w:p>
        </w:tc>
        <w:tc>
          <w:tcPr>
            <w:tcW w:w="76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03">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CONTROL PERSONS AND PRINCIPAL STOCKHOLDERS</w:t>
              </w:r>
            </w:hyperlink>
          </w:p>
        </w:tc>
        <w:tc>
          <w:tcPr>
            <w:tcW w:w="662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DIVIDEND REINVESTMENT PLAN</w:t>
              </w:r>
            </w:hyperlink>
          </w:p>
        </w:tc>
        <w:tc>
          <w:tcPr>
            <w:tcW w:w="830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DESCRIPTION OF OUR CAPITAL STOCK</w:t>
              </w:r>
            </w:hyperlink>
          </w:p>
        </w:tc>
        <w:tc>
          <w:tcPr>
            <w:tcW w:w="784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DESCRIPTION OF OUR WARRANTS</w:t>
              </w:r>
            </w:hyperlink>
          </w:p>
        </w:tc>
        <w:tc>
          <w:tcPr>
            <w:tcW w:w="758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REGULATION</w:t>
              </w:r>
            </w:hyperlink>
          </w:p>
        </w:tc>
        <w:tc>
          <w:tcPr>
            <w:tcW w:w="994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BROKERAGE ALLOCATIONS AND OTHER PRACTICES</w:t>
              </w:r>
            </w:hyperlink>
          </w:p>
        </w:tc>
        <w:tc>
          <w:tcPr>
            <w:tcW w:w="668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1"/>
          </w:tcPr>
          <w:p>
            <w:pPr>
              <w:spacing w:after="0" w:line="196" w:lineRule="exact"/>
              <w:rPr>
                <w:rFonts w:ascii="Arial" w:cs="Arial" w:eastAsia="Arial" w:hAnsi="Arial"/>
                <w:sz w:val="18"/>
                <w:szCs w:val="18"/>
                <w:color w:val="0000EE"/>
                <w:w w:val="94"/>
              </w:rPr>
            </w:pPr>
            <w:hyperlink w:anchor="page148">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LEGAL MATTERS</w:t>
              </w:r>
            </w:hyperlink>
          </w:p>
        </w:tc>
        <w:tc>
          <w:tcPr>
            <w:tcW w:w="71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3"/>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780" w:type="dxa"/>
            <w:vAlign w:val="bottom"/>
            <w:gridSpan w:val="10"/>
            <w:shd w:val="clear" w:color="auto" w:fill="0000EE"/>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56">
              <w:r>
                <w:rPr>
                  <w:rFonts w:ascii="Arial" w:cs="Arial" w:eastAsia="Arial" w:hAnsi="Arial"/>
                  <w:sz w:val="18"/>
                  <w:szCs w:val="18"/>
                  <w:color w:val="0000EE"/>
                  <w:w w:val="95"/>
                </w:rPr>
                <w:t>INDEX TO FINANCIAL STATEMENTS</w:t>
              </w:r>
            </w:hyperlink>
          </w:p>
        </w:tc>
        <w:tc>
          <w:tcPr>
            <w:tcW w:w="808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on an ongoing basis. The Investment Adviser is led by Arthur H. Penn, its founder and the founder of PennantPark Investment. Mr. Penn has over 23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 During Mr. Penn’s tenure with Apollo Investment, it invested approximately $2.8 billion in 73 companies in partnership with 54 different financial sponsors.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his more than 23-year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professionals, Sal Giannetti, Whit Williams and Jose Briones, have, approximately, 55 years of experience in the mezzanine, private equity and leveraged finance businesses. See “Management,” “Certain Relationships and Transactions—Investment Management Agreement” and “Risk Factors—Risks Relating to our Business and Structure.”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our administration agreement,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116"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hanging="325"/>
        <w:spacing w:after="0" w:line="25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360" w:hanging="325"/>
        <w:spacing w:after="0" w:line="27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60" w:hanging="325"/>
        <w:spacing w:after="0" w:line="29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hanging="325"/>
        <w:spacing w:after="0" w:line="30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maintain a five-year, multi-currency $300.0 million senior secured credit facility, which matures in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borrowings under our credit facility is set at 100 basis points over LIBOR. We believe that our capital resources will provide us with the flexibility to take advantage of market opportunities when they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We have elected to be treated for federal income tax purposes under the Internal Revenue Code of 1986, or the Code, as a regulated investment company, or “RIC.” For more information, see “Material U.S. Federal Income Tax Considerations.”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general corporate purposes. Any supplements to this prospectus relating to an offering may more fully identify the use of the proceeds from such offering. See “Use of Proceeds” for information regarding our outstanding borrowings as of December 31, 2009, the corresponding interest rate charged on such borrowings as of that date and the length of time that it may take us to invest any proceeds in new or existing portfolio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We may sell our common stock through underwriters, or dealers, “at-the-market” to or through a market maker, into an existing trading market or on an exchange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“Plan of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 See “Sales of Common Stock Below Net Asset Value” in this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b w:val="1"/>
                <w:bCs w:val="1"/>
                <w:color w:val="auto"/>
              </w:rPr>
              <w:t>Total common stockholder expenses (as a percentage of offering price)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0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3.44%</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2.36%</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1.07%</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1.44%</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8.31%</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assets attributable to common shares” equals net assets at December 31, 2009.</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100" w:hanging="452"/>
        <w:spacing w:after="0" w:line="287"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December 31,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20" w:hanging="452"/>
        <w:spacing w:after="0" w:line="29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2009, we had $54.3 million unused borrowing capacity, subject to maintenance of the applicable total assets to debt ratio of 200%, and $245.7 million in borrowings outstanding under our $300.0 million credit facility. We may use proceeds of an offering of securities under this registration statement to repay outstanding obligations under our credit facility. After completing any such offering, we may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540"/>
        <w:spacing w:after="0" w:line="259" w:lineRule="auto"/>
        <w:rPr>
          <w:sz w:val="20"/>
          <w:szCs w:val="20"/>
          <w:color w:val="auto"/>
        </w:rPr>
      </w:pPr>
      <w:r>
        <w:rPr>
          <w:rFonts w:ascii="Arial" w:cs="Arial" w:eastAsia="Arial" w:hAnsi="Arial"/>
          <w:sz w:val="18"/>
          <w:szCs w:val="18"/>
          <w:color w:val="auto"/>
        </w:rPr>
        <w:t>and our rate of borrowing and may be substantially higher than the estimate provided in this table. For more information, see “Risk Factors—Risks Relating To Our Business and Structure—We currently use borrowed funds to make investments and are exposed to the typical risks associated with leverage.”</w:t>
      </w:r>
    </w:p>
    <w:p>
      <w:pPr>
        <w:spacing w:after="0" w:line="59" w:lineRule="exact"/>
        <w:rPr>
          <w:sz w:val="20"/>
          <w:szCs w:val="20"/>
          <w:color w:val="auto"/>
        </w:rPr>
      </w:pPr>
    </w:p>
    <w:p>
      <w:pPr>
        <w:ind w:left="460" w:right="12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See the Statement of Operations in our financial statements.</w:t>
      </w:r>
    </w:p>
    <w:p>
      <w:pPr>
        <w:spacing w:after="0" w:line="62"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4.83% of total assets. For a presentation and calculation of total annual expenses based on total assets, see page 36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5.00% sales load (underwriting discounts and commissions) and offering expenses totaling 0.60%, (2) total net annual expenses of 5.95%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$ 112</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$ 330</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592</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 in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b w:val="1"/>
          <w:bCs w:val="1"/>
          <w:color w:val="auto"/>
        </w:rPr>
        <w:t>Global capital markets have entered a period of severe disruption and instability. These market conditions have materially and adversely affected debt and equity capital markets in the United States, which has had, and may continue to have, a negative impact on our business and operations.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Beginning in the summer of 2007 and continuing as of the date of this prospectus,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As a result of these events, general economic conditions have deteriorated with material and adverse consequences for the broader financial and credit markets, and the availability of debt and equity capital for the market as a whole and financial services firms in particular has been reduced significantly. These conditions could continue for a prolonged period of time or even materially worsen in the future. While these conditions persist, we may have difficulty accessing debt and equity capital in order to grow and may suffer material adverse effects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respective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of total indebtedness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significant disruption in the capital markets has had and may continue to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and/or fund and could have a material adverse impact on our business, financial condition or results of operations. This may also increase the probability that other structural risks negatively impact us. These situations may arise due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circumstances that we may be unable to control, such as a protracted disruption in the credit markets, a severe decline in the value of the U.S. dollar, a sharp economic downturn or an operational problem that affects third parties or us, and could materially damage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developments may adversely affect our business and results of operations by reducing availability under our credit facility.</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applicable asset coverage test that restricts our ability to borrow under our credit facility, this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rely in part on our senior secured investments to provide us with adequate liquidity, but even these investments may face liquidity constraints under current or future market conditions.</w:t>
      </w:r>
    </w:p>
    <w:p>
      <w:pPr>
        <w:spacing w:after="0" w:line="4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 and may do so again in the future. We cannot assure you that in the event we need to sell our senior secured investments to raise capital, we will be able to do so at prices we deem to be attractive, or at all.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a business development company, we are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board of directors. Decreases in the market values or fair values of our investments will be recorded as unrealized depreciation. The fair value of our portfolio companies on the whole has decreased substantially over the past three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In the past 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subordinated loans, senior secured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relatively new business, including the risk that we will not achieve our investment objectives and that the value of our common stock could decline substantially. We have used, and will continue to use, the proceeds of public offerings of securities and of borrowings under our credit facility in accordance with our investment objectives.</w:t>
      </w:r>
    </w:p>
    <w:p>
      <w:pPr>
        <w:spacing w:after="0" w:line="182"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8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any manager of PennantPark Investment Advisers could have a material adverse effect on our ability to achieve our investment objectives. In addition, we can offer no assurance that PennantPark Investment Advisers will remain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our investment professionals have been affiliated.</w:t>
      </w:r>
    </w:p>
    <w:p>
      <w:pPr>
        <w:spacing w:after="0" w:line="4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Current market conditions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our investment professionals have been affiliated, and we caution that our investment returns could be substantially lower than the returns achieved by such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registered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source-of-income,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offset the character and amount of our distributions to our stockholders. Even if we qualify as a RIC,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as a RIC if we recognize income before or without receiving cash representing such income.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40" w:hanging="325"/>
        <w:spacing w:after="0" w:line="294"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Senior Securities</w:t>
      </w:r>
      <w:r>
        <w:rPr>
          <w:rFonts w:ascii="Arial" w:cs="Arial" w:eastAsia="Arial" w:hAnsi="Arial"/>
          <w:sz w:val="16"/>
          <w:szCs w:val="16"/>
          <w:color w:val="auto"/>
        </w:rPr>
        <w:t>. 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right="20" w:hanging="325"/>
        <w:spacing w:after="0" w:line="285"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obtained such approval from our shareholders in February 2010, which will remain in effect for twelve months.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7" w:lineRule="exact"/>
        <w:rPr>
          <w:rFonts w:ascii="Arial" w:cs="Arial" w:eastAsia="Arial" w:hAnsi="Arial"/>
          <w:sz w:val="16"/>
          <w:szCs w:val="16"/>
          <w:color w:val="auto"/>
        </w:rPr>
      </w:pPr>
    </w:p>
    <w:p>
      <w:pPr>
        <w:ind w:left="900" w:right="120" w:hanging="325"/>
        <w:spacing w:after="0" w:line="290"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utilize a revolving five-year, $300.0 million credit facility to make investments in our portfolio companies. Our credit facility expires in June 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In addition, under current market conditions, we believe it will be difficult to renew or refinance our credit facility on terms as favorable as those in our existing credit facility. In particular, market interest rates have escalated significantly for borrowers within our industry since we entered into our credit facility in June 2007. If we fail to refinance the indebtedness outstanding under our credit facility at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2009 we had outstanding borrowings of $245.7 million under our credit facility with a weighted average annual interest rate at that time of 1.23% exclusive of the fee on undrawn commitment of 0.20%. Accordingly, to cover the annual interest on our borrowings outstanding at December 31, 2009, at the then current rate, we would have to receive an annual yield of at least 0.6%.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December 31, 2009 of 38% of our total assets (including such borrowed funds), at a weighted average rate at the time of 1.23%,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00" w:type="dxa"/>
            <w:vAlign w:val="bottom"/>
          </w:tcPr>
          <w:p>
            <w:pPr>
              <w:jc w:val="right"/>
              <w:ind w:right="132"/>
              <w:spacing w:after="0"/>
              <w:rPr>
                <w:sz w:val="20"/>
                <w:szCs w:val="20"/>
                <w:color w:val="auto"/>
              </w:rPr>
            </w:pPr>
            <w:r>
              <w:rPr>
                <w:rFonts w:ascii="Arial" w:cs="Arial" w:eastAsia="Arial" w:hAnsi="Arial"/>
                <w:sz w:val="18"/>
                <w:szCs w:val="18"/>
                <w:color w:val="auto"/>
              </w:rPr>
              <w:t>-18.2%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-9.6%</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December 31, 2009, the applicable LIBOR rate has decreased from 5.3% to 0.3%.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 in this prospectus.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 bonds, and also would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may be formed in the future. The Investment Adviser and the Administrator have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All of our investments are recorded using broker/dealers quotes, or at fair value as determined in good faith by our board of directors. We expect that most, if not all, of our investments (other than cash and cash equivalents) and credit facility borrowings will be classified as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under ASC 820 (formerly known as SFAS No. 157).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December 31, 2009, most of our portfolio assets were recorded at fair value as determined in good faith by our board of directors.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securities and other over-the-counter traded securities has weakened as the viability of any over-the-counter secondary market depends on the continued willingness of dealers and other participants to purchase the securities. This demand has slackened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Mezzanine Debt</w:t>
      </w:r>
      <w:r>
        <w:rPr>
          <w:rFonts w:ascii="Arial" w:cs="Arial" w:eastAsia="Arial" w:hAnsi="Arial"/>
          <w:sz w:val="16"/>
          <w:szCs w:val="16"/>
          <w:color w:val="auto"/>
        </w:rPr>
        <w:t>: Our mezzanine debt investments will generally be subordinated to senior secured loans and will generally be unsecured or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secured interest.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We have made and expect to continue to make selected equity investments. In addition, when we invest in mezzanine debt or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loans,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in this prospectus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in a prolonged recession. 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w:t>
      </w:r>
    </w:p>
    <w:p>
      <w:pPr>
        <w:spacing w:after="0" w:line="143"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to the extent permitted under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We have obtained and may again obtain, the approval of our stockholders to issue shares of our common stock at prices below the then current net asset value per share of our common stock. We have also issued, and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February 2, 2010 our stockholders approved a proposal that authorizes us to sell shares of our common stock below the then current net asset value per share of our common stock in one or more offerings for a period of 12 months. This proposal would allow us to access the capital markets in a way that we were previously unable to as a result of restrictions that, absent stockholder approval, apply to business development company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would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85"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7" w:lineRule="exact"/>
        <w:rPr>
          <w:sz w:val="20"/>
          <w:szCs w:val="20"/>
          <w:color w:val="auto"/>
        </w:rPr>
      </w:pPr>
    </w:p>
    <w:p>
      <w:pPr>
        <w:jc w:val="both"/>
        <w:ind w:right="46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80" w:firstLine="456"/>
        <w:spacing w:after="0" w:line="306"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result, such earnings and gains will not be available to fund new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business development company, we generally are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 If we fail to obtain additional capital to fund our investments, this could limit our ability to grow and have an adverse effect on the value of our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$8.92 and $8.11 as of December 31, 2009 and September 30, 2009, respectively. Our NAV was $11.86 and $11.85, as of December 31, 2009 and September 30, 2009,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outstanding obligations under our credit facility and any such use may dilute our net asset value per share. We may also use such proceeds to invest in new or existing portfolio companies, or for other general corporate purposes. Any supplements to this prospectus relating to an offering may more fully indentify the use of the proceeds from such offering.</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December 31, 2009, we had $54.3 million unused and $245.7 million in borrowings outstanding under our $300.0 million credit facility. Borrowings under our credit facility bear interest at an annual rate equal to LIBOR + 100 basis points per annum. At December 31, 2009, this corresponded to a weighted average interest rate at that time of 1.23% exclusive of the fee on undrawn commitment of 0.20%.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4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may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“Regulation—Temporary Investments” for additional information about temporary investments we may make prior to investing in core assets.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derived the quarterly and annual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2009 and 2008, and for the period from January 11, 2007 (inception) through September 30, 2007 are derived from our financial statements which have been audited by KPMG LLP, our independent registered public accounting firm. Interim results as of and for the three months ended December 31, 2009 are not necessarily indicative of the results that may be expected for the year ending September 30, 2010. This selected financial data should be read in conjunction with our financial statements and related notes thereto and “Management’s Discussion and Analysis of Financial Condition and Results of Operations” and “Regulation—Senior Securities” in this prospectus.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Three</w:t>
            </w:r>
          </w:p>
        </w:tc>
        <w:tc>
          <w:tcPr>
            <w:tcW w:w="80" w:type="dxa"/>
            <w:vAlign w:val="bottom"/>
          </w:tcPr>
          <w:p>
            <w:pPr>
              <w:spacing w:after="0"/>
              <w:rPr>
                <w:sz w:val="12"/>
                <w:szCs w:val="12"/>
                <w:color w:val="auto"/>
              </w:rPr>
            </w:pPr>
          </w:p>
        </w:tc>
        <w:tc>
          <w:tcPr>
            <w:tcW w:w="14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5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5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4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0" w:type="dxa"/>
            <w:vAlign w:val="bottom"/>
          </w:tcPr>
          <w:p>
            <w:pPr>
              <w:spacing w:after="0"/>
              <w:rPr>
                <w:sz w:val="1"/>
                <w:szCs w:val="1"/>
                <w:color w:val="auto"/>
              </w:rPr>
            </w:pPr>
          </w:p>
        </w:tc>
      </w:t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320" w:type="dxa"/>
            <w:vAlign w:val="bottom"/>
          </w:tcPr>
          <w:p>
            <w:pPr>
              <w:spacing w:after="0"/>
              <w:rPr>
                <w:sz w:val="14"/>
                <w:szCs w:val="14"/>
                <w:color w:val="auto"/>
              </w:rPr>
            </w:pPr>
          </w:p>
        </w:tc>
        <w:tc>
          <w:tcPr>
            <w:tcW w:w="18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5"/>
              </w:rPr>
              <w:t>December 31, 2009</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8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87"/>
              </w:rPr>
              <w:t>Unaudited</w:t>
            </w:r>
          </w:p>
        </w:tc>
        <w:tc>
          <w:tcPr>
            <w:tcW w:w="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8"/>
              </w:rPr>
              <w:t>Audited</w:t>
            </w:r>
          </w:p>
        </w:tc>
        <w:tc>
          <w:tcPr>
            <w:tcW w:w="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13,599</w:t>
            </w:r>
          </w:p>
        </w:tc>
        <w:tc>
          <w:tcPr>
            <w:tcW w:w="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39,811</w:t>
            </w:r>
          </w:p>
        </w:tc>
        <w:tc>
          <w:tcPr>
            <w:tcW w:w="820" w:type="dxa"/>
            <w:vAlign w:val="bottom"/>
          </w:tcPr>
          <w:p>
            <w:pPr>
              <w:spacing w:after="0"/>
              <w:rPr>
                <w:sz w:val="18"/>
                <w:szCs w:val="18"/>
                <w:color w:val="auto"/>
              </w:rPr>
            </w:pP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21,255</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(59,259)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increase/(decrease) in net assets resulting from operations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(40,703)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8"/>
                <w:szCs w:val="18"/>
                <w:color w:val="auto"/>
                <w:w w:val="93"/>
              </w:rPr>
              <w:t>Net increase/(decrease) in net assets resulting from operations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74"/>
        </w:trPr>
        <w:tc>
          <w:tcPr>
            <w:tcW w:w="4700" w:type="dxa"/>
            <w:vAlign w:val="bottom"/>
          </w:tcPr>
          <w:p>
            <w:pPr>
              <w:ind w:left="220"/>
              <w:spacing w:after="0"/>
              <w:rPr>
                <w:sz w:val="20"/>
                <w:szCs w:val="20"/>
                <w:color w:val="auto"/>
              </w:rPr>
            </w:pPr>
            <w:r>
              <w:rPr>
                <w:rFonts w:ascii="Arial" w:cs="Arial" w:eastAsia="Arial" w:hAnsi="Arial"/>
                <w:sz w:val="11"/>
                <w:szCs w:val="11"/>
                <w:color w:val="auto"/>
              </w:rPr>
              <w:t>(2)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526,898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513,141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372,148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201,914</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6,455</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306,148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 xml:space="preserve">Number of portfolio companies (at period end) </w:t>
            </w:r>
            <w:r>
              <w:rPr>
                <w:rFonts w:ascii="Arial" w:cs="Arial" w:eastAsia="Arial" w:hAnsi="Arial"/>
                <w:sz w:val="11"/>
                <w:szCs w:val="11"/>
                <w:color w:val="auto"/>
              </w:rPr>
              <w:t>(4)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Yield on debt portfolio (at period end) </w:t>
            </w:r>
            <w:r>
              <w:rPr>
                <w:rFonts w:ascii="Arial" w:cs="Arial" w:eastAsia="Arial" w:hAnsi="Arial"/>
                <w:sz w:val="11"/>
                <w:szCs w:val="11"/>
                <w:color w:val="auto"/>
              </w:rPr>
              <w:t>(4)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base management fee waiver was in effect from Inception through March 31, 2008. See “Certain Relationships and Transaction” in this prospectus.</w:t>
      </w:r>
    </w:p>
    <w:p>
      <w:pPr>
        <w:spacing w:after="0" w:line="38"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investment income and net realized and change in unrealized losses per share data are calculated based on the weighted average shares outstanding for the respective periods.</w:t>
      </w:r>
    </w:p>
    <w:p>
      <w:pPr>
        <w:ind w:left="460" w:right="38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accounting principles generally accepted in the United States of America.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r>
      <w:tr>
        <w:trPr>
          <w:trHeight w:val="142"/>
        </w:trPr>
        <w:tc>
          <w:tcPr>
            <w:tcW w:w="10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5"/>
              </w:rPr>
              <w:t>Q1</w:t>
            </w:r>
          </w:p>
        </w:tc>
        <w:tc>
          <w:tcPr>
            <w:tcW w:w="20" w:type="dxa"/>
            <w:vAlign w:val="bottom"/>
          </w:tcPr>
          <w:p>
            <w:pPr>
              <w:spacing w:after="0"/>
              <w:rPr>
                <w:sz w:val="12"/>
                <w:szCs w:val="12"/>
                <w:color w:val="auto"/>
              </w:rPr>
            </w:pPr>
          </w:p>
        </w:tc>
      </w:tr>
      <w:tr>
        <w:trPr>
          <w:trHeight w:val="210"/>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13,599</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7,238</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8,676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8"/>
                <w:szCs w:val="18"/>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11,847</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98"/>
              </w:rPr>
              <w:t>$10,770</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$10,425</w:t>
            </w:r>
          </w:p>
        </w:tc>
        <w:tc>
          <w:tcPr>
            <w:tcW w:w="20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$ 12,077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6,018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5,666</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5,768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20,162</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88"/>
              </w:rPr>
              <w:t>$ (6,486)</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$36,932</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w w:val="83"/>
              </w:rPr>
              <w:t>26,180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(820)</w:t>
            </w:r>
          </w:p>
        </w:tc>
        <w:tc>
          <w:tcPr>
            <w:tcW w:w="900" w:type="dxa"/>
            <w:vAlign w:val="bottom"/>
            <w:gridSpan w:val="6"/>
          </w:tcPr>
          <w:p>
            <w:pPr>
              <w:jc w:val="center"/>
              <w:ind w:left="234"/>
              <w:spacing w:after="0"/>
              <w:rPr>
                <w:sz w:val="20"/>
                <w:szCs w:val="20"/>
                <w:color w:val="auto"/>
              </w:rPr>
            </w:pPr>
            <w:r>
              <w:rPr>
                <w:rFonts w:ascii="Arial" w:cs="Arial" w:eastAsia="Arial" w:hAnsi="Arial"/>
                <w:sz w:val="18"/>
                <w:szCs w:val="18"/>
                <w:color w:val="auto"/>
                <w:w w:val="89"/>
              </w:rPr>
              <w:t>$42,199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11.85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11.72</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10.24</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Q4</w:t>
            </w:r>
          </w:p>
        </w:tc>
        <w:tc>
          <w:tcPr>
            <w:tcW w:w="44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Q3</w:t>
            </w:r>
          </w:p>
        </w:tc>
        <w:tc>
          <w:tcPr>
            <w:tcW w:w="16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Q1</w:t>
            </w: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rPr>
              <w:t>$ 11,431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9,662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9,004</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5,434</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3,941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4,732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w w:val="99"/>
              </w:rPr>
              <w:t>$ (16,475)</w:t>
            </w: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$11,263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(37,778)</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440" w:type="dxa"/>
            <w:vAlign w:val="bottom"/>
            <w:gridSpan w:val="6"/>
          </w:tcPr>
          <w:p>
            <w:pPr>
              <w:ind w:left="1600"/>
              <w:spacing w:after="0"/>
              <w:rPr>
                <w:sz w:val="20"/>
                <w:szCs w:val="20"/>
                <w:color w:val="auto"/>
              </w:rPr>
            </w:pPr>
            <w:r>
              <w:rPr>
                <w:rFonts w:ascii="Arial" w:cs="Arial" w:eastAsia="Arial" w:hAnsi="Arial"/>
                <w:sz w:val="18"/>
                <w:szCs w:val="18"/>
                <w:color w:val="auto"/>
                <w:w w:val="99"/>
              </w:rPr>
              <w:t>$ (11,041)</w:t>
            </w:r>
          </w:p>
        </w:tc>
        <w:tc>
          <w:tcPr>
            <w:tcW w:w="26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auto"/>
                <w:w w:val="95"/>
              </w:rPr>
              <w:t>$15,204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 (33,329)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(1.58)</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12.07</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10.02</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gridSpan w:val="3"/>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$ 5,425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$ 3,208</w:t>
            </w:r>
          </w:p>
        </w:tc>
        <w:tc>
          <w:tcPr>
            <w:tcW w:w="20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7"/>
              </w:rPr>
              <w:t>$ (18,870)</w:t>
            </w:r>
          </w:p>
        </w:tc>
        <w:tc>
          <w:tcPr>
            <w:tcW w:w="110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$(5,152)</w:t>
            </w: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6"/>
          </w:tcPr>
          <w:p>
            <w:pPr>
              <w:spacing w:after="0"/>
              <w:rPr>
                <w:sz w:val="20"/>
                <w:szCs w:val="20"/>
                <w:color w:val="auto"/>
              </w:rPr>
            </w:pPr>
            <w:r>
              <w:rPr>
                <w:rFonts w:ascii="Arial" w:cs="Arial" w:eastAsia="Arial" w:hAnsi="Arial"/>
                <w:sz w:val="18"/>
                <w:szCs w:val="18"/>
                <w:color w:val="auto"/>
                <w:w w:val="87"/>
              </w:rPr>
              <w:t>$ (14,522)</w:t>
            </w:r>
          </w:p>
        </w:tc>
        <w:tc>
          <w:tcPr>
            <w:tcW w:w="1100" w:type="dxa"/>
            <w:vAlign w:val="bottom"/>
            <w:gridSpan w:val="7"/>
          </w:tcPr>
          <w:p>
            <w:pPr>
              <w:jc w:val="right"/>
              <w:ind w:right="140"/>
              <w:spacing w:after="0"/>
              <w:rPr>
                <w:sz w:val="20"/>
                <w:szCs w:val="20"/>
                <w:color w:val="auto"/>
              </w:rPr>
            </w:pPr>
            <w:r>
              <w:rPr>
                <w:rFonts w:ascii="Arial" w:cs="Arial" w:eastAsia="Arial" w:hAnsi="Arial"/>
                <w:sz w:val="18"/>
                <w:szCs w:val="18"/>
                <w:color w:val="auto"/>
              </w:rPr>
              <w:t>$(1,944)</w:t>
            </w: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$ 13.74</w:t>
            </w:r>
          </w:p>
        </w:tc>
        <w:tc>
          <w:tcPr>
            <w:tcW w:w="200" w:type="dxa"/>
            <w:vAlign w:val="bottom"/>
          </w:tcPr>
          <w:p>
            <w:pPr>
              <w:spacing w:after="0"/>
              <w:rPr>
                <w:sz w:val="18"/>
                <w:szCs w:val="18"/>
                <w:color w:val="auto"/>
              </w:rPr>
            </w:pPr>
          </w:p>
        </w:tc>
        <w:tc>
          <w:tcPr>
            <w:tcW w:w="800" w:type="dxa"/>
            <w:vAlign w:val="bottom"/>
            <w:gridSpan w:val="6"/>
          </w:tcPr>
          <w:p>
            <w:pPr>
              <w:jc w:val="right"/>
              <w:ind w:right="80"/>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$ 14.04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9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with a market capitalization of less than $250 million, cash, cash equivalents, U.S. government securities and high-quality debt investments that mature in one year or less.</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debt, certain senior secured investments, and to a lesser extent equity investments. 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currently operating in a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high-risk debt instruments. These conditions may present us with attractive investment opportunities, as we believe that there are many middle-market companies that need mezzanine debt and senior secured financing. However, these market conditions may also adversely affect our portfolio valuations and increase the risk of default among our portfolio companies, which could negatively impact our performance. We have used, and will continue to use, the proceeds of our public offerings of securities and of our credit facility in accordance with our investment objectives. We did not experience compromised liquidity during the recent turmoil in the global credit markets because of our ability to sell loans from our senior secured portfolio, our availability under our credit facility, and our ability to access the capital markets to issue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7 of this prospectus rather than as a percentage of total assets. Total assets include assets that have been funded with borrowed monies (leverage). For reference, the chart below illustrates our “Total Annual Expenses” as a percentage of total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Estimated Annual Expenses (as a Percentage of Total Assets)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2.00%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3520" w:type="dxa"/>
            <w:vAlign w:val="bottom"/>
            <w:gridSpan w:val="3"/>
          </w:tcPr>
          <w:p>
            <w:pPr>
              <w:ind w:left="2920"/>
              <w:spacing w:after="0"/>
              <w:rPr>
                <w:sz w:val="20"/>
                <w:szCs w:val="20"/>
                <w:color w:val="auto"/>
              </w:rPr>
            </w:pPr>
            <w:r>
              <w:rPr>
                <w:rFonts w:ascii="Arial" w:cs="Arial" w:eastAsia="Arial" w:hAnsi="Arial"/>
                <w:sz w:val="18"/>
                <w:szCs w:val="18"/>
                <w:color w:val="auto"/>
                <w:w w:val="89"/>
              </w:rPr>
              <w:t>1.37%</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0.62%</w:t>
            </w:r>
            <w:r>
              <w:rPr>
                <w:rFonts w:ascii="Arial" w:cs="Arial" w:eastAsia="Arial" w:hAnsi="Arial"/>
                <w:sz w:val="11"/>
                <w:szCs w:val="11"/>
                <w:color w:val="auto"/>
                <w:w w:val="8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29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0.84%</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2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50"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three months ended December 31,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41"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December 31, 2009, we had $54.3 million unused, subject to maintenance of the applicable total assets to debt ratio of 200%, and $245.7 million in borrowings outstanding under our $300.0 million credit facility. We may use proceeds of an offering of securities under this registration statement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37"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Expenses” includes, among other expenses,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See our “Statement of Operations” in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or “GAAP.” References to the Accounting Standards Codification, or ASC, serve as a single source of accounting literature and are not intended to change accounting literature. The preparation of these financial statements requires management to make estimates and assumptions that affect the reported amounts of assets, liabilities, revenues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September 2006, the Financial Accounting Standards Board, or FASB, issued guidance on,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ASC 820 (formerly SFAS 157), which clarifies the definition of fair value and requires companies to expand their disclosure about the use of fair value to measure assets and liabilities in interim and annual periods subsequent to initial recognition. ASC 820 requires the use of the price that would be received to sell an asset or paid to transfer a liability in an orderly transaction between market participants at the measurement date. ASC 820 is effective for our fiscal year beginning October 1, 2008 and interim financial statements issued within our fiscal year ending September 30, 2009. ASC 820 did not affect our financial position or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 xml:space="preserve">A financial instrument’s categorization within the valuation hierarchy is based upon the lowest level of input that is significant to the fair value measurement. All of our investments (other than cash and cash equivalents) and long-term credit facility are classified as </w:t>
      </w:r>
      <w:r>
        <w:rPr>
          <w:rFonts w:ascii="Arial" w:cs="Arial" w:eastAsia="Arial" w:hAnsi="Arial"/>
          <w:sz w:val="16"/>
          <w:szCs w:val="16"/>
          <w:i w:val="1"/>
          <w:iCs w:val="1"/>
          <w:color w:val="auto"/>
        </w:rPr>
        <w:t>Level 3</w:t>
      </w:r>
      <w:r>
        <w:rPr>
          <w:rFonts w:ascii="Arial" w:cs="Arial" w:eastAsia="Arial" w:hAnsi="Arial"/>
          <w:sz w:val="16"/>
          <w:szCs w:val="16"/>
          <w:color w:val="auto"/>
        </w:rPr>
        <w:t>.</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Decreased and Identifying Transactions That Are Not Orderly, </w:t>
      </w:r>
      <w:r>
        <w:rPr>
          <w:rFonts w:ascii="Arial" w:cs="Arial" w:eastAsia="Arial" w:hAnsi="Arial"/>
          <w:sz w:val="16"/>
          <w:szCs w:val="16"/>
          <w:color w:val="auto"/>
        </w:rPr>
        <w:t>ASC 820-10-35-51A (formerly FASB Staff Position No. 157-4). ASC 820-10-35-51A amends</w:t>
      </w:r>
      <w:r>
        <w:rPr>
          <w:rFonts w:ascii="Arial" w:cs="Arial" w:eastAsia="Arial" w:hAnsi="Arial"/>
          <w:sz w:val="16"/>
          <w:szCs w:val="16"/>
          <w:i w:val="1"/>
          <w:iCs w:val="1"/>
          <w:color w:val="auto"/>
        </w:rPr>
        <w:t xml:space="preserve"> </w:t>
      </w:r>
      <w:r>
        <w:rPr>
          <w:rFonts w:ascii="Arial" w:cs="Arial" w:eastAsia="Arial" w:hAnsi="Arial"/>
          <w:sz w:val="16"/>
          <w:szCs w:val="16"/>
          <w:color w:val="auto"/>
        </w:rPr>
        <w:t>ASC 820 to provide additional guidance 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34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the FASB issued guidance on,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115, </w:t>
      </w:r>
      <w:r>
        <w:rPr>
          <w:rFonts w:ascii="Arial" w:cs="Arial" w:eastAsia="Arial" w:hAnsi="Arial"/>
          <w:sz w:val="16"/>
          <w:szCs w:val="16"/>
          <w:color w:val="auto"/>
        </w:rPr>
        <w:t>ASC 825 (formerly SFAS 159), that permits an entity to choose to measure many financial instruments and certain other items at fair value. ASC 825 applies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reporting entities and contains financial statement presentation and disclosure requirements for assets and liabilities reported at fair value as a consequence of the election. We adopted ASC 825 on October 1, 2008 and PennantPark Investment has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ASC 825 to any other financial assets or liabilities. On December 31, 2009 and September 30, 2009, net unrealized depreciation on our long-term credit facility totaled $43.8 and $49.6 million, respectively, which included the cumulative effect of adoption of ASC 825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throughout the life of the loan. We record prepayment premiums on loans and debt securities as interest income. We recognize dividend income, if any, on an accrual basis to the extent that we expect to collect such amounts.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2009, our portfolio totaled $513.1 million and consisted of $176.8 million of subordinated debt, $147.1 million of second lien secured debt, $160.7 million of senior secured loans, and $28.5 million of preferred and common equity investments. Our core assets totaled $478.2 million and consisted of investments in thirty-five different companies with an average investment size of $13.7 million per company and a weighted average yield of 12.2% on debt investments. Our non-core senior secured loan portfolio totaled $34.9 million and consisted of nine different companies with an average investment size of $3.9 million, and a weighted average yield of 2.7% on debt investments. Our debt portfolio consisted of 61% fixed-rate (including 18% with a LIBOR floor) and 39% in variable-rate investments. Overall, the portfolio had an unrealized depreciation of $3.6 million as of December 31, 2009. Our overall portfolio consisted of forty-four companies with an average investment size of $11.7 million and a weighted average yield on debt investments of 11.3%, and was invested 35% in subordinated debt, 29% in second lien secured debt, 31% in senior secured loans and 5% in preferred and common equity investments.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September 30, 2009, our portfolio totaled $469.8 million and consisted of $157.1 million of subordinated debt, $134.4 million of second lien secured debt, $150.6 million of senior secured loans, and $27.7 million of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debt portfolio consisted of 53% fixed-rate and 47% variable-rate investments. Overall, the portfolio had an unrealized depreciation of $27.5 million. Our overall portfolio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September 30, 2008, our portfolio totaled $372.1 million and consisted of $166.2 million of subordinated debt, $104.2 million of second lien secured debt, $78.8 million of senior secured loans, and $22.9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million of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Our debt portfolio consisted of 45% fixed-rate and 55% variable-rate investments. Overall, the portfolio had an unrealized depreciation of $72.0 million. Our overall portfolio consisted of thirty-seven companies with an average investment size of $10.1 million and a weighted average yield on debt investments of 11.1%, and was invested 45% in subordinated debt, 28% in second lien secured debt, 21% in senior secured loans, and 6% in preferred and common equity investments.</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For the three months ended December 31, 2009, we invested $50.5 million in six new and two existing portfolio companies with a weighted average yield on debt investments of 12.8%. Sales and repayments of long-term investments for the three months ended December 31, 2009 totaled $16.8 million.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months ended December 31, 2008, we invested approximately $0.8 million in two existing portfolio companies. Sales and repayments of long term investments for the three months ended December 31, 2008 totaled $2.3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Investment income for the three month period ended December 31, 2009, was $13.6 million, and was primarily attributable to $5.4 million from subordinated debt investments, $3.2 million from second lien secured debt investments and $3.5 million from senior secured loan investments. The remaining investment income was primarily attributed to net accretion of discount and amortization of premium and other income. The increase in investment income compared with the same period in the prior year is due to the growth of our portfolio and the transition of the portfolio from temporary to long-term core investments.</w:t>
      </w:r>
    </w:p>
    <w:p>
      <w:pPr>
        <w:spacing w:after="0" w:line="143"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Investment income for the three month period ended December 31, 2008, was $12.1 million, and was primarily attributable to $2.5 million from subordinated debt investments, $3.9 million from second lien secured debt investments and $5.0 million from senior secured loan investments. The remaining investment income was primarily attributed to interest income from short-term investments and to net accretion of discount and amortization of premium.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Expenses for the three month period ended December 31, 2009, totaled $6.4 million. Base management fee for the same period totaled $2.5 million, performance-based incentive fee totaled $1.8 million, credit facility related expense totaled $0.8 million, general and administrative expenses totaled $1.1 million and an excise tax of $0.1 million.</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Expenses for the three month period ended December 31, 2008, totaled $ 6.3 million. Base management fee for the same period totaled $ 1.8 million, performance-based incentive fee totaled $ 1.4 million, credit facility related expense totaled $ 1.8 million and general and administrative expenses totaled $ 1.2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investment income totaled $7.2 million, or $0.28 per share, for the three month period ended December 31, 2009, and $5.8 million, or $0.27 per share, for the three month period ended December 31, 2008.</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Sales and repayments of long-term investments for the three month period ended December 31, 2009 totaled $16.8 million and realized losses totaled $16.6 million due to sales of senior secured loans and restructurings on investments offset by repayments on other investments. Sales and repayments of long-term investments totaled $2.3 million, and net realized losses totaled $0.9 million for the three month period ended December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and (Appreciation) Depreciation Credit Facility</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For the three month periods ended December 31, 2009 and 2008, our investments had a net change in unrealized appreciation (depreciation) of $23.9 million and $(42.4) million, respectively. On December 31, 2009 and September 30, 2009, net unrealized depreciation on investments totaled $3.6 million and $27.5 million, respectively.</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For the three month periods ended December 31, 2009 and 2008, our long-term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 from Operations</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Net increase in net assets resulting from operations totaled $8.7 million, or $0.34 per share, for the three month period ended December 31, 2009, primarily due to the overall increase in fair values for investments held in our portfolio offset to some extent by the increase in fair value of our credit facility and realized losses. Net decrease in net assets resulting from operations totaled $(31.8) million, or $(1.51) per share, for the three month period ended December 31, 2008.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Set forth below are our results of operations for the fiscal years ended September 30, 2009 and 2008, and for the period from January 11, 2007 (inception) to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primarily attributable to $24.1 million from subordinated debt investments, $12.2 million from second lien secured debt investments, and $6.0 million from senior secured loan investments for the same period. The remaining investment income was primarily attributed to interest income from net accretion of discount and amortization of premium. The increase in investment income from fiscal year 2008 to 2009 was due to the growth in our overall portfolio.</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and was primarily attributable to $7.2 million from subordinated debt investments, $14.7 million from second lien secured debt investments, and $16.2 from senior secured loan investments for the same period. The remaining investment income was primarily attributed to interest income from short-term investments and to net accretion of discount and amortization of premium. The increase in investment income from fiscal year 2007 to 2008 was due to the growth of our portfolio and the transition of the portfolio from temporary to long-term investments.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Investment income for the period from January 11, 2007 (inception) through September 30, 2007 was $13.1 million and was primarily attributed to senior secured loan investments.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Expenses for the fiscal year ended September 30, 2009, totaled $22.4 million. Base management fee for the same period totaled $7.7 million, performance-based incentive fee totaled $5.7 million, credit facility related expense totaled $4.6 million and general and administrative expenses totaled $4.4 million. The increases in expenses from fiscal year 2008 to 2009 were primarily due to the growth of our portfolio and offset by the reduced borrowing costs under our credit facility.</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increases in expenses from fiscal year 2007 to 2008 were due to the growth of our portfolio and the incurrence of additional borrowing costs under our credit facility.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expenses for the period from January 11, 2007 (inception) through September 30, 2007 were $5.8 million. Of these totals, $1.8 million was attributable to credit facility related expenses, and $2.1 million to general and administrative expenses (including approximately $0.3 million non-recurring, primarily legal and corporate tax expenses). Net base management fee for both periods totaled $1.9 million. PennantPark Investment Advisers did not receive a management or incentive fee for its service performed on our behalf prior to completion of our initial public offering on April 24,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Net investment income totaled $22.7 million or $1.08 per share and $18.6 million or $0.88 per share, respectively, for the fiscal years ended September 30, 2009 and 2008, and $7.3 million or $0.35 per share for the period from January 11, 2007 (inception) through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Sales and repayments of long-term investments for the fiscal years ended September 30, 2009 and 2008, totaled $28.0 million and $70.1 million, respectively, and net realized losses totaled $39.2 and $11.2 million, respectively. Sales and repayments of long-term investments for the period from January 11, 2007 (inception) through September 30, 2007 totaled $99.6 million and net realized losses totaled approximately $0.1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Cash Equivalents and Credit Facility</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Net unrealized appreciation (depreciation) on investments and cash equivalents totaled $44.5 million, $(48.1) million and $(23.9) million for the fiscal years ended September 30, 2009, 2008 and for the period from January 11, 2007 (inception) through September 30, 2007, respectively. Net unrealized appreciation on credit facility totaled $7.8 million for the fiscal year ended September 30,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Increase/Decrease in Net Assets from Operations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increase in net assets resulting from operations totaled $35.8 million, or $1.70 per share, for the fiscal year ended September 30, 2009, primarily due the overall increases in market values for investments held in our portfolio and the decrease in the fair value of our credit facility, offset by realized losses. Net decrease in net assets resulting from operations totaled $40.7 million, or $1.93 per share, for the fiscal year ended September 30, 2008, primarily due to the overall decline in market values for investments held in our portfolio. Net decrease in net assets resulting from operations totaled $16.7 million or $0.80 per share for the period from January 11, 2007 (inception) through September 30, 2007.</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June 25, 2007, PennantPark Investment entered into a senior secured revolving credit agreement, or our credit facility, among us, various lenders and SunTrust Bank, as administrative agent for the lenders. SunTrust Robinson Humphrey Capital Markets acted as the joint lead arranger and JPMorgan Chase (Chase Lincoln First Commercial successor interest of Bear Stearns Corporate Lending Inc.) acted as joint lead arranger and syndication agent. As of December 31, 2009, we had outstanding borrowings of $245.7 million with a fair value of $201.9 million and a weighted average interest rate at that time of 1.23% exclusive of the fee on undrawn commitment of 0.20%.</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Our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requirements, (b) maintenance of a minimum shareholders’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 (f) 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PennantPark Investment has and may continue to raise additional equity or debt capital through a registered offering off a shelf registration or may securitize a portion of its investments among other considerations. In addition, debt capital, to the extent it is available under stressed credit market conditions, may be issued at a higher cost and on less favorable terms and conditions. Furthermore, our credit facility’s availability depends on various covenants and restrictions as discussed in the preceding paragraph. The primary uses of existing funds and any funds raised in the future is expected to be for the repayment of indebtedness, investments in portfolio companies, cash distributions to our shareholders or for other general corporate purposes.</w:t>
      </w:r>
    </w:p>
    <w:p>
      <w:pPr>
        <w:spacing w:after="0" w:line="116"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PennantPark Investment’s liquidity and capital resources are also generated and available from cash flows from operations, including investment sales and repayments, and income earned. On February 2, 2010, our stockholders approved a proposal that authorizes us to sell shares of our common stock below the then current net asset value per share of our common stock in one or more offerings for a period of 12 months. On September 29, 2009, we sold shares of our common stock below the then current net asset value per share of common stock also with stockholder approval we previously received August 29, 2009. Any decisions to sell shares below the then current net assets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your interest in our common stock and a reduction of our net asset value per share.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operating activities used cash of $45.1 million for the three months ended December 31, 2009, and our financing activities provided net cash proceeds of $18.9 million for the same period, primarily from proceeds on issuance of common stock and net borrowings on our credit facility.</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operating activities generated cash of $10.0 million for the three months ended December 31, 2008, and our financing activities used cash of $49.7 million for the same period, primarily from net repayments under our credit facility.</w:t>
      </w:r>
    </w:p>
    <w:p>
      <w:pPr>
        <w:spacing w:after="0" w:line="15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operating activities used cash of $42.4 million for the fiscal year ended September 30, 2009, and our financing activities provided net cash proceeds of $35.4 million for the same period, primarily from both proceeds on a follow-on public offering and net borrowings on our credit facility.</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operating activities used cash of $390.7 million for the fiscal year ended September 30, 2008, and our financing activities provided cash proceeds of $173.0 million for the same period, primarily from net borrowings under our credit facility.</w:t>
      </w:r>
    </w:p>
    <w:p>
      <w:pPr>
        <w:spacing w:after="0" w:line="13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Our operating activities used cash of $37.9 million for the period from January 11, 2007 (inception) through September 30, 2007 and our financing activities provided cash proceeds of $295.8 million for the same period, primarily from the issuance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2"/>
              </w:rPr>
              <w:t>Payments due by period (millions)</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29"/>
        </w:trPr>
        <w:tc>
          <w:tcPr>
            <w:tcW w:w="49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Less than</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r>
      <w:tr>
        <w:trPr>
          <w:trHeight w:val="161"/>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4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1-3 years</w:t>
            </w:r>
          </w:p>
        </w:tc>
        <w:tc>
          <w:tcPr>
            <w:tcW w:w="4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3-5 years</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$245.7</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$ 245.7</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December 31, 2009, $54.3 million remained unused under our senior secured revolving credit facility, subject to maintenance of at least 200% of our total assets less liabilities other than indebtedness to our total outstanding indebtedness, maintenance of a blended percentage of the values of our portfolio companies, and restrictions on certain payments and issuance of debt.</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renewed in February 2010, PennantPark Investment Advisers serves as our investment adviser in accordance with our Investment Management Agreement. Payments under our Investment Management Agreement in each reporting period are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our Administration Agreement, which was renewed in February 2010,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do not engage in any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order to qualify as a RIC and to not be subject to corporate-level tax on income, we are required, under Subchapter M of the Code, to distribute at least 90% of the sum of our ordinary income and realized net capital gains, if any, to our stockholders on an annual basis. Although not required for us to maintain our RIC tax status, we also must distribute at least 98% of our income (both ordinary income and net capital gains) in order to preclude the imposition of an entity level excise tax. For the three months ended December 31, 2009, we have elected to retain a portion of our calendar year income and record an excise tax of $0.1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three months ended December 31, 2009 and 2008, we declared distributions of $0.25 and $0.24 per share, respectively, for total distributions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$6.5 million and $5.1 million, respectively. During the fiscal years ended September 30, 2009 and 2008, and for the period from January 11, 2007 (inception)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September 30, 2007, we paid to stockholders distributions of $0.96, $0.90 and $0.36 per share, respectively, for a total distribution of $20.2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 million and $7.6 million, respectively. We monitor available net investment income to determine if a tax return of capital may occur for the fiscal year.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our taxable earnings fall below the total amount of our distributions for any given fiscal year, a portion of those distributions may be deemed to be a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return of capital to our common stockholders. Tax characteristics of all distributions will be reported to stockholders on Form 1099-DIV after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calendar year.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4"/>
              </w:rPr>
              <w:t>0.26</w:t>
            </w:r>
            <w:r>
              <w:rPr>
                <w:rFonts w:ascii="Arial" w:cs="Arial" w:eastAsia="Arial" w:hAnsi="Arial"/>
                <w:sz w:val="11"/>
                <w:szCs w:val="11"/>
                <w:color w:val="auto"/>
                <w:w w:val="94"/>
              </w:rPr>
              <w:t>(1)</w:t>
            </w: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0.25</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0.96</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0.90</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0.14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$0.00107 per share is a tax return of capital</w:t>
      </w:r>
    </w:p>
    <w:p>
      <w:pPr>
        <w:spacing w:after="0" w:line="1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Payable April 1, 2010 to stockholders of record as of March 25, 2010.</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60" w:firstLine="8"/>
        <w:spacing w:after="0" w:line="295"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 See “Sales of Common Stock Below Net Asset Value” in this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Assuming that our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Information about our senior securities is shown in the following table as of December 31, 2009 and September 30, 2009, 2008 and 2007. The information for September 30, 2009, 2008 and 2007 presented below has been derived from our financial statements which have been audited by KPMG LLP.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Asset</w:t>
            </w:r>
          </w:p>
        </w:tc>
        <w:tc>
          <w:tcPr>
            <w:tcW w:w="60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Involuntary</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Coverage</w:t>
            </w:r>
          </w:p>
        </w:tc>
        <w:tc>
          <w:tcPr>
            <w:tcW w:w="600" w:type="dxa"/>
            <w:vAlign w:val="bottom"/>
          </w:tcPr>
          <w:p>
            <w:pPr>
              <w:spacing w:after="0"/>
              <w:rPr>
                <w:sz w:val="11"/>
                <w:szCs w:val="11"/>
                <w:color w:val="auto"/>
              </w:rPr>
            </w:pPr>
          </w:p>
        </w:tc>
        <w:tc>
          <w:tcPr>
            <w:tcW w:w="1300" w:type="dxa"/>
            <w:vAlign w:val="bottom"/>
            <w:gridSpan w:val="2"/>
          </w:tcPr>
          <w:p>
            <w:pPr>
              <w:jc w:val="right"/>
              <w:ind w:right="620"/>
              <w:spacing w:after="0" w:line="135" w:lineRule="exact"/>
              <w:rPr>
                <w:sz w:val="20"/>
                <w:szCs w:val="20"/>
                <w:color w:val="auto"/>
              </w:rPr>
            </w:pPr>
            <w:r>
              <w:rPr>
                <w:rFonts w:ascii="Arial" w:cs="Arial" w:eastAsia="Arial" w:hAnsi="Arial"/>
                <w:sz w:val="14"/>
                <w:szCs w:val="14"/>
                <w:b w:val="1"/>
                <w:bCs w:val="1"/>
                <w:color w:val="auto"/>
                <w:w w:val="87"/>
              </w:rPr>
              <w:t>Liquidating</w:t>
            </w: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6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60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Preference</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Value Per</w:t>
            </w:r>
          </w:p>
        </w:tc>
        <w:tc>
          <w:tcPr>
            <w:tcW w:w="0" w:type="dxa"/>
            <w:vAlign w:val="bottom"/>
          </w:tcPr>
          <w:p>
            <w:pPr>
              <w:spacing w:after="0"/>
              <w:rPr>
                <w:sz w:val="1"/>
                <w:szCs w:val="1"/>
                <w:color w:val="auto"/>
              </w:rPr>
            </w:pPr>
          </w:p>
        </w:tc>
      </w:tr>
      <w:tr>
        <w:trPr>
          <w:trHeight w:val="176"/>
        </w:trPr>
        <w:tc>
          <w:tcPr>
            <w:tcW w:w="516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66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0"/>
              </w:rPr>
              <w:t>Outstanding</w:t>
            </w:r>
            <w:r>
              <w:rPr>
                <w:rFonts w:ascii="Arial" w:cs="Arial" w:eastAsia="Arial" w:hAnsi="Arial"/>
                <w:sz w:val="20"/>
                <w:szCs w:val="20"/>
                <w:b w:val="1"/>
                <w:bCs w:val="1"/>
                <w:color w:val="auto"/>
                <w:w w:val="90"/>
                <w:vertAlign w:val="superscript"/>
              </w:rPr>
              <w:t>(1)</w:t>
            </w:r>
          </w:p>
        </w:tc>
        <w:tc>
          <w:tcPr>
            <w:tcW w:w="6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(unaudited)</w:t>
            </w:r>
          </w:p>
        </w:tc>
        <w:tc>
          <w:tcPr>
            <w:tcW w:w="600" w:type="dxa"/>
            <w:vAlign w:val="bottom"/>
          </w:tcPr>
          <w:p>
            <w:pPr>
              <w:spacing w:after="0"/>
              <w:rPr>
                <w:sz w:val="15"/>
                <w:szCs w:val="15"/>
                <w:color w:val="auto"/>
              </w:rPr>
            </w:pPr>
          </w:p>
        </w:tc>
        <w:tc>
          <w:tcPr>
            <w:tcW w:w="130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w w:val="94"/>
              </w:rPr>
              <w:t xml:space="preserve">Per Unit </w:t>
            </w:r>
            <w:r>
              <w:rPr>
                <w:rFonts w:ascii="Arial" w:cs="Arial" w:eastAsia="Arial" w:hAnsi="Arial"/>
                <w:sz w:val="20"/>
                <w:szCs w:val="20"/>
                <w:b w:val="1"/>
                <w:bCs w:val="1"/>
                <w:color w:val="auto"/>
                <w:w w:val="94"/>
                <w:vertAlign w:val="superscript"/>
              </w:rPr>
              <w:t>(3)</w:t>
            </w:r>
          </w:p>
        </w:tc>
        <w:tc>
          <w:tcPr>
            <w:tcW w:w="5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 xml:space="preserve">Unit </w:t>
            </w:r>
            <w:r>
              <w:rPr>
                <w:rFonts w:ascii="Arial" w:cs="Arial" w:eastAsia="Arial" w:hAnsi="Arial"/>
                <w:sz w:val="20"/>
                <w:szCs w:val="20"/>
                <w:b w:val="1"/>
                <w:bCs w:val="1"/>
                <w:color w:val="auto"/>
                <w:w w:val="92"/>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2010</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(as of December 31, 2009, unaudited)</w:t>
            </w:r>
          </w:p>
        </w:tc>
        <w:tc>
          <w:tcPr>
            <w:tcW w:w="18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245,700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2,068</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2009</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2009)</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2008</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(as of September 30, 2008)</w:t>
            </w:r>
          </w:p>
        </w:tc>
        <w:tc>
          <w:tcPr>
            <w:tcW w:w="18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202,000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2,043</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2007</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2007)</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28,039</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9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February 17, 2010, the last reported closing price of our common stock was $10.10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w w:val="93"/>
              </w:rPr>
              <w:t>Closing Sales Price</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High Sales</w:t>
            </w: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1200" w:type="dxa"/>
            <w:vAlign w:val="bottom"/>
            <w:gridSpan w:val="2"/>
            <w:vMerge w:val="restart"/>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Price to</w:t>
            </w:r>
          </w:p>
        </w:tc>
        <w:tc>
          <w:tcPr>
            <w:tcW w:w="98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5"/>
              </w:rPr>
              <w:t>Price to</w:t>
            </w:r>
          </w:p>
        </w:tc>
        <w:tc>
          <w:tcPr>
            <w:tcW w:w="220" w:type="dxa"/>
            <w:vAlign w:val="bottom"/>
          </w:tcPr>
          <w:p>
            <w:pPr>
              <w:spacing w:after="0"/>
              <w:rPr>
                <w:sz w:val="6"/>
                <w:szCs w:val="6"/>
                <w:color w:val="auto"/>
              </w:rPr>
            </w:pPr>
          </w:p>
        </w:tc>
        <w:tc>
          <w:tcPr>
            <w:tcW w:w="700" w:type="dxa"/>
            <w:vAlign w:val="bottom"/>
            <w:gridSpan w:val="2"/>
            <w:vMerge w:val="restart"/>
          </w:tcPr>
          <w:p>
            <w:pPr>
              <w:jc w:val="right"/>
              <w:ind w:right="180"/>
              <w:spacing w:after="0" w:line="135" w:lineRule="exact"/>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700" w:type="dxa"/>
            <w:vAlign w:val="bottom"/>
            <w:gridSpan w:val="2"/>
            <w:vMerge w:val="restart"/>
          </w:tcPr>
          <w:p>
            <w:pPr>
              <w:ind w:left="40"/>
              <w:spacing w:after="0" w:line="197"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60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980" w:type="dxa"/>
            <w:vAlign w:val="bottom"/>
            <w:gridSpan w:val="2"/>
          </w:tcPr>
          <w:p>
            <w:pPr>
              <w:jc w:val="center"/>
              <w:ind w:right="38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Dividend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Second quarter (through February 17, 2010)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 N/A</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$10.10</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$ 8.88</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0.26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7.42</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9.06</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7.65</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3.85</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65</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2.64</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7.81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2.35</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8.50</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5.92</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8.60</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7.05</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11.31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8.38</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110</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14.49</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14.76</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12.61</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13.74</w:t>
            </w:r>
          </w:p>
        </w:tc>
        <w:tc>
          <w:tcPr>
            <w:tcW w:w="2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15.03</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14.04</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109</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90" w:lineRule="exact"/>
        <w:rPr>
          <w:sz w:val="20"/>
          <w:szCs w:val="20"/>
          <w:color w:val="auto"/>
        </w:rPr>
      </w:pPr>
    </w:p>
    <w:p>
      <w:pPr>
        <w:ind w:left="460" w:hanging="36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our meeting of stockholders held on February 2, 2010,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February 2, 2010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 a variety of factors, including:</w:t>
      </w:r>
    </w:p>
    <w:p>
      <w:pPr>
        <w:spacing w:after="0" w:line="35" w:lineRule="exact"/>
        <w:rPr>
          <w:sz w:val="20"/>
          <w:szCs w:val="20"/>
          <w:color w:val="auto"/>
        </w:rPr>
      </w:pPr>
    </w:p>
    <w:p>
      <w:pPr>
        <w:ind w:left="9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relationship of recent market prices of par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potential investment opportunities available relative to the potential dilutive effect of additional capital at the time of the projected offering.</w:t>
      </w:r>
    </w:p>
    <w:p>
      <w:pPr>
        <w:spacing w:after="0" w:line="19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existing stockholders who do not participate, or who are not given the opportunity or are unable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 We estimate the offering expenses to be 0.5% of the discount from NAV.</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Below NAV</w:t>
            </w: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10.05</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1,050,000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1,100,000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5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0.95%</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(17.00)%</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w w:val="97"/>
              </w:rPr>
              <w:t>(assumed to be $10.00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less 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Investment per share held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stockholder A (assumed to be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$10.00 per share on shares held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Dilution per share held by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A (NAV per share less investment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w w:val="99"/>
              </w:rPr>
              <w:t>Percentage dilution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(dilution per share divided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11,000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6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25.71%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5"/>
              </w:rPr>
              <w:t>Total investment by stockholder A(assumed to be $10.00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108,470</w:t>
            </w:r>
          </w:p>
        </w:tc>
        <w:tc>
          <w:tcPr>
            <w:tcW w:w="6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125,410</w:t>
            </w:r>
          </w:p>
        </w:tc>
        <w:tc>
          <w:tcPr>
            <w:tcW w:w="6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Total (dilution)/accretion to stockholder A (total NAV less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investment)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(2,100)</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1"/>
              </w:rPr>
              <w:t>Investment per share held by stockholder A (assumed to be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9.86</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(Dilution)/accretion per share held by stockholder A (NAV per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 less investment per share)</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w w:val="94"/>
              </w:rPr>
              <w:t>Percentage (dilution)/accretion to stockholder (dilution/accretion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640"/>
              <w:spacing w:after="0"/>
              <w:rPr>
                <w:sz w:val="20"/>
                <w:szCs w:val="20"/>
                <w:color w:val="auto"/>
              </w:rPr>
            </w:pPr>
            <w:r>
              <w:rPr>
                <w:rFonts w:ascii="Arial" w:cs="Arial" w:eastAsia="Arial" w:hAnsi="Arial"/>
                <w:sz w:val="18"/>
                <w:szCs w:val="18"/>
                <w:color w:val="auto"/>
              </w:rPr>
              <w:t>per share divided by investment per share)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100" w:firstLine="8"/>
        <w:spacing w:after="0" w:line="254" w:lineRule="auto"/>
        <w:tabs>
          <w:tab w:leader="none" w:pos="2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 We estimate the offering expenses to be 0.5% of the discount from NAV.</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6"/>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4"/>
              </w:rPr>
              <w:t>Prior to Sale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0"/>
              </w:rPr>
              <w:t>Below NAV</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1,050,000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NAV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4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500</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4,990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5,025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9,952</w:t>
            </w:r>
          </w:p>
        </w:tc>
        <w:tc>
          <w:tcPr>
            <w:tcW w:w="48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48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 NAV</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total investment)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 A</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(NAV per share less investment 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(0.07)</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w w:val="98"/>
              </w:rPr>
              <w:t>Percentage dilution to stockholder A (dilution</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640"/>
              <w:spacing w:after="0"/>
              <w:rPr>
                <w:sz w:val="20"/>
                <w:szCs w:val="20"/>
                <w:color w:val="auto"/>
              </w:rPr>
            </w:pPr>
            <w:r>
              <w:rPr>
                <w:rFonts w:ascii="Arial" w:cs="Arial" w:eastAsia="Arial" w:hAnsi="Arial"/>
                <w:sz w:val="18"/>
                <w:szCs w:val="18"/>
                <w:color w:val="auto"/>
                <w:w w:val="96"/>
              </w:rPr>
              <w:t>per share divided by 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14.17%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4"/>
              </w:rPr>
              <w:t>0.26</w:t>
            </w:r>
            <w:r>
              <w:rPr>
                <w:rFonts w:ascii="Arial" w:cs="Arial" w:eastAsia="Arial" w:hAnsi="Arial"/>
                <w:sz w:val="11"/>
                <w:szCs w:val="11"/>
                <w:color w:val="auto"/>
                <w:w w:val="94"/>
              </w:rPr>
              <w:t>(1)</w:t>
            </w: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0.25</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0.96</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149"/>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149"/>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0.90</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0.14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$0.00107 per share is a tax return of capital</w:t>
      </w:r>
    </w:p>
    <w:p>
      <w:pPr>
        <w:spacing w:after="0" w:line="1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We also must annually distribute dividends of</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least 90% of the sum of our ordinary income and realized net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 of our realized net short-term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 In such event, the consequences of our retention of net capital gains are as described under “Material U.S. Federal Income Tax Considerations.”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1940 Act. In addition, for tax purposes we have elected to be treated as a RIC, under the Code.</w:t>
      </w:r>
    </w:p>
    <w:p>
      <w:pPr>
        <w:spacing w:after="0" w:line="14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certain subordinated debt, second lien secured debt,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See “Certain Relationships and Transactions—Investment Management Agreement.”</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 Our activities are supervised by our board of directors, a majority of whom are independent of us and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utilize the investing experience and contacts of Arthur H. Penn, the founder of PennantPark Investment Corporation and PennantPark Investment Advisers, as well as the other investment professionals of the Investment adviser. Mr. Penn has over 23 years of experience in the mezzanine lending, leveraged finance,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 During Mr. Penn’s tenure with Apollo Investment, it invested approximately $2.8 billion in 73 companies in partnership with 54 different financial sponsors.</w:t>
      </w:r>
    </w:p>
    <w:p>
      <w:pPr>
        <w:spacing w:after="0" w:line="14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During his more than 23-year career in the financial services industry, Mr. Penn has developed a network of financial sponsor relationships as well as relationships with management teams, investment bankers, attorneys and accountants provide us with access to substantial investment opportunities.</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professionals, Sal Giannetti, Whit Williams and Jose Briones, have, approximately, 55 years of experience in the mezzanine, private equity and leveraged finance businesses. Mr. Giannetti previously served as Partner in the private equity firm of Wilton Ivy Partners from 2004 to 2007. Prior to joining Wilton Ivy Partners, he was a Managing Director at UBS Securities LLC in its Financial Sponsors and Leveraged Finance Group from 2000 to 2001. Mr. Williams was an officer at UBS Securities LLC from 1996 to 2007, most recently as a Managing Director in its Financial Sponsors and Leveraged Finance Group. Mr. Briones was a Partner of Apollo Investment Management from 2006 to 2008. Prior to joining Apollo, he was a Managing Director in the Financial Sponsors and Leveraged Finance Group at UBS Securities LLC from 2001 to 2006.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325"/>
        <w:spacing w:after="0" w:line="25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500" w:hanging="325"/>
        <w:spacing w:after="0" w:line="275"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8"/>
          <w:szCs w:val="18"/>
          <w:color w:val="auto"/>
        </w:rPr>
        <w:t>We expect that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private equity firms will continue to be active investors in middle-market companies. 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70" w:lineRule="exact"/>
        <w:rPr>
          <w:sz w:val="20"/>
          <w:szCs w:val="20"/>
          <w:color w:val="auto"/>
        </w:rPr>
      </w:pPr>
    </w:p>
    <w:p>
      <w:pPr>
        <w:ind w:left="900" w:right="60" w:hanging="325"/>
        <w:spacing w:after="0" w:line="301"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“Business-Investment Process-Investment Selection Criteria” and “Business-Investment Process-Due Diligence.”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the in-depth coverage and experience of our Investment Adviser, will enable us to invest throughout various stages of the economic cycle and will provide us with ongoing market insights in addition to a significant investment sourcing engine.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a five-year, multi-currency $300.0 million senior secured credit facility, which matures in June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 under our credit facility is set at 100 basis points over LIBOR. We believe that our debt capital resources will provide us with the flexibility to take advantage of market opportunities when they arise.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mezzanine debt, senior secured loans, and, to a lesser extent, equity investments in qualifying assets such as private or thinly traded or small market-cap, public middle-market U.S. companies. In addition, we may invest up to 30% of our portfolio in non-qualifying assets. See “Regulation—Qualifying Assets.” These investments may include investments in public companies whose securities are not thinly traded or do not have a market capitalization of less than $250 million, securities of middle-market companies located outside of the United States and investment companies as defined in the 1940 Act. We expect that these companies will generally issue debt securities that are not investment grade. Moreover, we may acquire investments in the secondary market.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usually benefits from a senior collateral interest in the borrower. As such, other creditors rank junior to our investments in these securities in the event of insolvency. Due to its lower risk profile and often more restrictive covenants as compared to mezzanine debt, senior secured debt generally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efficiently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We, through our Investment Adviser, conduct a rigorous due diligence process that is applied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Giannetti, Williams and Briones subject to approval by Mr. Penn. As our Investment Adviser adds senior investment professionals, our Investment Adviser may add them to its investment committee. The members of the investment committee receive no compensation from us. These members are employees of our Investment Adviser and receive compensation from our Investment Adviser.</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case of our mezzanine debt investments and senior secured loan,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expect to hold most of our core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80" w:right="140" w:hanging="567"/>
        <w:spacing w:after="0" w:line="268"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80" w:right="280" w:hanging="567"/>
        <w:spacing w:after="0" w:line="298" w:lineRule="auto"/>
        <w:tabs>
          <w:tab w:leader="none" w:pos="1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80" w:right="180" w:hanging="567"/>
        <w:spacing w:after="0" w:line="259"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9" w:lineRule="exact"/>
        <w:rPr>
          <w:rFonts w:ascii="Arial" w:cs="Arial" w:eastAsia="Arial" w:hAnsi="Arial"/>
          <w:sz w:val="18"/>
          <w:szCs w:val="18"/>
          <w:color w:val="auto"/>
        </w:rPr>
      </w:pPr>
    </w:p>
    <w:p>
      <w:pPr>
        <w:ind w:left="1480" w:right="160" w:hanging="567"/>
        <w:spacing w:after="0" w:line="268"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may provide such managerial assistance on our behalf to portfolio companies that request this assistance. We have not received any fees for such services since inception, but may receive compensation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do not currently have any employees. Mr. Penn is our Chief Executive Officer. Our Investment Adviser currently has four senior investment professionals, Messrs. Penn, Giannetti, Williams and Briones. In addition, Mr. Efrat is our Chief Financial Officer and Treasurer and Mr. Guy F. Talarico is our Chief Compliance Officer. Our Investment Adviser and Administrator have hired and expect to continue to hire professionals with skills applicable to our business plan, including experience in middle-market investing, leveraged finance and capital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investments and senior secured loans to U.S. middle-market companies in a variety of industries. We generally seek to target companies that generate positive cash flows from the broad variety of industries in which our Investment Adviser has direct expertise. The following is a sample list of the industries in which we have invested:</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Aerospace and Defense</w:t>
            </w:r>
          </w:p>
        </w:tc>
        <w:tc>
          <w:tcPr>
            <w:tcW w:w="4400" w:type="dxa"/>
            <w:vAlign w:val="bottom"/>
            <w:gridSpan w:val="2"/>
          </w:tcPr>
          <w:p>
            <w:pPr>
              <w:ind w:left="1620"/>
              <w:spacing w:after="0"/>
              <w:rPr>
                <w:sz w:val="20"/>
                <w:szCs w:val="20"/>
                <w:color w:val="auto"/>
              </w:rPr>
            </w:pPr>
            <w:r>
              <w:rPr>
                <w:rFonts w:ascii="Arial" w:cs="Arial" w:eastAsia="Arial" w:hAnsi="Arial"/>
                <w:sz w:val="18"/>
                <w:szCs w:val="18"/>
                <w:color w:val="auto"/>
                <w:w w:val="89"/>
              </w:rPr>
              <w:t>•  Healthcare, Education and Childcare</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Business Services</w:t>
            </w:r>
          </w:p>
        </w:tc>
        <w:tc>
          <w:tcPr>
            <w:tcW w:w="4400" w:type="dxa"/>
            <w:vAlign w:val="bottom"/>
            <w:gridSpan w:val="2"/>
          </w:tcPr>
          <w:p>
            <w:pPr>
              <w:ind w:left="1620"/>
              <w:spacing w:after="0"/>
              <w:rPr>
                <w:sz w:val="20"/>
                <w:szCs w:val="20"/>
                <w:color w:val="auto"/>
              </w:rPr>
            </w:pPr>
            <w:r>
              <w:rPr>
                <w:rFonts w:ascii="Arial" w:cs="Arial" w:eastAsia="Arial" w:hAnsi="Arial"/>
                <w:sz w:val="18"/>
                <w:szCs w:val="18"/>
                <w:color w:val="auto"/>
                <w:w w:val="99"/>
              </w:rPr>
              <w:t>•  Hotels, Motels, Inns and Gaming</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Chemicals, Plastics and Rubber</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Insurance</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Consumer Products</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Logistics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Education</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Oil and Gas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Energy/Utilities</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Transportation</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Environmental Services</w:t>
            </w:r>
          </w:p>
        </w:tc>
        <w:tc>
          <w:tcPr>
            <w:tcW w:w="176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20" w:type="dxa"/>
            <w:vAlign w:val="bottom"/>
            <w:gridSpan w:val="5"/>
          </w:tcPr>
          <w:p>
            <w:pPr>
              <w:jc w:val="center"/>
              <w:ind w:left="293"/>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Portfolio Company</w:t>
            </w:r>
          </w:p>
        </w:tc>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i2 Holdings, LTD.</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Brand Energy and Infrastructure</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i2 Holdings, LTD.</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ind w:left="220"/>
              <w:spacing w:after="0"/>
              <w:rPr>
                <w:sz w:val="20"/>
                <w:szCs w:val="20"/>
                <w:color w:val="auto"/>
              </w:rPr>
            </w:pPr>
            <w:r>
              <w:rPr>
                <w:rFonts w:ascii="Arial" w:cs="Arial" w:eastAsia="Arial" w:hAnsi="Arial"/>
                <w:sz w:val="18"/>
                <w:szCs w:val="18"/>
                <w:color w:val="auto"/>
              </w:rPr>
              <w:t>Services, Inc</w:t>
            </w:r>
          </w:p>
        </w:tc>
        <w:tc>
          <w:tcPr>
            <w:tcW w:w="1180" w:type="dxa"/>
            <w:vAlign w:val="bottom"/>
            <w:gridSpan w:val="5"/>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UP Acquisition Sub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CT Technologies</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Affinion Group Holding, Inc.</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Saint Acquisition Corp.</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Trizetto Group,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Saint Acquisition Corp.</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UP Acquisition Sub Inc.</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Affinion Group Holding,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Trizetto Group, Inc.</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Lyondell Chemical Co.</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Sheridan Holdings,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Lyondell Chemical Co.</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4%</w:t>
            </w:r>
          </w:p>
        </w:tc>
      </w:tr>
      <w:tr>
        <w:trPr>
          <w:trHeight w:val="222"/>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Specialized Technology Resources, Inc.</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0"/>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3940" w:type="dxa"/>
            <w:vAlign w:val="bottom"/>
            <w:gridSpan w:val="2"/>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340" w:type="dxa"/>
            <w:vAlign w:val="bottom"/>
            <w:gridSpan w:val="2"/>
          </w:tcPr>
          <w:p>
            <w:pPr>
              <w:spacing w:after="0"/>
              <w:rPr>
                <w:sz w:val="14"/>
                <w:szCs w:val="14"/>
                <w:color w:val="auto"/>
              </w:rPr>
            </w:pPr>
          </w:p>
        </w:tc>
        <w:tc>
          <w:tcPr>
            <w:tcW w:w="640" w:type="dxa"/>
            <w:vAlign w:val="bottom"/>
            <w:gridSpan w:val="2"/>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Chemicals, Plastics and Rubber</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Hotels, Motels, Inns and Gaming</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Aerospace and Defense</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Healthcare, Education and Childcare</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Healthcare, Education and Childcare</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Consumer Products</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Insurance</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Energy/Utilities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Transportation</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5%</w:t>
            </w:r>
          </w:p>
        </w:tc>
      </w:tr>
    </w:tbl>
    <w:p>
      <w:pPr>
        <w:spacing w:after="0" w:line="2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December 31, 2009, our portfolio consisted of forty-four companies and was invested 35% in subordinated debt, 29% in second lien secured debt, 31% in senior secured loans, and 5% in preferred and common equity investments.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is a listing of each portfolio company or its affiliate, together referred to as portfolio companies, in which we had an investment at December 31, 2009.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 For additional information see “Schedule of Investments” in our December 31, 2009 financial statements included elsewhere in this prospectus.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25% or more of the outstanding voting securities of such portfolio company and, therefore, are presumed to be controlled by us under the 1940 Act; “companies owned 5% to 25%”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are pledged as collateral under our credit facility. As of December 31, 2009, we held no voting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84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53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None</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w:t>
            </w:r>
          </w:p>
        </w:tc>
        <w:tc>
          <w:tcPr>
            <w:tcW w:w="230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 Second Lien</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6.3%</w:t>
            </w: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OTION</w:t>
            </w:r>
            <w:r>
              <w:rPr>
                <w:rFonts w:ascii="Arial" w:cs="Arial" w:eastAsia="Arial" w:hAnsi="Arial"/>
                <w:sz w:val="18"/>
                <w:szCs w:val="18"/>
                <w:color w:val="auto"/>
                <w:w w:val="99"/>
              </w:rPr>
              <w:t xml:space="preserve"> P</w:t>
            </w:r>
            <w:r>
              <w:rPr>
                <w:rFonts w:ascii="Arial" w:cs="Arial" w:eastAsia="Arial" w:hAnsi="Arial"/>
                <w:sz w:val="14"/>
                <w:szCs w:val="14"/>
                <w:color w:val="auto"/>
                <w:w w:val="99"/>
              </w:rPr>
              <w:t>ICTURES</w:t>
            </w: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Secured Debt, 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23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1-800 C</w:t>
            </w:r>
            <w:r>
              <w:rPr>
                <w:rFonts w:ascii="Arial" w:cs="Arial" w:eastAsia="Arial" w:hAnsi="Arial"/>
                <w:sz w:val="14"/>
                <w:szCs w:val="14"/>
                <w:color w:val="auto"/>
              </w:rPr>
              <w:t>ONTACTS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ISTRIBUTION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66 E. W</w:t>
            </w:r>
            <w:r>
              <w:rPr>
                <w:rFonts w:ascii="Arial" w:cs="Arial" w:eastAsia="Arial" w:hAnsi="Arial"/>
                <w:sz w:val="14"/>
                <w:szCs w:val="14"/>
                <w:color w:val="auto"/>
              </w:rPr>
              <w:t>ADSWORTH</w:t>
            </w:r>
            <w:r>
              <w:rPr>
                <w:rFonts w:ascii="Arial" w:cs="Arial" w:eastAsia="Arial" w:hAnsi="Arial"/>
                <w:sz w:val="18"/>
                <w:szCs w:val="18"/>
                <w:color w:val="auto"/>
              </w:rPr>
              <w:t xml:space="preserve"> P</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RD</w:t>
            </w:r>
            <w:r>
              <w:rPr>
                <w:rFonts w:ascii="Arial" w:cs="Arial" w:eastAsia="Arial" w:hAnsi="Arial"/>
                <w:sz w:val="18"/>
                <w:szCs w:val="18"/>
                <w:color w:val="auto"/>
              </w:rPr>
              <w:t xml:space="preserve"> F</w:t>
            </w:r>
            <w:r>
              <w:rPr>
                <w:rFonts w:ascii="Arial" w:cs="Arial" w:eastAsia="Arial" w:hAnsi="Arial"/>
                <w:sz w:val="14"/>
                <w:szCs w:val="14"/>
                <w:color w:val="auto"/>
              </w:rPr>
              <w:t>L</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RAPER</w:t>
            </w:r>
            <w:r>
              <w:rPr>
                <w:rFonts w:ascii="Arial" w:cs="Arial" w:eastAsia="Arial" w:hAnsi="Arial"/>
                <w:sz w:val="18"/>
                <w:szCs w:val="18"/>
                <w:color w:val="auto"/>
              </w:rPr>
              <w:t>, UT 84020</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QUILEX</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LLC</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IVERSIFIED</w:t>
            </w:r>
            <w:r>
              <w:rPr>
                <w:rFonts w:ascii="Arial" w:cs="Arial" w:eastAsia="Arial" w:hAnsi="Arial"/>
                <w:sz w:val="18"/>
                <w:szCs w:val="18"/>
                <w:color w:val="auto"/>
                <w:w w:val="99"/>
              </w:rPr>
              <w:t xml:space="preserve"> / C</w:t>
            </w:r>
            <w:r>
              <w:rPr>
                <w:rFonts w:ascii="Arial" w:cs="Arial" w:eastAsia="Arial" w:hAnsi="Arial"/>
                <w:sz w:val="14"/>
                <w:szCs w:val="14"/>
                <w:color w:val="auto"/>
                <w:w w:val="99"/>
              </w:rPr>
              <w:t>ONGLOMERATE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3344 P</w:t>
            </w:r>
            <w:r>
              <w:rPr>
                <w:rFonts w:ascii="Arial" w:cs="Arial" w:eastAsia="Arial" w:hAnsi="Arial"/>
                <w:sz w:val="14"/>
                <w:szCs w:val="14"/>
                <w:color w:val="auto"/>
              </w:rPr>
              <w:t>EACHTREE</w:t>
            </w:r>
            <w:r>
              <w:rPr>
                <w:rFonts w:ascii="Arial" w:cs="Arial" w:eastAsia="Arial" w:hAnsi="Arial"/>
                <w:sz w:val="18"/>
                <w:szCs w:val="18"/>
                <w:color w:val="auto"/>
              </w:rPr>
              <w:t xml:space="preserve"> R</w:t>
            </w:r>
            <w:r>
              <w:rPr>
                <w:rFonts w:ascii="Arial" w:cs="Arial" w:eastAsia="Arial" w:hAnsi="Arial"/>
                <w:sz w:val="14"/>
                <w:szCs w:val="14"/>
                <w:color w:val="auto"/>
              </w:rPr>
              <w:t>OADS</w:t>
            </w:r>
            <w:r>
              <w:rPr>
                <w:rFonts w:ascii="Arial" w:cs="Arial" w:eastAsia="Arial" w:hAnsi="Arial"/>
                <w:sz w:val="18"/>
                <w:szCs w:val="18"/>
                <w:color w:val="auto"/>
              </w:rPr>
              <w:t xml:space="preserve"> N</w:t>
            </w:r>
            <w:r>
              <w:rPr>
                <w:rFonts w:ascii="Arial" w:cs="Arial" w:eastAsia="Arial" w:hAnsi="Arial"/>
                <w:sz w:val="14"/>
                <w:szCs w:val="14"/>
                <w:color w:val="auto"/>
              </w:rPr>
              <w:t>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2100</w:t>
            </w:r>
          </w:p>
        </w:tc>
        <w:tc>
          <w:tcPr>
            <w:tcW w:w="23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TLANTA</w:t>
            </w:r>
            <w:r>
              <w:rPr>
                <w:rFonts w:ascii="Arial" w:cs="Arial" w:eastAsia="Arial" w:hAnsi="Arial"/>
                <w:sz w:val="18"/>
                <w:szCs w:val="18"/>
                <w:color w:val="auto"/>
              </w:rPr>
              <w:t>, GA 30326</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23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00" w:type="dxa"/>
            <w:vAlign w:val="bottom"/>
          </w:tcPr>
          <w:p>
            <w:pPr>
              <w:jc w:val="right"/>
              <w:ind w:right="179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EVA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PLC</w:t>
            </w:r>
          </w:p>
        </w:tc>
        <w:tc>
          <w:tcPr>
            <w:tcW w:w="2740" w:type="dxa"/>
            <w:vAlign w:val="bottom"/>
          </w:tcPr>
          <w:p>
            <w:pPr>
              <w:spacing w:after="0"/>
              <w:rPr>
                <w:sz w:val="17"/>
                <w:szCs w:val="17"/>
                <w:color w:val="auto"/>
              </w:rPr>
            </w:pPr>
          </w:p>
        </w:tc>
        <w:tc>
          <w:tcPr>
            <w:tcW w:w="2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OGISTICS</w:t>
            </w:r>
          </w:p>
        </w:tc>
        <w:tc>
          <w:tcPr>
            <w:tcW w:w="10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25 S</w:t>
            </w:r>
            <w:r>
              <w:rPr>
                <w:rFonts w:ascii="Arial" w:cs="Arial" w:eastAsia="Arial" w:hAnsi="Arial"/>
                <w:sz w:val="14"/>
                <w:szCs w:val="14"/>
                <w:color w:val="auto"/>
              </w:rPr>
              <w:t>T</w:t>
            </w:r>
            <w:r>
              <w:rPr>
                <w:rFonts w:ascii="Arial" w:cs="Arial" w:eastAsia="Arial" w:hAnsi="Arial"/>
                <w:sz w:val="18"/>
                <w:szCs w:val="18"/>
                <w:color w:val="auto"/>
              </w:rPr>
              <w:t>. G</w:t>
            </w:r>
            <w:r>
              <w:rPr>
                <w:rFonts w:ascii="Arial" w:cs="Arial" w:eastAsia="Arial" w:hAnsi="Arial"/>
                <w:sz w:val="14"/>
                <w:szCs w:val="14"/>
                <w:color w:val="auto"/>
              </w:rPr>
              <w:t>EORGE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ONDON</w:t>
            </w:r>
            <w:r>
              <w:rPr>
                <w:rFonts w:ascii="Arial" w:cs="Arial" w:eastAsia="Arial" w:hAnsi="Arial"/>
                <w:sz w:val="18"/>
                <w:szCs w:val="18"/>
                <w:color w:val="auto"/>
              </w:rPr>
              <w:t xml:space="preserve"> W1</w:t>
            </w:r>
            <w:r>
              <w:rPr>
                <w:rFonts w:ascii="Arial" w:cs="Arial" w:eastAsia="Arial" w:hAnsi="Arial"/>
                <w:sz w:val="14"/>
                <w:szCs w:val="14"/>
                <w:color w:val="auto"/>
              </w:rPr>
              <w:t>S</w:t>
            </w:r>
            <w:r>
              <w:rPr>
                <w:rFonts w:ascii="Arial" w:cs="Arial" w:eastAsia="Arial" w:hAnsi="Arial"/>
                <w:sz w:val="18"/>
                <w:szCs w:val="18"/>
                <w:color w:val="auto"/>
              </w:rPr>
              <w:t xml:space="preserve"> 1</w:t>
            </w:r>
            <w:r>
              <w:rPr>
                <w:rFonts w:ascii="Arial" w:cs="Arial" w:eastAsia="Arial" w:hAnsi="Arial"/>
                <w:sz w:val="14"/>
                <w:szCs w:val="14"/>
                <w:color w:val="auto"/>
              </w:rPr>
              <w:t>FS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INGDON</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HESTER</w:t>
            </w:r>
            <w:r>
              <w:rPr>
                <w:rFonts w:ascii="Arial" w:cs="Arial" w:eastAsia="Arial" w:hAnsi="Arial"/>
                <w:sz w:val="18"/>
                <w:szCs w:val="18"/>
                <w:color w:val="auto"/>
              </w:rPr>
              <w:t xml:space="preserve"> D</w:t>
            </w:r>
            <w:r>
              <w:rPr>
                <w:rFonts w:ascii="Arial" w:cs="Arial" w:eastAsia="Arial" w:hAnsi="Arial"/>
                <w:sz w:val="14"/>
                <w:szCs w:val="14"/>
                <w:color w:val="auto"/>
              </w:rPr>
              <w:t>OWNSAND</w:t>
            </w:r>
            <w:r>
              <w:rPr>
                <w:rFonts w:ascii="Arial" w:cs="Arial" w:eastAsia="Arial" w:hAnsi="Arial"/>
                <w:sz w:val="18"/>
                <w:szCs w:val="18"/>
                <w:color w:val="auto"/>
              </w:rPr>
              <w:t xml:space="preserve"> M</w:t>
            </w:r>
            <w:r>
              <w:rPr>
                <w:rFonts w:ascii="Arial" w:cs="Arial" w:eastAsia="Arial" w:hAnsi="Arial"/>
                <w:sz w:val="14"/>
                <w:szCs w:val="14"/>
                <w:color w:val="auto"/>
              </w:rPr>
              <w:t>ARINA</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OTELS</w:t>
            </w:r>
            <w:r>
              <w:rPr>
                <w:rFonts w:ascii="Arial" w:cs="Arial" w:eastAsia="Arial" w:hAnsi="Arial"/>
                <w:sz w:val="18"/>
                <w:szCs w:val="18"/>
                <w:color w:val="auto"/>
                <w:w w:val="97"/>
              </w:rPr>
              <w:t>, M</w:t>
            </w:r>
            <w:r>
              <w:rPr>
                <w:rFonts w:ascii="Arial" w:cs="Arial" w:eastAsia="Arial" w:hAnsi="Arial"/>
                <w:sz w:val="14"/>
                <w:szCs w:val="14"/>
                <w:color w:val="auto"/>
                <w:w w:val="97"/>
              </w:rPr>
              <w:t>OTELS</w:t>
            </w:r>
            <w:r>
              <w:rPr>
                <w:rFonts w:ascii="Arial" w:cs="Arial" w:eastAsia="Arial" w:hAnsi="Arial"/>
                <w:sz w:val="18"/>
                <w:szCs w:val="18"/>
                <w:color w:val="auto"/>
                <w:w w:val="97"/>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777 H</w:t>
            </w:r>
            <w:r>
              <w:rPr>
                <w:rFonts w:ascii="Arial" w:cs="Arial" w:eastAsia="Arial" w:hAnsi="Arial"/>
                <w:sz w:val="14"/>
                <w:szCs w:val="14"/>
                <w:color w:val="auto"/>
              </w:rPr>
              <w:t>ARRAH</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NNS</w:t>
            </w:r>
            <w:r>
              <w:rPr>
                <w:rFonts w:ascii="Arial" w:cs="Arial" w:eastAsia="Arial" w:hAnsi="Arial"/>
                <w:sz w:val="18"/>
                <w:szCs w:val="18"/>
                <w:color w:val="auto"/>
              </w:rPr>
              <w:t xml:space="preserve"> &amp; G</w:t>
            </w:r>
            <w:r>
              <w:rPr>
                <w:rFonts w:ascii="Arial" w:cs="Arial" w:eastAsia="Arial" w:hAnsi="Arial"/>
                <w:sz w:val="14"/>
                <w:szCs w:val="14"/>
                <w:color w:val="auto"/>
              </w:rPr>
              <w:t>AMING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HESTER</w:t>
            </w:r>
            <w:r>
              <w:rPr>
                <w:rFonts w:ascii="Arial" w:cs="Arial" w:eastAsia="Arial" w:hAnsi="Arial"/>
                <w:sz w:val="18"/>
                <w:szCs w:val="18"/>
                <w:color w:val="auto"/>
              </w:rPr>
              <w:t>, PA 19103</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OLUMBUS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p>
        </w:tc>
        <w:tc>
          <w:tcPr>
            <w:tcW w:w="24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OMMUNICATION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205-207 D</w:t>
            </w:r>
            <w:r>
              <w:rPr>
                <w:rFonts w:ascii="Arial" w:cs="Arial" w:eastAsia="Arial" w:hAnsi="Arial"/>
                <w:sz w:val="14"/>
                <w:szCs w:val="14"/>
                <w:color w:val="auto"/>
              </w:rPr>
              <w:t>OWELL</w:t>
            </w:r>
            <w:r>
              <w:rPr>
                <w:rFonts w:ascii="Arial" w:cs="Arial" w:eastAsia="Arial" w:hAnsi="Arial"/>
                <w:sz w:val="18"/>
                <w:szCs w:val="18"/>
                <w:color w:val="auto"/>
              </w:rPr>
              <w:t xml:space="preserve"> H</w:t>
            </w:r>
            <w:r>
              <w:rPr>
                <w:rFonts w:ascii="Arial" w:cs="Arial" w:eastAsia="Arial" w:hAnsi="Arial"/>
                <w:sz w:val="14"/>
                <w:szCs w:val="14"/>
                <w:color w:val="auto"/>
              </w:rPr>
              <w:t>OUSE</w:t>
            </w:r>
            <w:r>
              <w:rPr>
                <w:rFonts w:ascii="Arial" w:cs="Arial" w:eastAsia="Arial" w:hAnsi="Arial"/>
                <w:sz w:val="18"/>
                <w:szCs w:val="18"/>
                <w:color w:val="auto"/>
              </w:rPr>
              <w:t xml:space="preserve"> C</w:t>
            </w:r>
            <w:r>
              <w:rPr>
                <w:rFonts w:ascii="Arial" w:cs="Arial" w:eastAsia="Arial" w:hAnsi="Arial"/>
                <w:sz w:val="14"/>
                <w:szCs w:val="14"/>
                <w:color w:val="auto"/>
              </w:rPr>
              <w:t>R</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OEBUCK</w:t>
            </w:r>
            <w:r>
              <w:rPr>
                <w:rFonts w:ascii="Arial" w:cs="Arial" w:eastAsia="Arial" w:hAnsi="Arial"/>
                <w:sz w:val="18"/>
                <w:szCs w:val="18"/>
                <w:color w:val="auto"/>
              </w:rPr>
              <w:t xml:space="preserve"> &amp; P</w:t>
            </w:r>
            <w:r>
              <w:rPr>
                <w:rFonts w:ascii="Arial" w:cs="Arial" w:eastAsia="Arial" w:hAnsi="Arial"/>
                <w:sz w:val="14"/>
                <w:szCs w:val="14"/>
                <w:color w:val="auto"/>
              </w:rPr>
              <w:t>ALMETTO</w:t>
            </w:r>
            <w:r>
              <w:rPr>
                <w:rFonts w:ascii="Arial" w:cs="Arial" w:eastAsia="Arial" w:hAnsi="Arial"/>
                <w:sz w:val="18"/>
                <w:szCs w:val="18"/>
                <w:color w:val="auto"/>
              </w:rPr>
              <w:t xml:space="preserve"> S</w:t>
            </w:r>
            <w:r>
              <w:rPr>
                <w:rFonts w:ascii="Arial" w:cs="Arial" w:eastAsia="Arial" w:hAnsi="Arial"/>
                <w:sz w:val="14"/>
                <w:szCs w:val="14"/>
                <w:color w:val="auto"/>
              </w:rPr>
              <w:t>TS</w:t>
            </w:r>
            <w:r>
              <w:rPr>
                <w:rFonts w:ascii="Arial" w:cs="Arial" w:eastAsia="Arial" w:hAnsi="Arial"/>
                <w:sz w:val="18"/>
                <w:szCs w:val="18"/>
                <w:color w:val="auto"/>
              </w:rPr>
              <w:t>. B</w:t>
            </w:r>
            <w:r>
              <w:rPr>
                <w:rFonts w:ascii="Arial" w:cs="Arial" w:eastAsia="Arial" w:hAnsi="Arial"/>
                <w:sz w:val="14"/>
                <w:szCs w:val="14"/>
                <w:color w:val="auto"/>
              </w:rPr>
              <w:t>RIDGETOWN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ARBADOS</w:t>
            </w:r>
            <w:r>
              <w:rPr>
                <w:rFonts w:ascii="Arial" w:cs="Arial" w:eastAsia="Arial" w:hAnsi="Arial"/>
                <w:sz w:val="18"/>
                <w:szCs w:val="18"/>
                <w:color w:val="auto"/>
              </w:rPr>
              <w:t>, W</w:t>
            </w:r>
            <w:r>
              <w:rPr>
                <w:rFonts w:ascii="Arial" w:cs="Arial" w:eastAsia="Arial" w:hAnsi="Arial"/>
                <w:sz w:val="14"/>
                <w:szCs w:val="14"/>
                <w:color w:val="auto"/>
              </w:rPr>
              <w:t>EST</w:t>
            </w:r>
            <w:r>
              <w:rPr>
                <w:rFonts w:ascii="Arial" w:cs="Arial" w:eastAsia="Arial" w:hAnsi="Arial"/>
                <w:sz w:val="18"/>
                <w:szCs w:val="18"/>
                <w:color w:val="auto"/>
              </w:rPr>
              <w:t xml:space="preserve"> I</w:t>
            </w:r>
            <w:r>
              <w:rPr>
                <w:rFonts w:ascii="Arial" w:cs="Arial" w:eastAsia="Arial" w:hAnsi="Arial"/>
                <w:sz w:val="14"/>
                <w:szCs w:val="14"/>
                <w:color w:val="auto"/>
              </w:rPr>
              <w:t>NDIES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Common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0.7%</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CT T</w:t>
            </w:r>
            <w:r>
              <w:rPr>
                <w:rFonts w:ascii="Arial" w:cs="Arial" w:eastAsia="Arial" w:hAnsi="Arial"/>
                <w:sz w:val="14"/>
                <w:szCs w:val="14"/>
                <w:color w:val="auto"/>
              </w:rPr>
              <w:t>ECHNOLOGIES</w:t>
            </w:r>
            <w:r>
              <w:rPr>
                <w:rFonts w:ascii="Arial" w:cs="Arial" w:eastAsia="Arial" w:hAnsi="Arial"/>
                <w:sz w:val="18"/>
                <w:szCs w:val="18"/>
                <w:color w:val="auto"/>
              </w:rPr>
              <w:t xml:space="preserve"> I</w:t>
            </w:r>
            <w:r>
              <w:rPr>
                <w:rFonts w:ascii="Arial" w:cs="Arial" w:eastAsia="Arial" w:hAnsi="Arial"/>
                <w:sz w:val="14"/>
                <w:szCs w:val="14"/>
                <w:color w:val="auto"/>
              </w:rPr>
              <w:t>NTERMEDIATE</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Common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10.7%</w:t>
            </w:r>
            <w:r>
              <w:rPr>
                <w:rFonts w:ascii="Arial" w:cs="Arial" w:eastAsia="Arial" w:hAnsi="Arial"/>
                <w:sz w:val="11"/>
                <w:szCs w:val="11"/>
                <w:color w:val="auto"/>
                <w:w w:val="89"/>
              </w:rPr>
              <w:t>(2)</w:t>
            </w: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875 N</w:t>
            </w:r>
            <w:r>
              <w:rPr>
                <w:rFonts w:ascii="Arial" w:cs="Arial" w:eastAsia="Arial" w:hAnsi="Arial"/>
                <w:sz w:val="14"/>
                <w:szCs w:val="14"/>
                <w:color w:val="auto"/>
              </w:rPr>
              <w:t>ORTH</w:t>
            </w:r>
            <w:r>
              <w:rPr>
                <w:rFonts w:ascii="Arial" w:cs="Arial" w:eastAsia="Arial" w:hAnsi="Arial"/>
                <w:sz w:val="18"/>
                <w:szCs w:val="18"/>
                <w:color w:val="auto"/>
              </w:rPr>
              <w:t xml:space="preserve"> M</w:t>
            </w:r>
            <w:r>
              <w:rPr>
                <w:rFonts w:ascii="Arial" w:cs="Arial" w:eastAsia="Arial" w:hAnsi="Arial"/>
                <w:sz w:val="14"/>
                <w:szCs w:val="14"/>
                <w:color w:val="auto"/>
              </w:rPr>
              <w:t>ICHIGAN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HICAGO</w:t>
            </w:r>
            <w:r>
              <w:rPr>
                <w:rFonts w:ascii="Arial" w:cs="Arial" w:eastAsia="Arial" w:hAnsi="Arial"/>
                <w:sz w:val="18"/>
                <w:szCs w:val="18"/>
                <w:color w:val="auto"/>
              </w:rPr>
              <w:t xml:space="preserve"> IL 60601</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IGICEL</w:t>
            </w:r>
            <w:r>
              <w:rPr>
                <w:rFonts w:ascii="Arial" w:cs="Arial" w:eastAsia="Arial" w:hAnsi="Arial"/>
                <w:sz w:val="18"/>
                <w:szCs w:val="18"/>
                <w:color w:val="auto"/>
              </w:rPr>
              <w:t xml:space="preserve"> LTD.</w:t>
            </w:r>
          </w:p>
        </w:tc>
        <w:tc>
          <w:tcPr>
            <w:tcW w:w="240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YOLL</w:t>
            </w:r>
            <w:r>
              <w:rPr>
                <w:rFonts w:ascii="Arial" w:cs="Arial" w:eastAsia="Arial" w:hAnsi="Arial"/>
                <w:sz w:val="18"/>
                <w:szCs w:val="18"/>
                <w:color w:val="auto"/>
              </w:rPr>
              <w:t xml:space="preserve"> B</w:t>
            </w:r>
            <w:r>
              <w:rPr>
                <w:rFonts w:ascii="Arial" w:cs="Arial" w:eastAsia="Arial" w:hAnsi="Arial"/>
                <w:sz w:val="14"/>
                <w:szCs w:val="14"/>
                <w:color w:val="auto"/>
              </w:rPr>
              <w:t>UILDING</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40 K</w:t>
            </w:r>
            <w:r>
              <w:rPr>
                <w:rFonts w:ascii="Arial" w:cs="Arial" w:eastAsia="Arial" w:hAnsi="Arial"/>
                <w:sz w:val="14"/>
                <w:szCs w:val="14"/>
                <w:color w:val="auto"/>
              </w:rPr>
              <w:t>NUTSFORD</w:t>
            </w:r>
            <w:r>
              <w:rPr>
                <w:rFonts w:ascii="Arial" w:cs="Arial" w:eastAsia="Arial" w:hAnsi="Arial"/>
                <w:sz w:val="18"/>
                <w:szCs w:val="18"/>
                <w:color w:val="auto"/>
              </w:rPr>
              <w:t xml:space="preserve"> B</w:t>
            </w:r>
            <w:r>
              <w:rPr>
                <w:rFonts w:ascii="Arial" w:cs="Arial" w:eastAsia="Arial" w:hAnsi="Arial"/>
                <w:sz w:val="14"/>
                <w:szCs w:val="14"/>
                <w:color w:val="auto"/>
              </w:rPr>
              <w:t>OULEVARD</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INGSTON</w:t>
            </w:r>
            <w:r>
              <w:rPr>
                <w:rFonts w:ascii="Arial" w:cs="Arial" w:eastAsia="Arial" w:hAnsi="Arial"/>
                <w:sz w:val="18"/>
                <w:szCs w:val="18"/>
                <w:color w:val="auto"/>
              </w:rPr>
              <w:t xml:space="preserve"> 5,</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AMAICA</w:t>
            </w:r>
            <w:r>
              <w:rPr>
                <w:rFonts w:ascii="Arial" w:cs="Arial" w:eastAsia="Arial" w:hAnsi="Arial"/>
                <w:sz w:val="18"/>
                <w:szCs w:val="18"/>
                <w:color w:val="auto"/>
              </w:rPr>
              <w:t>, W.I.</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NVIROSOLUTIONS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NVIRONMENTAL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11220 A</w:t>
            </w:r>
            <w:r>
              <w:rPr>
                <w:rFonts w:ascii="Arial" w:cs="Arial" w:eastAsia="Arial" w:hAnsi="Arial"/>
                <w:sz w:val="14"/>
                <w:szCs w:val="14"/>
                <w:color w:val="auto"/>
              </w:rPr>
              <w:t>SSET</w:t>
            </w:r>
            <w:r>
              <w:rPr>
                <w:rFonts w:ascii="Arial" w:cs="Arial" w:eastAsia="Arial" w:hAnsi="Arial"/>
                <w:sz w:val="18"/>
                <w:szCs w:val="18"/>
                <w:color w:val="auto"/>
              </w:rPr>
              <w:t xml:space="preserve"> L</w:t>
            </w:r>
            <w:r>
              <w:rPr>
                <w:rFonts w:ascii="Arial" w:cs="Arial" w:eastAsia="Arial" w:hAnsi="Arial"/>
                <w:sz w:val="14"/>
                <w:szCs w:val="14"/>
                <w:color w:val="auto"/>
              </w:rPr>
              <w:t>OOP</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201</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ANASSAS</w:t>
            </w:r>
            <w:r>
              <w:rPr>
                <w:rFonts w:ascii="Arial" w:cs="Arial" w:eastAsia="Arial" w:hAnsi="Arial"/>
                <w:sz w:val="18"/>
                <w:szCs w:val="18"/>
                <w:color w:val="auto"/>
              </w:rPr>
              <w:t>, VA 20109</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AIRWAY</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OMPANY</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ROCERY</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line="217" w:lineRule="exact"/>
              <w:rPr>
                <w:sz w:val="20"/>
                <w:szCs w:val="20"/>
                <w:color w:val="auto"/>
              </w:rPr>
            </w:pPr>
            <w:r>
              <w:rPr>
                <w:rFonts w:ascii="Arial" w:cs="Arial" w:eastAsia="Arial" w:hAnsi="Arial"/>
                <w:sz w:val="18"/>
                <w:szCs w:val="18"/>
                <w:color w:val="auto"/>
              </w:rPr>
              <w:t>2284 12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10027</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24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1.9%</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 S</w:t>
            </w:r>
            <w:r>
              <w:rPr>
                <w:rFonts w:ascii="Arial" w:cs="Arial" w:eastAsia="Arial" w:hAnsi="Arial"/>
                <w:sz w:val="14"/>
                <w:szCs w:val="14"/>
                <w:color w:val="auto"/>
              </w:rPr>
              <w:t>TE</w:t>
            </w:r>
            <w:r>
              <w:rPr>
                <w:rFonts w:ascii="Arial" w:cs="Arial" w:eastAsia="Arial" w:hAnsi="Arial"/>
                <w:sz w:val="18"/>
                <w:szCs w:val="18"/>
                <w:color w:val="auto"/>
              </w:rPr>
              <w:t>. 300</w:t>
            </w:r>
            <w:r>
              <w:rPr>
                <w:rFonts w:ascii="Arial" w:cs="Arial" w:eastAsia="Arial" w:hAnsi="Arial"/>
                <w:sz w:val="14"/>
                <w:szCs w:val="14"/>
                <w:color w:val="auto"/>
              </w:rPr>
              <w: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TX 75251-1803</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t>
            </w:r>
            <w:r>
              <w:rPr>
                <w:rFonts w:ascii="Arial" w:cs="Arial" w:eastAsia="Arial" w:hAnsi="Arial"/>
                <w:sz w:val="14"/>
                <w:szCs w:val="14"/>
                <w:color w:val="auto"/>
              </w:rPr>
              <w:t>WOOD</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t>
            </w:r>
            <w:r>
              <w:rPr>
                <w:rFonts w:ascii="Arial" w:cs="Arial" w:eastAsia="Arial" w:hAnsi="Arial"/>
                <w:sz w:val="14"/>
                <w:szCs w:val="14"/>
                <w:color w:val="auto"/>
              </w:rPr>
              <w:t>W</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 xml:space="preserve"> 600</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04"/>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EADWATERS</w:t>
            </w:r>
            <w:r>
              <w:rPr>
                <w:rFonts w:ascii="Arial" w:cs="Arial" w:eastAsia="Arial" w:hAnsi="Arial"/>
                <w:sz w:val="18"/>
                <w:szCs w:val="18"/>
                <w:color w:val="auto"/>
              </w:rPr>
              <w:t xml:space="preserve"> I</w:t>
            </w:r>
            <w:r>
              <w:rPr>
                <w:rFonts w:ascii="Arial" w:cs="Arial" w:eastAsia="Arial" w:hAnsi="Arial"/>
                <w:sz w:val="14"/>
                <w:szCs w:val="14"/>
                <w:color w:val="auto"/>
              </w:rPr>
              <w:t>NCORPORATED</w:t>
            </w:r>
          </w:p>
        </w:tc>
        <w:tc>
          <w:tcPr>
            <w:tcW w:w="24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IVERSIFIED</w:t>
            </w:r>
            <w:r>
              <w:rPr>
                <w:rFonts w:ascii="Arial" w:cs="Arial" w:eastAsia="Arial" w:hAnsi="Arial"/>
                <w:sz w:val="18"/>
                <w:szCs w:val="18"/>
                <w:color w:val="auto"/>
              </w:rPr>
              <w:t xml:space="preserve"> / C</w:t>
            </w:r>
            <w:r>
              <w:rPr>
                <w:rFonts w:ascii="Arial" w:cs="Arial" w:eastAsia="Arial" w:hAnsi="Arial"/>
                <w:sz w:val="14"/>
                <w:szCs w:val="14"/>
                <w:color w:val="auto"/>
              </w:rPr>
              <w:t>ONGLOMERATE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10653 S</w:t>
            </w:r>
            <w:r>
              <w:rPr>
                <w:rFonts w:ascii="Arial" w:cs="Arial" w:eastAsia="Arial" w:hAnsi="Arial"/>
                <w:sz w:val="14"/>
                <w:szCs w:val="14"/>
                <w:color w:val="auto"/>
              </w:rPr>
              <w:t>OUTH</w:t>
            </w:r>
            <w:r>
              <w:rPr>
                <w:rFonts w:ascii="Arial" w:cs="Arial" w:eastAsia="Arial" w:hAnsi="Arial"/>
                <w:sz w:val="18"/>
                <w:szCs w:val="18"/>
                <w:color w:val="auto"/>
              </w:rPr>
              <w:t xml:space="preserve"> R</w:t>
            </w:r>
            <w:r>
              <w:rPr>
                <w:rFonts w:ascii="Arial" w:cs="Arial" w:eastAsia="Arial" w:hAnsi="Arial"/>
                <w:sz w:val="14"/>
                <w:szCs w:val="14"/>
                <w:color w:val="auto"/>
              </w:rPr>
              <w:t>IVER</w:t>
            </w:r>
            <w:r>
              <w:rPr>
                <w:rFonts w:ascii="Arial" w:cs="Arial" w:eastAsia="Arial" w:hAnsi="Arial"/>
                <w:sz w:val="18"/>
                <w:szCs w:val="18"/>
                <w:color w:val="auto"/>
              </w:rPr>
              <w:t xml:space="preserve"> F</w:t>
            </w:r>
            <w:r>
              <w:rPr>
                <w:rFonts w:ascii="Arial" w:cs="Arial" w:eastAsia="Arial" w:hAnsi="Arial"/>
                <w:sz w:val="14"/>
                <w:szCs w:val="14"/>
                <w:color w:val="auto"/>
              </w:rPr>
              <w:t>RONT</w:t>
            </w:r>
            <w:r>
              <w:rPr>
                <w:rFonts w:ascii="Arial" w:cs="Arial" w:eastAsia="Arial" w:hAnsi="Arial"/>
                <w:sz w:val="18"/>
                <w:szCs w:val="18"/>
                <w:color w:val="auto"/>
              </w:rPr>
              <w:t xml:space="preserve"> P</w:t>
            </w:r>
            <w:r>
              <w:rPr>
                <w:rFonts w:ascii="Arial" w:cs="Arial" w:eastAsia="Arial" w:hAnsi="Arial"/>
                <w:sz w:val="14"/>
                <w:szCs w:val="14"/>
                <w:color w:val="auto"/>
              </w:rPr>
              <w:t>ARKWAY</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J</w:t>
            </w:r>
            <w:r>
              <w:rPr>
                <w:rFonts w:ascii="Arial" w:cs="Arial" w:eastAsia="Arial" w:hAnsi="Arial"/>
                <w:sz w:val="14"/>
                <w:szCs w:val="14"/>
                <w:color w:val="auto"/>
              </w:rPr>
              <w:t>ORDAN</w:t>
            </w:r>
            <w:r>
              <w:rPr>
                <w:rFonts w:ascii="Arial" w:cs="Arial" w:eastAsia="Arial" w:hAnsi="Arial"/>
                <w:sz w:val="18"/>
                <w:szCs w:val="18"/>
                <w:color w:val="auto"/>
              </w:rPr>
              <w:t>, U</w:t>
            </w:r>
            <w:r>
              <w:rPr>
                <w:rFonts w:ascii="Arial" w:cs="Arial" w:eastAsia="Arial" w:hAnsi="Arial"/>
                <w:sz w:val="14"/>
                <w:szCs w:val="14"/>
                <w:color w:val="auto"/>
              </w:rPr>
              <w:t>TAH</w:t>
            </w:r>
            <w:r>
              <w:rPr>
                <w:rFonts w:ascii="Arial" w:cs="Arial" w:eastAsia="Arial" w:hAnsi="Arial"/>
                <w:sz w:val="18"/>
                <w:szCs w:val="18"/>
                <w:color w:val="auto"/>
              </w:rPr>
              <w:t xml:space="preserve"> 84095</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0" w:type="dxa"/>
            <w:vAlign w:val="bottom"/>
          </w:tcPr>
          <w:p>
            <w:pPr>
              <w:jc w:val="right"/>
              <w:ind w:right="179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58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20" w:type="dxa"/>
            <w:vAlign w:val="bottom"/>
          </w:tcPr>
          <w:p>
            <w:pPr>
              <w:spacing w:after="0"/>
              <w:rPr>
                <w:sz w:val="17"/>
                <w:szCs w:val="17"/>
                <w:color w:val="auto"/>
              </w:rPr>
            </w:pP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i2 H</w:t>
            </w:r>
            <w:r>
              <w:rPr>
                <w:rFonts w:ascii="Arial" w:cs="Arial" w:eastAsia="Arial" w:hAnsi="Arial"/>
                <w:sz w:val="14"/>
                <w:szCs w:val="14"/>
                <w:color w:val="auto"/>
              </w:rPr>
              <w:t>OLDINGS</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6.4%</w:t>
            </w:r>
            <w:r>
              <w:rPr>
                <w:rFonts w:ascii="Arial" w:cs="Arial" w:eastAsia="Arial" w:hAnsi="Arial"/>
                <w:sz w:val="11"/>
                <w:szCs w:val="11"/>
                <w:color w:val="auto"/>
                <w:w w:val="91"/>
              </w:rPr>
              <w:t>(2)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V</w:t>
            </w:r>
            <w:r>
              <w:rPr>
                <w:rFonts w:ascii="Arial" w:cs="Arial" w:eastAsia="Arial" w:hAnsi="Arial"/>
                <w:sz w:val="14"/>
                <w:szCs w:val="14"/>
                <w:color w:val="auto"/>
              </w:rPr>
              <w:t>ISUAL</w:t>
            </w:r>
            <w:r>
              <w:rPr>
                <w:rFonts w:ascii="Arial" w:cs="Arial" w:eastAsia="Arial" w:hAnsi="Arial"/>
                <w:sz w:val="18"/>
                <w:szCs w:val="18"/>
                <w:color w:val="auto"/>
              </w:rPr>
              <w:t xml:space="preserve"> S</w:t>
            </w:r>
            <w:r>
              <w:rPr>
                <w:rFonts w:ascii="Arial" w:cs="Arial" w:eastAsia="Arial" w:hAnsi="Arial"/>
                <w:sz w:val="14"/>
                <w:szCs w:val="14"/>
                <w:color w:val="auto"/>
              </w:rPr>
              <w:t>PACE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ULBOURN</w:t>
            </w:r>
            <w:r>
              <w:rPr>
                <w:rFonts w:ascii="Arial" w:cs="Arial" w:eastAsia="Arial" w:hAnsi="Arial"/>
                <w:sz w:val="18"/>
                <w:szCs w:val="18"/>
                <w:color w:val="auto"/>
              </w:rPr>
              <w:t xml:space="preserve"> C</w:t>
            </w:r>
            <w:r>
              <w:rPr>
                <w:rFonts w:ascii="Arial" w:cs="Arial" w:eastAsia="Arial" w:hAnsi="Arial"/>
                <w:sz w:val="14"/>
                <w:szCs w:val="14"/>
                <w:color w:val="auto"/>
              </w:rPr>
              <w:t>AMBRIDGESHIRE</w:t>
            </w:r>
            <w:r>
              <w:rPr>
                <w:rFonts w:ascii="Arial" w:cs="Arial" w:eastAsia="Arial" w:hAnsi="Arial"/>
                <w:sz w:val="18"/>
                <w:szCs w:val="18"/>
                <w:color w:val="auto"/>
              </w:rPr>
              <w:t>, CB215</w:t>
            </w:r>
            <w:r>
              <w:rPr>
                <w:rFonts w:ascii="Arial" w:cs="Arial" w:eastAsia="Arial" w:hAnsi="Arial"/>
                <w:sz w:val="14"/>
                <w:szCs w:val="14"/>
                <w:color w:val="auto"/>
              </w:rPr>
              <w:t>XH</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INGDOM</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r>
              <w:rPr>
                <w:rFonts w:ascii="Arial" w:cs="Arial" w:eastAsia="Arial" w:hAnsi="Arial"/>
                <w:sz w:val="14"/>
                <w:szCs w:val="14"/>
                <w:color w:val="auto"/>
              </w:rPr>
              <w:t>WEST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(U.S.)</w:t>
            </w:r>
          </w:p>
        </w:tc>
        <w:tc>
          <w:tcPr>
            <w:tcW w:w="35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21333 H</w:t>
            </w:r>
            <w:r>
              <w:rPr>
                <w:rFonts w:ascii="Arial" w:cs="Arial" w:eastAsia="Arial" w:hAnsi="Arial"/>
                <w:sz w:val="14"/>
                <w:szCs w:val="14"/>
                <w:color w:val="auto"/>
              </w:rPr>
              <w:t>AGGERTY</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 N</w:t>
            </w:r>
            <w:r>
              <w:rPr>
                <w:rFonts w:ascii="Arial" w:cs="Arial" w:eastAsia="Arial" w:hAnsi="Arial"/>
                <w:sz w:val="14"/>
                <w:szCs w:val="14"/>
                <w:color w:val="auto"/>
              </w:rPr>
              <w:t>OVI</w:t>
            </w:r>
            <w:r>
              <w:rPr>
                <w:rFonts w:ascii="Arial" w:cs="Arial" w:eastAsia="Arial" w:hAnsi="Arial"/>
                <w:sz w:val="18"/>
                <w:szCs w:val="18"/>
                <w:color w:val="auto"/>
              </w:rPr>
              <w:t>, M</w:t>
            </w:r>
            <w:r>
              <w:rPr>
                <w:rFonts w:ascii="Arial" w:cs="Arial" w:eastAsia="Arial" w:hAnsi="Arial"/>
                <w:sz w:val="14"/>
                <w:szCs w:val="14"/>
                <w:color w:val="auto"/>
              </w:rPr>
              <w:t>ICHIGAN</w:t>
            </w:r>
            <w:r>
              <w:rPr>
                <w:rFonts w:ascii="Arial" w:cs="Arial" w:eastAsia="Arial" w:hAnsi="Arial"/>
                <w:sz w:val="18"/>
                <w:szCs w:val="18"/>
                <w:color w:val="auto"/>
              </w:rPr>
              <w:t xml:space="preserve"> 48375</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 xml:space="preserve"> C</w:t>
            </w:r>
            <w:r>
              <w:rPr>
                <w:rFonts w:ascii="Arial" w:cs="Arial" w:eastAsia="Arial" w:hAnsi="Arial"/>
                <w:sz w:val="14"/>
                <w:szCs w:val="14"/>
                <w:color w:val="auto"/>
              </w:rPr>
              <w:t>HEMICAL</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HEMICALS</w:t>
            </w:r>
            <w:r>
              <w:rPr>
                <w:rFonts w:ascii="Arial" w:cs="Arial" w:eastAsia="Arial" w:hAnsi="Arial"/>
                <w:sz w:val="18"/>
                <w:szCs w:val="18"/>
                <w:color w:val="auto"/>
                <w:w w:val="99"/>
              </w:rPr>
              <w:t>, P</w:t>
            </w:r>
            <w:r>
              <w:rPr>
                <w:rFonts w:ascii="Arial" w:cs="Arial" w:eastAsia="Arial" w:hAnsi="Arial"/>
                <w:sz w:val="14"/>
                <w:szCs w:val="14"/>
                <w:color w:val="auto"/>
                <w:w w:val="99"/>
              </w:rPr>
              <w:t>LASTICS</w:t>
            </w:r>
            <w:r>
              <w:rPr>
                <w:rFonts w:ascii="Arial" w:cs="Arial" w:eastAsia="Arial" w:hAnsi="Arial"/>
                <w:sz w:val="18"/>
                <w:szCs w:val="18"/>
                <w:color w:val="auto"/>
                <w:w w:val="99"/>
              </w:rPr>
              <w:t>, &amp; R</w:t>
            </w:r>
            <w:r>
              <w:rPr>
                <w:rFonts w:ascii="Arial" w:cs="Arial" w:eastAsia="Arial" w:hAnsi="Arial"/>
                <w:sz w:val="14"/>
                <w:szCs w:val="14"/>
                <w:color w:val="auto"/>
                <w:w w:val="99"/>
              </w:rPr>
              <w:t>UBBER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YONDELLBASELL</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1221 M</w:t>
            </w:r>
            <w:r>
              <w:rPr>
                <w:rFonts w:ascii="Arial" w:cs="Arial" w:eastAsia="Arial" w:hAnsi="Arial"/>
                <w:sz w:val="14"/>
                <w:szCs w:val="14"/>
                <w:color w:val="auto"/>
              </w:rPr>
              <w:t>CKINNEY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77010</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OHEGAN</w:t>
            </w:r>
            <w:r>
              <w:rPr>
                <w:rFonts w:ascii="Arial" w:cs="Arial" w:eastAsia="Arial" w:hAnsi="Arial"/>
                <w:sz w:val="18"/>
                <w:szCs w:val="18"/>
                <w:color w:val="auto"/>
              </w:rPr>
              <w:t xml:space="preserve"> T</w:t>
            </w:r>
            <w:r>
              <w:rPr>
                <w:rFonts w:ascii="Arial" w:cs="Arial" w:eastAsia="Arial" w:hAnsi="Arial"/>
                <w:sz w:val="14"/>
                <w:szCs w:val="14"/>
                <w:color w:val="auto"/>
              </w:rPr>
              <w:t>RIBAL</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A</w:t>
            </w:r>
            <w:r>
              <w:rPr>
                <w:rFonts w:ascii="Arial" w:cs="Arial" w:eastAsia="Arial" w:hAnsi="Arial"/>
                <w:sz w:val="14"/>
                <w:szCs w:val="14"/>
                <w:color w:val="auto"/>
              </w:rPr>
              <w:t>UTHORITY</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M</w:t>
            </w:r>
            <w:r>
              <w:rPr>
                <w:rFonts w:ascii="Arial" w:cs="Arial" w:eastAsia="Arial" w:hAnsi="Arial"/>
                <w:sz w:val="14"/>
                <w:szCs w:val="14"/>
                <w:color w:val="auto"/>
              </w:rPr>
              <w:t>OHEGAN</w:t>
            </w:r>
            <w:r>
              <w:rPr>
                <w:rFonts w:ascii="Arial" w:cs="Arial" w:eastAsia="Arial" w:hAnsi="Arial"/>
                <w:sz w:val="18"/>
                <w:szCs w:val="18"/>
                <w:color w:val="auto"/>
              </w:rPr>
              <w:t xml:space="preserve"> S</w:t>
            </w:r>
            <w:r>
              <w:rPr>
                <w:rFonts w:ascii="Arial" w:cs="Arial" w:eastAsia="Arial" w:hAnsi="Arial"/>
                <w:sz w:val="14"/>
                <w:szCs w:val="14"/>
                <w:color w:val="auto"/>
              </w:rPr>
              <w:t>UN</w:t>
            </w:r>
            <w:r>
              <w:rPr>
                <w:rFonts w:ascii="Arial" w:cs="Arial" w:eastAsia="Arial" w:hAnsi="Arial"/>
                <w:sz w:val="18"/>
                <w:szCs w:val="18"/>
                <w:color w:val="auto"/>
              </w:rPr>
              <w:t xml:space="preserve"> B</w:t>
            </w:r>
            <w:r>
              <w:rPr>
                <w:rFonts w:ascii="Arial" w:cs="Arial" w:eastAsia="Arial" w:hAnsi="Arial"/>
                <w:sz w:val="14"/>
                <w:szCs w:val="14"/>
                <w:color w:val="auto"/>
              </w:rPr>
              <w:t>OULEVARD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NCASVILLE</w:t>
            </w:r>
            <w:r>
              <w:rPr>
                <w:rFonts w:ascii="Arial" w:cs="Arial" w:eastAsia="Arial" w:hAnsi="Arial"/>
                <w:sz w:val="18"/>
                <w:szCs w:val="18"/>
                <w:color w:val="auto"/>
              </w:rPr>
              <w:t>, CT 06382</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9"/>
                <w:szCs w:val="9"/>
                <w:color w:val="auto"/>
              </w:rPr>
              <w:t>TH</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MG</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4.9%</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FORMERLY</w:t>
            </w:r>
            <w:r>
              <w:rPr>
                <w:rFonts w:ascii="Arial" w:cs="Arial" w:eastAsia="Arial" w:hAnsi="Arial"/>
                <w:sz w:val="18"/>
                <w:szCs w:val="18"/>
                <w:color w:val="auto"/>
              </w:rPr>
              <w:t xml:space="preserve"> 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ind w:left="2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40" w:type="dxa"/>
            <w:vAlign w:val="bottom"/>
          </w:tcPr>
          <w:p>
            <w:pPr>
              <w:jc w:val="right"/>
              <w:ind w:right="177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20" w:type="dxa"/>
            <w:vAlign w:val="bottom"/>
          </w:tcPr>
          <w:p>
            <w:pPr>
              <w:spacing w:after="0"/>
              <w:rPr>
                <w:sz w:val="17"/>
                <w:szCs w:val="17"/>
                <w:color w:val="auto"/>
              </w:rPr>
            </w:pPr>
          </w:p>
        </w:tc>
        <w:tc>
          <w:tcPr>
            <w:tcW w:w="33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UILDINGS</w:t>
            </w:r>
            <w:r>
              <w:rPr>
                <w:rFonts w:ascii="Arial" w:cs="Arial" w:eastAsia="Arial" w:hAnsi="Arial"/>
                <w:sz w:val="18"/>
                <w:szCs w:val="18"/>
                <w:color w:val="auto"/>
                <w:w w:val="99"/>
              </w:rPr>
              <w:t xml:space="preserve"> &amp; R</w:t>
            </w:r>
            <w:r>
              <w:rPr>
                <w:rFonts w:ascii="Arial" w:cs="Arial" w:eastAsia="Arial" w:hAnsi="Arial"/>
                <w:sz w:val="14"/>
                <w:szCs w:val="14"/>
                <w:color w:val="auto"/>
                <w:w w:val="99"/>
              </w:rPr>
              <w:t>EAL</w:t>
            </w:r>
            <w:r>
              <w:rPr>
                <w:rFonts w:ascii="Arial" w:cs="Arial" w:eastAsia="Arial" w:hAnsi="Arial"/>
                <w:sz w:val="18"/>
                <w:szCs w:val="18"/>
                <w:color w:val="auto"/>
                <w:w w:val="99"/>
              </w:rPr>
              <w:t xml:space="preserve"> E</w:t>
            </w:r>
            <w:r>
              <w:rPr>
                <w:rFonts w:ascii="Arial" w:cs="Arial" w:eastAsia="Arial" w:hAnsi="Arial"/>
                <w:sz w:val="14"/>
                <w:szCs w:val="14"/>
                <w:color w:val="auto"/>
                <w:w w:val="99"/>
              </w:rPr>
              <w:t>STATE</w:t>
            </w:r>
          </w:p>
        </w:tc>
        <w:tc>
          <w:tcPr>
            <w:tcW w:w="10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32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14"/>
                <w:szCs w:val="14"/>
                <w:color w:val="auto"/>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p>
        </w:tc>
        <w:tc>
          <w:tcPr>
            <w:tcW w:w="33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 R</w:t>
            </w:r>
            <w:r>
              <w:rPr>
                <w:rFonts w:ascii="Arial" w:cs="Arial" w:eastAsia="Arial" w:hAnsi="Arial"/>
                <w:sz w:val="14"/>
                <w:szCs w:val="14"/>
                <w:color w:val="auto"/>
              </w:rPr>
              <w:t>UBBER</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ind w:left="2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UGARHOUSE</w:t>
            </w:r>
            <w:r>
              <w:rPr>
                <w:rFonts w:ascii="Arial" w:cs="Arial" w:eastAsia="Arial" w:hAnsi="Arial"/>
                <w:sz w:val="18"/>
                <w:szCs w:val="18"/>
                <w:color w:val="auto"/>
              </w:rPr>
              <w:t xml:space="preserve"> H</w:t>
            </w:r>
            <w:r>
              <w:rPr>
                <w:rFonts w:ascii="Arial" w:cs="Arial" w:eastAsia="Arial" w:hAnsi="Arial"/>
                <w:sz w:val="14"/>
                <w:szCs w:val="14"/>
                <w:color w:val="auto"/>
              </w:rPr>
              <w:t>SP</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P</w:t>
            </w:r>
            <w:r>
              <w:rPr>
                <w:rFonts w:ascii="Arial" w:cs="Arial" w:eastAsia="Arial" w:hAnsi="Arial"/>
                <w:sz w:val="14"/>
                <w:szCs w:val="14"/>
                <w:color w:val="auto"/>
              </w:rPr>
              <w:t>ROP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1080</w:t>
            </w:r>
            <w:r>
              <w:rPr>
                <w:rFonts w:ascii="Arial" w:cs="Arial" w:eastAsia="Arial" w:hAnsi="Arial"/>
                <w:sz w:val="14"/>
                <w:szCs w:val="14"/>
                <w:color w:val="auto"/>
              </w:rPr>
              <w:t>N</w:t>
            </w:r>
            <w:r>
              <w:rPr>
                <w:rFonts w:ascii="Arial" w:cs="Arial" w:eastAsia="Arial" w:hAnsi="Arial"/>
                <w:sz w:val="18"/>
                <w:szCs w:val="18"/>
                <w:color w:val="auto"/>
              </w:rPr>
              <w:t>. D</w:t>
            </w:r>
            <w:r>
              <w:rPr>
                <w:rFonts w:ascii="Arial" w:cs="Arial" w:eastAsia="Arial" w:hAnsi="Arial"/>
                <w:sz w:val="14"/>
                <w:szCs w:val="14"/>
                <w:color w:val="auto"/>
              </w:rPr>
              <w:t>ELAWARE</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HILADELPHIA</w:t>
            </w:r>
            <w:r>
              <w:rPr>
                <w:rFonts w:ascii="Arial" w:cs="Arial" w:eastAsia="Arial" w:hAnsi="Arial"/>
                <w:sz w:val="18"/>
                <w:szCs w:val="18"/>
                <w:color w:val="auto"/>
              </w:rPr>
              <w:t>, P</w:t>
            </w:r>
            <w:r>
              <w:rPr>
                <w:rFonts w:ascii="Arial" w:cs="Arial" w:eastAsia="Arial" w:hAnsi="Arial"/>
                <w:sz w:val="14"/>
                <w:szCs w:val="14"/>
                <w:color w:val="auto"/>
              </w:rPr>
              <w:t>ENNSYLVANIA</w:t>
            </w:r>
            <w:r>
              <w:rPr>
                <w:rFonts w:ascii="Arial" w:cs="Arial" w:eastAsia="Arial" w:hAnsi="Arial"/>
                <w:sz w:val="18"/>
                <w:szCs w:val="18"/>
                <w:color w:val="auto"/>
              </w:rPr>
              <w:t xml:space="preserve"> 19125</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RAK</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 Warrants</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3.5%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1001 B</w:t>
            </w:r>
            <w:r>
              <w:rPr>
                <w:rFonts w:ascii="Arial" w:cs="Arial" w:eastAsia="Arial" w:hAnsi="Arial"/>
                <w:sz w:val="14"/>
                <w:szCs w:val="14"/>
                <w:color w:val="auto"/>
              </w:rPr>
              <w:t>RICKELL</w:t>
            </w:r>
            <w:r>
              <w:rPr>
                <w:rFonts w:ascii="Arial" w:cs="Arial" w:eastAsia="Arial" w:hAnsi="Arial"/>
                <w:sz w:val="18"/>
                <w:szCs w:val="18"/>
                <w:color w:val="auto"/>
              </w:rPr>
              <w:t xml:space="preserve"> B</w:t>
            </w:r>
            <w:r>
              <w:rPr>
                <w:rFonts w:ascii="Arial" w:cs="Arial" w:eastAsia="Arial" w:hAnsi="Arial"/>
                <w:sz w:val="14"/>
                <w:szCs w:val="14"/>
                <w:color w:val="auto"/>
              </w:rPr>
              <w:t>AY</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 xml:space="preserve"> 27</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IAMI</w:t>
            </w:r>
            <w:r>
              <w:rPr>
                <w:rFonts w:ascii="Arial" w:cs="Arial" w:eastAsia="Arial" w:hAnsi="Arial"/>
                <w:sz w:val="18"/>
                <w:szCs w:val="18"/>
                <w:color w:val="auto"/>
              </w:rPr>
              <w:t>, FL 33131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INANCIAL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RIZETTO</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1.30%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567 S</w:t>
            </w:r>
            <w:r>
              <w:rPr>
                <w:rFonts w:ascii="Arial" w:cs="Arial" w:eastAsia="Arial" w:hAnsi="Arial"/>
                <w:sz w:val="14"/>
                <w:szCs w:val="14"/>
                <w:color w:val="auto"/>
              </w:rPr>
              <w:t>AN</w:t>
            </w:r>
            <w:r>
              <w:rPr>
                <w:rFonts w:ascii="Arial" w:cs="Arial" w:eastAsia="Arial" w:hAnsi="Arial"/>
                <w:sz w:val="18"/>
                <w:szCs w:val="18"/>
                <w:color w:val="auto"/>
              </w:rPr>
              <w:t xml:space="preserve"> N</w:t>
            </w:r>
            <w:r>
              <w:rPr>
                <w:rFonts w:ascii="Arial" w:cs="Arial" w:eastAsia="Arial" w:hAnsi="Arial"/>
                <w:sz w:val="14"/>
                <w:szCs w:val="14"/>
                <w:color w:val="auto"/>
              </w:rPr>
              <w:t>ICOLAS</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360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EWPORT</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CA 92660</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U.S. X</w:t>
            </w:r>
            <w:r>
              <w:rPr>
                <w:rFonts w:ascii="Arial" w:cs="Arial" w:eastAsia="Arial" w:hAnsi="Arial"/>
                <w:sz w:val="14"/>
                <w:szCs w:val="14"/>
                <w:color w:val="auto"/>
              </w:rPr>
              <w:t>PRESS</w:t>
            </w:r>
            <w:r>
              <w:rPr>
                <w:rFonts w:ascii="Arial" w:cs="Arial" w:eastAsia="Arial" w:hAnsi="Arial"/>
                <w:sz w:val="18"/>
                <w:szCs w:val="18"/>
                <w:color w:val="auto"/>
              </w:rPr>
              <w:t xml:space="preserve"> E</w:t>
            </w:r>
            <w:r>
              <w:rPr>
                <w:rFonts w:ascii="Arial" w:cs="Arial" w:eastAsia="Arial" w:hAnsi="Arial"/>
                <w:sz w:val="14"/>
                <w:szCs w:val="14"/>
                <w:color w:val="auto"/>
              </w:rPr>
              <w:t>NTERPRISES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4080 J</w:t>
            </w:r>
            <w:r>
              <w:rPr>
                <w:rFonts w:ascii="Arial" w:cs="Arial" w:eastAsia="Arial" w:hAnsi="Arial"/>
                <w:sz w:val="14"/>
                <w:szCs w:val="14"/>
                <w:color w:val="auto"/>
              </w:rPr>
              <w:t>ENKINS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HATTANOOGA</w:t>
            </w:r>
            <w:r>
              <w:rPr>
                <w:rFonts w:ascii="Arial" w:cs="Arial" w:eastAsia="Arial" w:hAnsi="Arial"/>
                <w:sz w:val="18"/>
                <w:szCs w:val="18"/>
                <w:color w:val="auto"/>
              </w:rPr>
              <w:t>, TN 37421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91"/>
        </w:trPr>
        <w:tc>
          <w:tcPr>
            <w:tcW w:w="43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1.05%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CO. 80202</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91"/>
        </w:trPr>
        <w:tc>
          <w:tcPr>
            <w:tcW w:w="43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ORLD</w:t>
            </w:r>
            <w:r>
              <w:rPr>
                <w:rFonts w:ascii="Arial" w:cs="Arial" w:eastAsia="Arial" w:hAnsi="Arial"/>
                <w:sz w:val="18"/>
                <w:szCs w:val="18"/>
                <w:color w:val="auto"/>
              </w:rPr>
              <w:t xml:space="preserve"> C</w:t>
            </w:r>
            <w:r>
              <w:rPr>
                <w:rFonts w:ascii="Arial" w:cs="Arial" w:eastAsia="Arial" w:hAnsi="Arial"/>
                <w:sz w:val="14"/>
                <w:szCs w:val="14"/>
                <w:color w:val="auto"/>
              </w:rPr>
              <w:t>OLOR</w:t>
            </w:r>
            <w:r>
              <w:rPr>
                <w:rFonts w:ascii="Arial" w:cs="Arial" w:eastAsia="Arial" w:hAnsi="Arial"/>
                <w:sz w:val="18"/>
                <w:szCs w:val="18"/>
                <w:color w:val="auto"/>
              </w:rPr>
              <w:t xml:space="preserve"> P</w:t>
            </w:r>
            <w:r>
              <w:rPr>
                <w:rFonts w:ascii="Arial" w:cs="Arial" w:eastAsia="Arial" w:hAnsi="Arial"/>
                <w:sz w:val="14"/>
                <w:szCs w:val="14"/>
                <w:color w:val="auto"/>
              </w:rPr>
              <w:t>RESS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999 D</w:t>
            </w:r>
            <w:r>
              <w:rPr>
                <w:rFonts w:ascii="Arial" w:cs="Arial" w:eastAsia="Arial" w:hAnsi="Arial"/>
                <w:sz w:val="14"/>
                <w:szCs w:val="14"/>
                <w:color w:val="auto"/>
              </w:rPr>
              <w:t>E</w:t>
            </w:r>
            <w:r>
              <w:rPr>
                <w:rFonts w:ascii="Arial" w:cs="Arial" w:eastAsia="Arial" w:hAnsi="Arial"/>
                <w:sz w:val="18"/>
                <w:szCs w:val="18"/>
                <w:color w:val="auto"/>
              </w:rPr>
              <w:t xml:space="preserve"> M</w:t>
            </w:r>
            <w:r>
              <w:rPr>
                <w:rFonts w:ascii="Arial" w:cs="Arial" w:eastAsia="Arial" w:hAnsi="Arial"/>
                <w:sz w:val="14"/>
                <w:szCs w:val="14"/>
                <w:color w:val="auto"/>
              </w:rPr>
              <w:t>AISONNEUVE</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xml:space="preserve"> W</w:t>
            </w:r>
            <w:r>
              <w:rPr>
                <w:rFonts w:ascii="Arial" w:cs="Arial" w:eastAsia="Arial" w:hAnsi="Arial"/>
                <w:sz w:val="14"/>
                <w:szCs w:val="14"/>
                <w:color w:val="auto"/>
              </w:rPr>
              <w:t>EST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ONTREAL</w:t>
            </w:r>
            <w:r>
              <w:rPr>
                <w:rFonts w:ascii="Arial" w:cs="Arial" w:eastAsia="Arial" w:hAnsi="Arial"/>
                <w:sz w:val="18"/>
                <w:szCs w:val="18"/>
                <w:color w:val="auto"/>
              </w:rPr>
              <w:t>, Q</w:t>
            </w:r>
            <w:r>
              <w:rPr>
                <w:rFonts w:ascii="Arial" w:cs="Arial" w:eastAsia="Arial" w:hAnsi="Arial"/>
                <w:sz w:val="14"/>
                <w:szCs w:val="14"/>
                <w:color w:val="auto"/>
              </w:rPr>
              <w:t>UEBEC</w:t>
            </w:r>
            <w:r>
              <w:rPr>
                <w:rFonts w:ascii="Arial" w:cs="Arial" w:eastAsia="Arial" w:hAnsi="Arial"/>
                <w:sz w:val="18"/>
                <w:szCs w:val="18"/>
                <w:color w:val="auto"/>
              </w:rPr>
              <w:t xml:space="preserve"> C</w:t>
            </w:r>
            <w:r>
              <w:rPr>
                <w:rFonts w:ascii="Arial" w:cs="Arial" w:eastAsia="Arial" w:hAnsi="Arial"/>
                <w:sz w:val="14"/>
                <w:szCs w:val="14"/>
                <w:color w:val="auto"/>
              </w:rPr>
              <w:t>ANADA</w:t>
            </w:r>
            <w:r>
              <w:rPr>
                <w:rFonts w:ascii="Arial" w:cs="Arial" w:eastAsia="Arial" w:hAnsi="Arial"/>
                <w:sz w:val="18"/>
                <w:szCs w:val="18"/>
                <w:color w:val="auto"/>
              </w:rPr>
              <w:t xml:space="preserve"> H3</w:t>
            </w:r>
            <w:r>
              <w:rPr>
                <w:rFonts w:ascii="Arial" w:cs="Arial" w:eastAsia="Arial" w:hAnsi="Arial"/>
                <w:sz w:val="14"/>
                <w:szCs w:val="14"/>
                <w:color w:val="auto"/>
              </w:rPr>
              <w:t>A</w:t>
            </w:r>
            <w:r>
              <w:rPr>
                <w:rFonts w:ascii="Arial" w:cs="Arial" w:eastAsia="Arial" w:hAnsi="Arial"/>
                <w:sz w:val="18"/>
                <w:szCs w:val="18"/>
                <w:color w:val="auto"/>
              </w:rPr>
              <w:t xml:space="preserve"> 3</w:t>
            </w:r>
            <w:r>
              <w:rPr>
                <w:rFonts w:ascii="Arial" w:cs="Arial" w:eastAsia="Arial" w:hAnsi="Arial"/>
                <w:sz w:val="14"/>
                <w:szCs w:val="14"/>
                <w:color w:val="auto"/>
              </w:rPr>
              <w:t>L</w:t>
            </w:r>
            <w:r>
              <w:rPr>
                <w:rFonts w:ascii="Arial" w:cs="Arial" w:eastAsia="Arial" w:hAnsi="Arial"/>
                <w:sz w:val="18"/>
                <w:szCs w:val="18"/>
                <w:color w:val="auto"/>
              </w:rPr>
              <w:t>4</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320" w:type="dxa"/>
            <w:vAlign w:val="bottom"/>
          </w:tcPr>
          <w:p>
            <w:pPr>
              <w:jc w:val="right"/>
              <w:ind w:right="179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82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Pr>
          <w:p>
            <w:pPr>
              <w:spacing w:after="0" w:line="201" w:lineRule="exact"/>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ONKERS</w:t>
            </w:r>
            <w:r>
              <w:rPr>
                <w:rFonts w:ascii="Arial" w:cs="Arial" w:eastAsia="Arial" w:hAnsi="Arial"/>
                <w:sz w:val="18"/>
                <w:szCs w:val="18"/>
                <w:color w:val="auto"/>
              </w:rPr>
              <w:t xml:space="preserve"> R</w:t>
            </w:r>
            <w:r>
              <w:rPr>
                <w:rFonts w:ascii="Arial" w:cs="Arial" w:eastAsia="Arial" w:hAnsi="Arial"/>
                <w:sz w:val="14"/>
                <w:szCs w:val="14"/>
                <w:color w:val="auto"/>
              </w:rPr>
              <w:t>ACING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20" w:type="dxa"/>
            <w:vAlign w:val="bottom"/>
          </w:tcPr>
          <w:p>
            <w:pPr>
              <w:spacing w:after="0"/>
              <w:rPr>
                <w:sz w:val="17"/>
                <w:szCs w:val="17"/>
                <w:color w:val="auto"/>
              </w:rPr>
            </w:pP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17"/>
                <w:szCs w:val="17"/>
                <w:color w:val="auto"/>
              </w:rPr>
            </w:pPr>
          </w:p>
        </w:tc>
        <w:tc>
          <w:tcPr>
            <w:tcW w:w="238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810 Y</w:t>
            </w:r>
            <w:r>
              <w:rPr>
                <w:rFonts w:ascii="Arial" w:cs="Arial" w:eastAsia="Arial" w:hAnsi="Arial"/>
                <w:sz w:val="14"/>
                <w:szCs w:val="14"/>
                <w:color w:val="auto"/>
              </w:rPr>
              <w:t>ONKERS</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18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ONKERS</w:t>
            </w:r>
            <w:r>
              <w:rPr>
                <w:rFonts w:ascii="Arial" w:cs="Arial" w:eastAsia="Arial" w:hAnsi="Arial"/>
                <w:sz w:val="18"/>
                <w:szCs w:val="18"/>
                <w:color w:val="auto"/>
              </w:rPr>
              <w:t>, NY 10704</w:t>
            </w:r>
          </w:p>
        </w:tc>
        <w:tc>
          <w:tcPr>
            <w:tcW w:w="18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Percentage of class held represents less than 5% of the voting rights of securities.</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December 31,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 Technologies Intermediate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 Technologies is a leading outsource provider of “release of information” services to healthcare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i2 Holdings Ltd.</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is a leading worldwide provider of visual investigative analysis software for law enforcement, intelligence, military and Fortune 500 organizations.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table below describes the portfolio by industry classification and enumerates the percentage, by fair value, of the total portfolio assets (excluding cash equivalents) in such industries as of December 31, 2009 and September 30,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4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5"/>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6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24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 Conglomerate Manufacturing</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2040" w:type="dxa"/>
            <w:vAlign w:val="bottom"/>
            <w:gridSpan w:val="2"/>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60" w:type="dxa"/>
            <w:vAlign w:val="bottom"/>
            <w:vMerge w:val="restart"/>
          </w:tcPr>
          <w:p>
            <w:pPr>
              <w:jc w:val="right"/>
              <w:ind w:right="2473"/>
              <w:spacing w:after="0"/>
              <w:rPr>
                <w:sz w:val="20"/>
                <w:szCs w:val="20"/>
                <w:color w:val="auto"/>
              </w:rPr>
            </w:pPr>
            <w:r>
              <w:rPr>
                <w:rFonts w:ascii="Arial" w:cs="Arial" w:eastAsia="Arial" w:hAnsi="Arial"/>
                <w:sz w:val="18"/>
                <w:szCs w:val="18"/>
                <w:color w:val="auto"/>
              </w:rPr>
              <w:t>73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5"/>
              </w:rPr>
              <w:t>Age</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50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Since</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Term</w:t>
            </w:r>
          </w:p>
        </w:tc>
      </w:tr>
      <w:tr>
        <w:trPr>
          <w:trHeight w:val="201"/>
        </w:trPr>
        <w:tc>
          <w:tcPr>
            <w:tcW w:w="38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46</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42</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47</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44</w:t>
            </w:r>
          </w:p>
        </w:tc>
        <w:tc>
          <w:tcPr>
            <w:tcW w:w="34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46</w:t>
            </w:r>
          </w:p>
        </w:tc>
        <w:tc>
          <w:tcPr>
            <w:tcW w:w="55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2010</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executive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28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45</w:t>
            </w:r>
          </w:p>
        </w:tc>
        <w:tc>
          <w:tcPr>
            <w:tcW w:w="56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2140" w:type="dxa"/>
            <w:vAlign w:val="bottom"/>
          </w:tcPr>
          <w:p>
            <w:pPr>
              <w:spacing w:after="0"/>
              <w:rPr>
                <w:sz w:val="20"/>
                <w:szCs w:val="20"/>
                <w:color w:val="auto"/>
              </w:rPr>
            </w:pPr>
            <w:r>
              <w:rPr>
                <w:rFonts w:ascii="Arial" w:cs="Arial" w:eastAsia="Arial" w:hAnsi="Arial"/>
                <w:sz w:val="18"/>
                <w:szCs w:val="18"/>
                <w:color w:val="auto"/>
                <w:w w:val="85"/>
              </w:rPr>
              <w:t>Financial Officer and Treasurer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1340" w:type="dxa"/>
            <w:vAlign w:val="bottom"/>
          </w:tcPr>
          <w:p>
            <w:pPr>
              <w:spacing w:after="0"/>
              <w:rPr>
                <w:sz w:val="14"/>
                <w:szCs w:val="14"/>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Guy F. Talarico</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5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Chief</w:t>
            </w:r>
          </w:p>
        </w:tc>
        <w:tc>
          <w:tcPr>
            <w:tcW w:w="1340" w:type="dxa"/>
            <w:vAlign w:val="bottom"/>
          </w:tcPr>
          <w:p>
            <w:pPr>
              <w:spacing w:after="0"/>
              <w:rPr>
                <w:sz w:val="20"/>
                <w:szCs w:val="20"/>
                <w:color w:val="auto"/>
              </w:rPr>
            </w:pPr>
            <w:r>
              <w:rPr>
                <w:rFonts w:ascii="Arial" w:cs="Arial" w:eastAsia="Arial" w:hAnsi="Arial"/>
                <w:sz w:val="18"/>
                <w:szCs w:val="18"/>
                <w:color w:val="auto"/>
                <w:w w:val="86"/>
              </w:rPr>
              <w:t>Compliance Officer</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Adam K. Bernstein (46),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Marshall Brozost (42),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Jeffrey Flug (47), Director. Mr. Flug became a director of PennantPark Investment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Samuel L. Katz (44),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Arthur H. Penn (46)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Aviv Efrat (45), Chief Financial Officer and Treasurer. Mr. Efrat joined PennantPark Investment in February 2007 as its Chief Financial Officer and Treasurer. Mr. Efrat is also a Managing Director of PennantPark Investment Administration, LLC. Mr. Efrat was a Director at BlackRock, Inc., where he was responsible for a variety of administrative, operational, and financial aspects of closed-end and open-end registered investment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Guy F. Talarico (54)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fiscal year ended September 30, 2009, we held six board meetings, four Audit Committee meetings and two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and recommending to the board of directors whether the audited financial statements should be included in our annual report on Form 10-K; reviewing and discussing with management and the auditors our quarterly financial statements prior to the filing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Our board of directors has determined that Mr. Flug is our “Audit Committee financial expert” as that term is defined under Item 401 of Regulation S-K under the Securities Exchange Act of 1934, as amended, or the Exchange Act. The Audit Committee Charter is available on our website: </w:t>
      </w:r>
      <w:r>
        <w:rPr>
          <w:rFonts w:ascii="Arial" w:cs="Arial" w:eastAsia="Arial" w:hAnsi="Arial"/>
          <w:sz w:val="16"/>
          <w:szCs w:val="16"/>
          <w:i w:val="1"/>
          <w:iCs w:val="1"/>
          <w:color w:val="auto"/>
        </w:rPr>
        <w:t>www.pennantpark.com</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corporate governance regulations of the NASDAQ. Messrs. Bernstein, Brozost and Katz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color w:val="auto"/>
        </w:rPr>
        <w:t>www.pennantpark.com</w:t>
      </w:r>
      <w:r>
        <w:rPr>
          <w:rFonts w:ascii="Arial" w:cs="Arial" w:eastAsia="Arial" w:hAnsi="Arial"/>
          <w:sz w:val="18"/>
          <w:szCs w:val="18"/>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our board of directors and to serve if elected by the stockholders.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Corporate Governance and the 1940 Act, and all other applicable laws, rules, regulations and listing standards, the criteria, policies and principles set forth 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also may consider such other factors as it may deem are in our best interests and our stockholders. Our board of directors also believes it is appropriate for a key member of our management to participate as a member of our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 does not receive compensation from 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2009.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Pension or</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Aggregate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benefits</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paid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from</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accrued as</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36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8"/>
              </w:rPr>
              <w:t>PennantPark</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5"/>
              </w:rPr>
              <w:t>part of our</w:t>
            </w:r>
          </w:p>
        </w:tc>
        <w:tc>
          <w:tcPr>
            <w:tcW w:w="5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director /</w:t>
            </w:r>
          </w:p>
        </w:tc>
        <w:tc>
          <w:tcPr>
            <w:tcW w:w="0" w:type="dxa"/>
            <w:vAlign w:val="bottom"/>
          </w:tcPr>
          <w:p>
            <w:pPr>
              <w:spacing w:after="0"/>
              <w:rPr>
                <w:sz w:val="1"/>
                <w:szCs w:val="1"/>
                <w:color w:val="auto"/>
              </w:rPr>
            </w:pPr>
          </w:p>
        </w:tc>
      </w:tr>
      <w:tr>
        <w:trPr>
          <w:trHeight w:val="176"/>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Investment</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5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   92,500</w:t>
            </w: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97,500</w:t>
            </w: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91,250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Eftrat</w:t>
            </w:r>
            <w:r>
              <w:rPr>
                <w:rFonts w:ascii="Arial" w:cs="Arial" w:eastAsia="Arial" w:hAnsi="Arial"/>
                <w:sz w:val="11"/>
                <w:szCs w:val="11"/>
                <w:color w:val="auto"/>
              </w:rPr>
              <w:t>(2)</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Independent director receives an annual fee of $75,000 for services performed on behalf of the PennantPark Investment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 2010,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consist of one interested director and four independent directors. An interested director is an “interested person” of us, as defined in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table sets forth, as of February 1, 2010, certain ownership information with respect to our common stock for those persons who directly or indirectly own, control, or hold with the power to vote, 5 percent or more of our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4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Clough Capital Partners L.P.</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1,600,691</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640" w:type="dxa"/>
            <w:vAlign w:val="bottom"/>
            <w:gridSpan w:val="3"/>
          </w:tcPr>
          <w:p>
            <w:pPr>
              <w:spacing w:after="0"/>
              <w:rPr>
                <w:sz w:val="20"/>
                <w:szCs w:val="20"/>
                <w:color w:val="auto"/>
              </w:rPr>
            </w:pPr>
            <w:r>
              <w:rPr>
                <w:rFonts w:ascii="Arial" w:cs="Arial" w:eastAsia="Arial" w:hAnsi="Arial"/>
                <w:sz w:val="18"/>
                <w:szCs w:val="18"/>
                <w:color w:val="auto"/>
              </w:rPr>
              <w:t>Wellington Management Company LLP</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2,827,541</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6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85,291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90,561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436,625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734,153</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held by JAM Investments, LLC.</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274,224 shares held by PennantPark Investment Advisers, LLC.</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0" w:lineRule="exact"/>
        <w:rPr>
          <w:sz w:val="20"/>
          <w:szCs w:val="20"/>
          <w:color w:val="auto"/>
        </w:rPr>
      </w:pPr>
    </w:p>
    <w:p>
      <w:pPr>
        <w:ind w:left="460" w:hanging="408"/>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Directors, Officers and Portfolio Managers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officers and portfolio managers as of February 1, 2010. Information as to the beneficial ownerships based on information furnished to the company by such persons. We are not part of a “family of investment companies,” as that term is defined in the 1940 Act.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 Investment</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 Investment</w:t>
            </w:r>
            <w:r>
              <w:rPr>
                <w:rFonts w:ascii="Arial" w:cs="Arial" w:eastAsia="Arial" w:hAnsi="Arial"/>
                <w:sz w:val="22"/>
                <w:szCs w:val="22"/>
                <w:b w:val="1"/>
                <w:bCs w:val="1"/>
                <w:color w:val="auto"/>
                <w:w w:val="87"/>
                <w:vertAlign w:val="superscript"/>
              </w:rPr>
              <w:t>(1)</w:t>
            </w:r>
          </w:p>
        </w:tc>
      </w:tr>
      <w:tr>
        <w:trPr>
          <w:trHeight w:val="201"/>
        </w:trPr>
        <w:tc>
          <w:tcPr>
            <w:tcW w:w="2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374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r>
              <w:rPr>
                <w:rFonts w:ascii="Arial" w:cs="Arial" w:eastAsia="Arial" w:hAnsi="Arial"/>
                <w:sz w:val="11"/>
                <w:szCs w:val="11"/>
                <w:color w:val="auto"/>
                <w:w w:val="88"/>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w:t>
            </w:r>
            <w:r>
              <w:rPr>
                <w:rFonts w:ascii="Arial" w:cs="Arial" w:eastAsia="Arial" w:hAnsi="Arial"/>
                <w:sz w:val="11"/>
                <w:szCs w:val="11"/>
                <w:color w:val="auto"/>
                <w:w w:val="89"/>
              </w:rPr>
              <w:t>(3)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 who is not a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Jose A. Briones</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“average adjusted gross assets”, if any). Although the base management fee is 2.00% of our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three months ended December 31, 2009 and 2008, the Investment Adviser earned a base management fees of $2.5 million and $1.8 million respectively. For the fiscal years ended September 30, 2009 and 2008, and for the period from January 11, 2007 (inception) through September 30, 2007, the Investment Adviser earned base management fees, after fee waiver, of $7.7 million, $6.7 million and $1.9 million, respectively.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 w:lineRule="exact"/>
        <w:rPr>
          <w:sz w:val="20"/>
          <w:szCs w:val="20"/>
          <w:color w:val="auto"/>
        </w:rPr>
      </w:pPr>
    </w:p>
    <w:p>
      <w:pPr>
        <w:ind w:right="160" w:firstLine="8"/>
        <w:spacing w:after="0" w:line="292" w:lineRule="auto"/>
        <w:tabs>
          <w:tab w:leader="none" w:pos="2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58420</wp:posOffset>
            </wp:positionV>
            <wp:extent cx="2255520" cy="4286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555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2009 and 2008, the Investment Adviser earned an incentive fee of $1.8 million and $1.4 million respectively, from us. For the fiscal years ended September 30, 2009 and 2008, the Investment Adviser earned an incentive fee of $5.7 million and $3.8 million, respectively, from us. For the period from April 24, 2007 (initial public offering) through September 30, 2007, the Investment Adviser did not receive an incentive fee from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net investment income does not exceed Hurdle; therefore there is no incentive fee.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240" w:top="459" w:right="7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61"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380" w:hanging="452"/>
        <w:spacing w:after="0" w:line="306"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2010. Unless terminated earlier as described below, our Investment Management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For the three months ended December 31, 2009 and 2008, the Investment Adviser was reimbursed $0.3 million and $0.3 million, respectively, by PennantPark Investment, including expenses it incurred on behalf of the Administrator, for services described above. For the fiscal years ended September 30, 2009 and 2008, and for the period from January 11, 2007 (inception) through September 30, 2007, the Investment Adviser was reimbursed $1.7 million, $2.0 million and $0.5 million, respectively, by PennantPark Investment, including expenses it incurred on behalf of the Administrator for the services described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2010. Unless terminated earlier as described below, our Administration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24, 2007, we sold 320,000 shares of common stock to our directors and officers, the Investment Adviser and the managers of the Investment Adviser at a price of $15.00 per share in a private placement. We received the full proceeds of this private placement, and no underwriting discounts or commissions were paid in respect of these shares. Under a registration rights agreement signed at the time of such private placement, the holders of these shares received registration rights that entitle them to make up to two demands on us to register their shares under the Securities Act. In addition, these stockholders have certain “piggy-back” registration rights that entitle them to include their shares in certain registration statements that we may file. We will bear the expenses incurred in connection with the filing of any such registration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460" w:right="10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460" w:right="34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(stockholders have provided such consent on February 2, 2010 for a 12-month period), and our board of directors decides that such an offering is in the best interest of our common stockholders and we may undertake such an offering. For more information, see “Sales Of Common Stock Below Net Asset Value.”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31, 2009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February 17, 2010 was $10.10 per share. As of December 31, 2009, we had 16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25,808,772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provision which eliminates directors’ and officers’ liability to the maximum extent permitted by Maryland law, subject to the requirements of the 1940 Act.</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59"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20"/>
          </w:cols>
          <w:pgMar w:left="24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459" w:right="3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5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business development company under the 1940 Act, which has qualified and intends to continue to qualify to maintain an election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87"/>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ind w:left="920" w:right="60" w:firstLine="421"/>
        <w:spacing w:after="0" w:line="259" w:lineRule="auto"/>
        <w:tabs>
          <w:tab w:leader="none" w:pos="157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the us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obligations as they came due without material assistance other than conventional lending or financing arrangements.</w:t>
      </w:r>
    </w:p>
    <w:p>
      <w:pPr>
        <w:spacing w:after="0" w:line="90" w:lineRule="exact"/>
        <w:rPr>
          <w:sz w:val="20"/>
          <w:szCs w:val="20"/>
          <w:color w:val="auto"/>
        </w:rPr>
      </w:pPr>
    </w:p>
    <w:p>
      <w:pPr>
        <w:ind w:left="460" w:right="12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order to count portfolio securities as qualifying assets for the purpose of the 70% test, the business development company, must either control the issuer of the securities or must offer to make available to the issuer of the securities significant managerial assistance. However, if a business development company purchases such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See “Material U.S. Federal Income Tax Considerations—Election to be Taxed as a RIC.”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joint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joint code’s requirements. Our joint code of ethics is available, free of charge, on our website at www.pennantpark.com.You may read and copy the joint code of ethics at the SEC’s Public Reference Room in Washington, D.C. You may obtain information on the operation of the Public Reference Room by calling the SEC at (202) 551-8090. In addition, the joint code of ethics is referenced as an exhibit to this registration statement and is available on the EDGAR Database on the SEC’s Internet site at http://</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obtain copies of the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privacy policy is available, free of charge, on our website at www.pennantpark.com. In addition, the privacy policy is available on the EDGAR Database on the SEC’s Internet site at www.sec.gov. You may also obtain copies of our privacy policy, after paying a duplicating fee, by electronic request at the following Email address: publicinfo@sec.gov, or by writing the SEC’s Public Reference Section, 100 F Street, N.E., 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38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For a short period ending April 30, 2007, we were not a RIC and were subject to corporate-level income tax. To maintain RIC tax benefits, we must, among other requirements, meet certain source-of-income and quarterly asset diversification requirements (as described below). We also must meet the Annual Distribution Requirement. Although not required for us to maintain our RIC tax status, in order to preclude the imposition of a 4% nondeductible federal excise tax imposed on RICs, we may make distributions to satisfy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260" w:hanging="325"/>
        <w:spacing w:after="0" w:line="306"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except as provided below,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PNC Global Investment Servicing, Inc.,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legal matters regarding the securities offered by this prospectus will be passed upon for PennantPark Investment by Dechert LLP, Washington, 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by Venable LLP, as special Maryland counsel.</w:t>
      </w:r>
    </w:p>
    <w:p>
      <w:pPr>
        <w:spacing w:after="0" w:line="3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780" w:type="dxa"/>
            <w:vAlign w:val="bottom"/>
            <w:gridSpan w:val="14"/>
          </w:tcPr>
          <w:p>
            <w:pPr>
              <w:jc w:val="center"/>
              <w:ind w:right="3580"/>
              <w:spacing w:after="0"/>
              <w:rPr>
                <w:sz w:val="20"/>
                <w:szCs w:val="20"/>
                <w:color w:val="auto"/>
              </w:rPr>
            </w:pPr>
            <w:r>
              <w:rPr>
                <w:rFonts w:ascii="Arial" w:cs="Arial" w:eastAsia="Arial" w:hAnsi="Arial"/>
                <w:sz w:val="18"/>
                <w:szCs w:val="18"/>
                <w:b w:val="1"/>
                <w:bCs w:val="1"/>
                <w:color w:val="auto"/>
                <w:w w:val="99"/>
              </w:rPr>
              <w:t>INDEX TO FINANCIAL STATEMENTS</w:t>
            </w:r>
          </w:p>
        </w:tc>
        <w:tc>
          <w:tcPr>
            <w:tcW w:w="520" w:type="dxa"/>
            <w:vAlign w:val="bottom"/>
          </w:tcPr>
          <w:p>
            <w:pPr>
              <w:spacing w:after="0"/>
              <w:rPr>
                <w:sz w:val="19"/>
                <w:szCs w:val="19"/>
                <w:color w:val="auto"/>
              </w:rPr>
            </w:pPr>
          </w:p>
        </w:tc>
      </w:tr>
      <w:tr>
        <w:trPr>
          <w:trHeight w:val="419"/>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520" w:type="dxa"/>
            <w:vAlign w:val="bottom"/>
          </w:tcPr>
          <w:p>
            <w:pPr>
              <w:spacing w:after="0"/>
              <w:rPr>
                <w:sz w:val="24"/>
                <w:szCs w:val="24"/>
                <w:color w:val="auto"/>
              </w:rPr>
            </w:pPr>
          </w:p>
        </w:tc>
      </w:tr>
      <w:tr>
        <w:trPr>
          <w:trHeight w:val="324"/>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Annual Financial Statements</w:t>
            </w:r>
          </w:p>
        </w:tc>
        <w:tc>
          <w:tcPr>
            <w:tcW w:w="52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57">
              <w:r>
                <w:rPr>
                  <w:rFonts w:ascii="Arial" w:cs="Arial" w:eastAsia="Arial" w:hAnsi="Arial"/>
                  <w:sz w:val="18"/>
                  <w:szCs w:val="18"/>
                  <w:color w:val="0000EE"/>
                  <w:w w:val="89"/>
                </w:rPr>
                <w:t>Management’s Report on Internal Control over Financial Reporting</w:t>
              </w:r>
            </w:hyperlink>
          </w:p>
        </w:tc>
        <w:tc>
          <w:tcPr>
            <w:tcW w:w="614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Report of Independent Registered Public Accounting Firm On Internal Control Over Financial Reporting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50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160">
              <w:r>
                <w:rPr>
                  <w:rFonts w:ascii="Arial" w:cs="Arial" w:eastAsia="Arial" w:hAnsi="Arial"/>
                  <w:sz w:val="18"/>
                  <w:szCs w:val="18"/>
                  <w:color w:val="0000EE"/>
                  <w:w w:val="87"/>
                </w:rPr>
                <w:t>Statements of Assets and Liabilities as of September 30, 2009 and 2008</w:t>
              </w:r>
            </w:hyperlink>
          </w:p>
        </w:tc>
        <w:tc>
          <w:tcPr>
            <w:tcW w:w="2320" w:type="dxa"/>
            <w:vAlign w:val="bottom"/>
            <w:tcBorders>
              <w:top w:val="single" w:sz="8" w:color="0000EE"/>
            </w:tcBorders>
            <w:gridSpan w:val="7"/>
          </w:tcPr>
          <w:p>
            <w:pPr>
              <w:spacing w:after="0"/>
              <w:rPr>
                <w:sz w:val="24"/>
                <w:szCs w:val="24"/>
                <w:color w:val="auto"/>
              </w:rPr>
            </w:pPr>
          </w:p>
        </w:tc>
        <w:tc>
          <w:tcPr>
            <w:tcW w:w="352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3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Statements of Operations for the years ended September 30, 2009, 2008 and Consolidated Statement of Operations for the period from January 11,</w:t>
              </w:r>
            </w:hyperlink>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32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2007 (inception) through September 30, 2007</w:t>
              </w:r>
            </w:hyperlink>
          </w:p>
        </w:tc>
        <w:tc>
          <w:tcPr>
            <w:tcW w:w="746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04"/>
        </w:trPr>
        <w:tc>
          <w:tcPr>
            <w:tcW w:w="10900" w:type="dxa"/>
            <w:vAlign w:val="bottom"/>
            <w:gridSpan w:val="20"/>
          </w:tcPr>
          <w:p>
            <w:pPr>
              <w:spacing w:after="0"/>
              <w:rPr>
                <w:rFonts w:ascii="Arial" w:cs="Arial" w:eastAsia="Arial" w:hAnsi="Arial"/>
                <w:sz w:val="18"/>
                <w:szCs w:val="18"/>
                <w:color w:val="0000EE"/>
                <w:w w:val="88"/>
              </w:rPr>
            </w:pPr>
            <w:hyperlink w:anchor="page162">
              <w:r>
                <w:rPr>
                  <w:rFonts w:ascii="Arial" w:cs="Arial" w:eastAsia="Arial" w:hAnsi="Arial"/>
                  <w:sz w:val="18"/>
                  <w:szCs w:val="18"/>
                  <w:color w:val="0000EE"/>
                  <w:w w:val="88"/>
                </w:rPr>
                <w:t>Statements of Changes in Net Assets for the years ended September 30, 2009, 2008 and Consolidated Statement of Changes in Net Assets for the period</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from January 11, 2007 (inception) through September 30, 2007</w:t>
              </w:r>
            </w:hyperlink>
          </w:p>
        </w:tc>
        <w:tc>
          <w:tcPr>
            <w:tcW w:w="2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20"/>
          </w:tcPr>
          <w:p>
            <w:pPr>
              <w:spacing w:after="0"/>
              <w:rPr>
                <w:rFonts w:ascii="Arial" w:cs="Arial" w:eastAsia="Arial" w:hAnsi="Arial"/>
                <w:sz w:val="18"/>
                <w:szCs w:val="18"/>
                <w:color w:val="0000EE"/>
                <w:w w:val="91"/>
              </w:rPr>
            </w:pPr>
            <w:hyperlink w:anchor="page163">
              <w:r>
                <w:rPr>
                  <w:rFonts w:ascii="Arial" w:cs="Arial" w:eastAsia="Arial" w:hAnsi="Arial"/>
                  <w:sz w:val="18"/>
                  <w:szCs w:val="18"/>
                  <w:color w:val="0000EE"/>
                  <w:w w:val="91"/>
                </w:rPr>
                <w:t>Statements of Cash Flows for the years ended September 30, 2009, 2008 and Consolidated Statement of Cash Flows for the period from January 11,</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2007 (inception) through September 30, 2007</w:t>
              </w:r>
            </w:hyperlink>
          </w:p>
        </w:tc>
        <w:tc>
          <w:tcPr>
            <w:tcW w:w="7020" w:type="dxa"/>
            <w:vAlign w:val="bottom"/>
            <w:tcBorders>
              <w:top w:val="single" w:sz="8" w:color="0000EE"/>
            </w:tcBorders>
            <w:gridSpan w:val="13"/>
          </w:tcPr>
          <w:p>
            <w:pPr>
              <w:spacing w:after="0"/>
              <w:rPr>
                <w:sz w:val="17"/>
                <w:szCs w:val="17"/>
                <w:color w:val="auto"/>
              </w:rPr>
            </w:pPr>
          </w:p>
        </w:tc>
        <w:tc>
          <w:tcPr>
            <w:tcW w:w="44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Schedules of Investments as of September 30, 2009 and September 30,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21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70">
              <w:r>
                <w:rPr>
                  <w:rFonts w:ascii="Arial" w:cs="Arial" w:eastAsia="Arial" w:hAnsi="Arial"/>
                  <w:sz w:val="18"/>
                  <w:szCs w:val="18"/>
                  <w:color w:val="0000EE"/>
                  <w:w w:val="87"/>
                </w:rPr>
                <w:t>Notes to Financial Statements</w:t>
              </w:r>
            </w:hyperlink>
          </w:p>
        </w:tc>
        <w:tc>
          <w:tcPr>
            <w:tcW w:w="3260" w:type="dxa"/>
            <w:vAlign w:val="bottom"/>
            <w:tcBorders>
              <w:top w:val="single" w:sz="8" w:color="0000EE"/>
            </w:tcBorders>
            <w:gridSpan w:val="6"/>
          </w:tcPr>
          <w:p>
            <w:pPr>
              <w:spacing w:after="0"/>
              <w:rPr>
                <w:sz w:val="24"/>
                <w:szCs w:val="24"/>
                <w:color w:val="auto"/>
              </w:rPr>
            </w:pPr>
          </w:p>
        </w:tc>
        <w:tc>
          <w:tcPr>
            <w:tcW w:w="552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43"/>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Interim Financial Statements</w:t>
            </w:r>
          </w:p>
        </w:tc>
        <w:tc>
          <w:tcPr>
            <w:tcW w:w="520" w:type="dxa"/>
            <w:vAlign w:val="bottom"/>
          </w:tcPr>
          <w:p>
            <w:pPr>
              <w:spacing w:after="0"/>
              <w:rPr>
                <w:sz w:val="24"/>
                <w:szCs w:val="24"/>
                <w:color w:val="auto"/>
              </w:rPr>
            </w:pPr>
          </w:p>
        </w:tc>
      </w:tr>
      <w:tr>
        <w:trPr>
          <w:trHeight w:val="286"/>
        </w:trPr>
        <w:tc>
          <w:tcPr>
            <w:tcW w:w="10900" w:type="dxa"/>
            <w:vAlign w:val="bottom"/>
            <w:gridSpan w:val="20"/>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69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186">
              <w:r>
                <w:rPr>
                  <w:rFonts w:ascii="Arial" w:cs="Arial" w:eastAsia="Arial" w:hAnsi="Arial"/>
                  <w:sz w:val="18"/>
                  <w:szCs w:val="18"/>
                  <w:color w:val="0000EE"/>
                  <w:w w:val="87"/>
                </w:rPr>
                <w:t>Statements of Assets and Liabilities as of December 31, 2009 (unaudited) and September 30, 2009</w:t>
              </w:r>
            </w:hyperlink>
          </w:p>
        </w:tc>
        <w:tc>
          <w:tcPr>
            <w:tcW w:w="396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304"/>
        </w:trPr>
        <w:tc>
          <w:tcPr>
            <w:tcW w:w="66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87">
              <w:r>
                <w:rPr>
                  <w:rFonts w:ascii="Arial" w:cs="Arial" w:eastAsia="Arial" w:hAnsi="Arial"/>
                  <w:sz w:val="18"/>
                  <w:szCs w:val="18"/>
                  <w:color w:val="0000EE"/>
                  <w:w w:val="87"/>
                </w:rPr>
                <w:t>Statements of Operations for the three months ended December 31, 2009 and 2008 (unaudited)</w:t>
              </w:r>
            </w:hyperlink>
          </w:p>
        </w:tc>
        <w:tc>
          <w:tcPr>
            <w:tcW w:w="422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304"/>
        </w:trPr>
        <w:tc>
          <w:tcPr>
            <w:tcW w:w="66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188">
              <w:r>
                <w:rPr>
                  <w:rFonts w:ascii="Arial" w:cs="Arial" w:eastAsia="Arial" w:hAnsi="Arial"/>
                  <w:sz w:val="18"/>
                  <w:szCs w:val="18"/>
                  <w:color w:val="0000EE"/>
                  <w:w w:val="86"/>
                </w:rPr>
                <w:t>Statements of Changes in Net Assets for the three months ended December 31, 2009 and 2008</w:t>
              </w:r>
            </w:hyperlink>
          </w:p>
        </w:tc>
        <w:tc>
          <w:tcPr>
            <w:tcW w:w="426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88">
              <w:r>
                <w:rPr>
                  <w:rFonts w:ascii="Arial" w:cs="Arial" w:eastAsia="Arial" w:hAnsi="Arial"/>
                  <w:sz w:val="18"/>
                  <w:szCs w:val="18"/>
                  <w:color w:val="0000EE"/>
                  <w:w w:val="87"/>
                </w:rPr>
                <w:t>(unaudited)</w:t>
              </w:r>
            </w:hyperlink>
          </w:p>
        </w:tc>
        <w:tc>
          <w:tcPr>
            <w:tcW w:w="986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304"/>
        </w:trPr>
        <w:tc>
          <w:tcPr>
            <w:tcW w:w="67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89">
              <w:r>
                <w:rPr>
                  <w:rFonts w:ascii="Arial" w:cs="Arial" w:eastAsia="Arial" w:hAnsi="Arial"/>
                  <w:sz w:val="18"/>
                  <w:szCs w:val="18"/>
                  <w:color w:val="0000EE"/>
                  <w:w w:val="87"/>
                </w:rPr>
                <w:t>Statements of Cash Flows for the three months ended December 31, 2009 and 2008 (unaudited)</w:t>
              </w:r>
            </w:hyperlink>
          </w:p>
        </w:tc>
        <w:tc>
          <w:tcPr>
            <w:tcW w:w="416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Schedules of Investments as of December 31, 2009 (unaudited) and September 30, 2009</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304"/>
        </w:trPr>
        <w:tc>
          <w:tcPr>
            <w:tcW w:w="6200" w:type="dxa"/>
            <w:vAlign w:val="bottom"/>
            <w:tcBorders>
              <w:top w:val="single" w:sz="8" w:color="0000EE"/>
            </w:tcBorders>
            <w:gridSpan w:val="11"/>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Notes to Financial Statements</w:t>
              </w:r>
            </w:hyperlink>
          </w:p>
        </w:tc>
        <w:tc>
          <w:tcPr>
            <w:tcW w:w="470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F-41</w:t>
            </w:r>
          </w:p>
        </w:tc>
      </w:tr>
      <w:tr>
        <w:trPr>
          <w:trHeight w:val="383"/>
        </w:trPr>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20" w:type="dxa"/>
            <w:vAlign w:val="bottom"/>
            <w:gridSpan w:val="10"/>
          </w:tcPr>
          <w:p>
            <w:pPr>
              <w:jc w:val="center"/>
              <w:ind w:right="4840"/>
              <w:spacing w:after="0"/>
              <w:rPr>
                <w:sz w:val="20"/>
                <w:szCs w:val="20"/>
                <w:color w:val="auto"/>
              </w:rPr>
            </w:pPr>
            <w:r>
              <w:rPr>
                <w:rFonts w:ascii="Arial" w:cs="Arial" w:eastAsia="Arial" w:hAnsi="Arial"/>
                <w:sz w:val="18"/>
                <w:szCs w:val="18"/>
                <w:color w:val="auto"/>
                <w:w w:val="88"/>
              </w:rPr>
              <w:t>F-1</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PennantPark Investment’s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2009.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2009,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2009. This report appears on page F-4 of this registration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audited the accompanying statements of assets and liabilities of PennantPark Investment Corporation (the “Company”) as of September 30, 2009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2008, including the schedules of investments, and the related statements of operations, changes in net assets, and cash flows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2008 and for the period from January 11, 2007 (inception) through September 30, 2007. These financial statements are the responsibility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Our responsibility is to express an opinion on these financial statements based on our audits.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PennantPark Investment Corporation as of September 30, 2009 and 2008, and the results of its operations and its cash flows for the years ended September 30, 2009, 2008 and for the period from January 11, 2007 (inception) through September 30, 2007, in conformity with U.S. generally accepted accounting principles.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 issued by the Committee of Sponsoring Organizations of the Treadway Commission (COSO), and our report dated November 18, 2009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We have audited PennantPark Investment Corporation’s (the “Company”)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F-2 of this Registration Statement—Management’s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In our opinion, PennantPark Investment Corporation maintained, in all material respects, effective internal control over financial reporting as of September 30,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as of September 30, 2009 and 2008, including the schedules of investments, and the related statements of operations, changes in net assets, and cash flows for the years ended September 30, 2009, 2008 and for the period from January 11, 2007 (inception) through September 30, 2007, and our report dated November 18, 2009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Non-controlled, non-affiliated investments, at fair value (cost—$479,909,805 and $427,481,745, respectively)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453,644,335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354,261,950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Non-controlled, affiliated investments, at fair value (cost—$17,378,081 and $16,692,261, respectively)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16,115,738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17,885,870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of Investments, at fair value (cost—$497,287,886 and $444,174,006, respectively)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469,760,073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equivalents (See Note 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33,247,666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40,249,201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5,539,056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Receivables for investments sold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Distributions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5,056,505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19,489,525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Unfunded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(fair value: $175,475,380 and $160,204,000, respectively, and cost: $225,100,000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$202,000,000, respectively), (See Notes 5 and 11)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175,475,380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72,788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(See Note 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2,220,110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1,508,164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211,801,101</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209,082,439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w w:val="88"/>
              </w:rPr>
              <w:t>Common stock, par value $0.001 per share, 100,000,000 shares authorized and 25,368,772 and 21,068,772 shares issued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and outstanding,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25,369</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327,062,304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294,586,604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1,890,235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(50,494,447)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(11,250,567)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(27,527,813)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(72,026,186)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 (See Note 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41,796,000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7,828,620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43,555,240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38,149,813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12,013,028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212,304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45,118,771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39,810,962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13,107,341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7,715,615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7,136,580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2,565,085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5,683,388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4,628,564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6,308,933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1,835,816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2,319,759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2,052,530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2,136,303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21,675,689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waiver</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(420,731)</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21,254,958</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22,718,915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18,556,004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w w:val="98"/>
              </w:rPr>
              <w:t>Realized and unrealized gain (loss) on investments, cash equivalents and credit facility:</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(39,243,879)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(11,154,735)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46,954,325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(49,052,812)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(24,166,983)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(2,455,952)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948,604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(See Note 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52,326,993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(48,104,208)</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(23,921,978)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Net realized and unrealized gain (loss) from investments, cash equivalents and credit facility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13,083,114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(59,258,943)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(24,003,747)</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35,802,029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(40,702,939)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(16,699,251)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(decrease) in net assets resulting from operations per common share (See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22,718,915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18,556,004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(39,243,879)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(11,154,735)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4"/>
              </w:rPr>
              <w:t>Net change in unrealized (appreciation) depreciation on investments and cash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44,498,373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(48,104,208)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(23,921,978)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35,802,029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(40,702,939)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(20,226,021)</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(18,961,895)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Return of capital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dividends and distributions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(20,226,021)</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(18,961,895)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(7,573,814)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Issuance of shares of common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34,400,000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315,375,000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 related to public share offerings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Reinvestment of dividends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32,480,000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294,666,159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48,056,008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(59,664,834)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Beginning of period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210,728,260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270,393,094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41,796,000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40" w:type="dxa"/>
            <w:vAlign w:val="bottom"/>
            <w:gridSpan w:val="2"/>
          </w:tcPr>
          <w:p>
            <w:pPr>
              <w:spacing w:after="0"/>
              <w:rPr>
                <w:sz w:val="20"/>
                <w:szCs w:val="20"/>
                <w:color w:val="auto"/>
              </w:rPr>
            </w:pPr>
            <w:r>
              <w:rPr>
                <w:rFonts w:ascii="Arial" w:cs="Arial" w:eastAsia="Arial" w:hAnsi="Arial"/>
                <w:sz w:val="18"/>
                <w:szCs w:val="18"/>
                <w:color w:val="auto"/>
              </w:rPr>
              <w:t>Adjusted beginning of period balance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252,524,260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300,580,268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210,728,260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at period end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1,890,235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(602,660)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(196,769)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Shares issued from subscriptions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increase in capital shares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35,802,029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(40,702,939)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Adjustments to reconcile net increase (decrease) in net assets resulting from operations to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for operating activities: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w w:val="96"/>
              </w:rPr>
              <w:t>Net change in net unrealized (appreciation) depreciation on investments and cash</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106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(44,498,373)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48,104,208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23,921,978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(depreciation) on credit facility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(7,828,620)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11,154,735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(2,890,687)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(1,285,365)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(112,693,490)</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(206,790,979)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(413,972,173)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(4,729,590)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(2,434,562)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27,956,008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70,120,751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99,635,961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507,143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(1,528,349)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258,912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distributions payable to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(Decrease) increase in payables for cash equivalents purchased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(252,759,931)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19,489,525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(16,583,921)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(3,989,948)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payable on credit facility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(652,529)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in receivables for investments sold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2,134,214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(288,585)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1,385,131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other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555,556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(42,355,514)</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(390,748,539)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(37,871,414)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34,400,000</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315,375,000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Capitalized borrowing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(1,261,296)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(20,226,021)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(18,961,895)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169,600,000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461,040,000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271,913,786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(146,500,000)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(269,040,000)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(261,913,786)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35,353,979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173,038,105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295,831,049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(7,001,535)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(217,710,434)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40,249,201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257,959,635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5,014,055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4,982,247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 consist of the reinvestment of dividends totaling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Basis Point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Spread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0"/>
              </w:rPr>
              <w:t>Current</w:t>
            </w: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Above</w:t>
            </w:r>
          </w:p>
        </w:tc>
        <w:tc>
          <w:tcPr>
            <w:tcW w:w="68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102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6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Companies—150.9%</w:t>
            </w:r>
            <w:r>
              <w:rPr>
                <w:rFonts w:ascii="Arial" w:cs="Arial" w:eastAsia="Arial" w:hAnsi="Arial"/>
                <w:sz w:val="16"/>
                <w:szCs w:val="16"/>
                <w:b w:val="1"/>
                <w:bCs w:val="1"/>
                <w:color w:val="auto"/>
                <w:vertAlign w:val="superscript"/>
              </w:rPr>
              <w:t>(1),(2)</w:t>
            </w: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Notes—50.6%</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03/01/2012</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$23,572,133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$ 22,930,475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04/17/2015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7,952,769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Holdings, Inc.</w:t>
            </w:r>
          </w:p>
        </w:tc>
        <w:tc>
          <w:tcPr>
            <w:tcW w:w="80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8"/>
              </w:rPr>
              <w:t>03/22/2014</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120" w:type="dxa"/>
            <w:vAlign w:val="bottom"/>
            <w:gridSpan w:val="3"/>
            <w:vMerge w:val="continue"/>
            <w:shd w:val="clear" w:color="auto" w:fill="CCEEFF"/>
          </w:tcPr>
          <w:p>
            <w:pPr>
              <w:spacing w:after="0"/>
              <w:rPr>
                <w:sz w:val="13"/>
                <w:szCs w:val="13"/>
                <w:color w:val="auto"/>
              </w:rPr>
            </w:pPr>
          </w:p>
        </w:tc>
        <w:tc>
          <w:tcPr>
            <w:tcW w:w="10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20,311,603</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19,875,880</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Digicel Limited</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995,610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06/06/2014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22,653,857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05/20/2012</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13.75%</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19,632,400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12/28/2015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10,324,976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04/15/2015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8,921,187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10/01/2016</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20,197,856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02/08/2015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21,000,000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153,261,822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Debt—42.1%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80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8"/>
              </w:rPr>
              <w:t>02/07/2015</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112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6.36%</w:t>
            </w:r>
          </w:p>
        </w:tc>
        <w:tc>
          <w:tcPr>
            <w:tcW w:w="10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L+600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13,600,000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13,153,077</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80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8"/>
              </w:rPr>
              <w:t>02/07/2015</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7.44%</w:t>
            </w:r>
          </w:p>
        </w:tc>
        <w:tc>
          <w:tcPr>
            <w:tcW w:w="10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12,000,000</w:t>
            </w:r>
          </w:p>
        </w:tc>
        <w:tc>
          <w:tcPr>
            <w:tcW w:w="11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11,735,965</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11,364,000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04/30/2015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7.78%</w:t>
            </w:r>
          </w:p>
        </w:tc>
        <w:tc>
          <w:tcPr>
            <w:tcW w:w="102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12,000,000</w:t>
            </w:r>
          </w:p>
        </w:tc>
        <w:tc>
          <w:tcPr>
            <w:tcW w:w="112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11,949,634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03/01/2014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2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11/04/2014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10/15/2017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05/15/2015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8.19%</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L+775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05/15/2017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16,890,972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102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4"/>
                <w:szCs w:val="14"/>
                <w:color w:val="auto"/>
              </w:rPr>
              <w:t>L+575</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21,500,000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12/15/2014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7.25%</w:t>
            </w:r>
            <w:r>
              <w:rPr>
                <w:rFonts w:ascii="Arial" w:cs="Arial" w:eastAsia="Arial" w:hAnsi="Arial"/>
                <w:sz w:val="17"/>
                <w:szCs w:val="17"/>
                <w:color w:val="auto"/>
                <w:vertAlign w:val="superscript"/>
              </w:rPr>
              <w:t>(6)</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22,500,000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22,488,166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16,792,105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143,571,496</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—3.6%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12.00%</w:t>
            </w:r>
          </w:p>
        </w:tc>
        <w:tc>
          <w:tcPr>
            <w:tcW w:w="10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797</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797,288</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949,648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7"/>
              </w:rPr>
              <w:t>Insurance</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Insurance</w:t>
            </w:r>
          </w:p>
        </w:tc>
        <w:tc>
          <w:tcPr>
            <w:tcW w:w="112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6.50%</w:t>
            </w:r>
          </w:p>
        </w:tc>
        <w:tc>
          <w:tcPr>
            <w:tcW w:w="10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9"/>
              </w:rPr>
              <w:t>Oil and Gas</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8.00%</w:t>
            </w:r>
          </w:p>
        </w:tc>
        <w:tc>
          <w:tcPr>
            <w:tcW w:w="10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2,499,067</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3,094,252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LLC</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w:t>
            </w: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Other Media</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318,896</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Basis Point</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0"/>
              </w:rPr>
              <w:t>Current</w:t>
            </w:r>
          </w:p>
        </w:tc>
        <w:tc>
          <w:tcPr>
            <w:tcW w:w="10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60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0"/>
              </w:rPr>
              <w:t>Fair Value</w:t>
            </w:r>
            <w:r>
              <w:rPr>
                <w:rFonts w:ascii="Arial" w:cs="Arial" w:eastAsia="Arial" w:hAnsi="Arial"/>
                <w:sz w:val="22"/>
                <w:szCs w:val="22"/>
                <w:b w:val="1"/>
                <w:bCs w:val="1"/>
                <w:color w:val="auto"/>
                <w:w w:val="80"/>
                <w:vertAlign w:val="superscript"/>
              </w:rPr>
              <w:t>(3)</w:t>
            </w:r>
          </w:p>
        </w:tc>
        <w:tc>
          <w:tcPr>
            <w:tcW w:w="0" w:type="dxa"/>
            <w:vAlign w:val="bottom"/>
          </w:tcPr>
          <w:p>
            <w:pPr>
              <w:spacing w:after="0"/>
              <w:rPr>
                <w:sz w:val="1"/>
                <w:szCs w:val="1"/>
                <w:color w:val="auto"/>
              </w:rPr>
            </w:pPr>
          </w:p>
        </w:tc>
      </w:tr>
      <w:tr>
        <w:trPr>
          <w:trHeight w:val="176"/>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100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Equity/Warrants/Partnership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—4.5%</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3,005,163</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215,547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6,696,281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2,391,463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1,656,350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Inc.</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 (Warrant)</w:t>
            </w:r>
          </w:p>
        </w:tc>
        <w:tc>
          <w:tcPr>
            <w:tcW w:w="7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11/06/2018</w:t>
            </w: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Debt—50.1%</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03/04/2015</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7.70%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05/28/2013</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2.57%</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10/01/2016</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11.63%</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07/31/2016</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12.38%</w:t>
            </w:r>
          </w:p>
        </w:tc>
        <w:tc>
          <w:tcPr>
            <w:tcW w:w="10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L+988</w:t>
            </w:r>
            <w:r>
              <w:rPr>
                <w:rFonts w:ascii="Arial" w:cs="Arial" w:eastAsia="Arial" w:hAnsi="Arial"/>
                <w:sz w:val="15"/>
                <w:szCs w:val="15"/>
                <w:color w:val="auto"/>
                <w:vertAlign w:val="superscript"/>
              </w:rPr>
              <w:t>(8)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10,000,000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10,050,000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07/07/2012</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03/08/2014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2.49%</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04/15/2014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2.88%</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L+250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02/07/2014</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2.53%</w:t>
            </w:r>
          </w:p>
        </w:tc>
        <w:tc>
          <w:tcPr>
            <w:tcW w:w="100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9,817,568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 and</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Durable 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03/08/2014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7.75%</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L+475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Lyondell Chemical Co.</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12/15/2009</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13.00%</w:t>
            </w:r>
          </w:p>
        </w:tc>
        <w:tc>
          <w:tcPr>
            <w:tcW w:w="10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L+1,000</w:t>
            </w:r>
            <w:r>
              <w:rPr>
                <w:rFonts w:ascii="Arial" w:cs="Arial" w:eastAsia="Arial" w:hAnsi="Arial"/>
                <w:sz w:val="15"/>
                <w:szCs w:val="15"/>
                <w:color w:val="auto"/>
                <w:vertAlign w:val="superscript"/>
              </w:rPr>
              <w:t>(8)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12,668,615</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13,169,026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0"/>
                <w:szCs w:val="10"/>
                <w:color w:val="auto"/>
              </w:rPr>
              <w:t>Lyondell Chemical Co.</w:t>
            </w:r>
            <w:r>
              <w:rPr>
                <w:rFonts w:ascii="Arial" w:cs="Arial" w:eastAsia="Arial" w:hAnsi="Arial"/>
                <w:sz w:val="15"/>
                <w:szCs w:val="15"/>
                <w:color w:val="auto"/>
                <w:vertAlign w:val="superscript"/>
              </w:rPr>
              <w:t>(9)</w:t>
            </w:r>
          </w:p>
        </w:tc>
        <w:tc>
          <w:tcPr>
            <w:tcW w:w="780" w:type="dxa"/>
            <w:vAlign w:val="bottom"/>
            <w:gridSpan w:val="2"/>
          </w:tcPr>
          <w:p>
            <w:pPr>
              <w:spacing w:after="0" w:line="138" w:lineRule="exact"/>
              <w:rPr>
                <w:sz w:val="20"/>
                <w:szCs w:val="20"/>
                <w:color w:val="auto"/>
              </w:rPr>
            </w:pPr>
            <w:r>
              <w:rPr>
                <w:rFonts w:ascii="Arial" w:cs="Arial" w:eastAsia="Arial" w:hAnsi="Arial"/>
                <w:sz w:val="14"/>
                <w:szCs w:val="14"/>
                <w:color w:val="auto"/>
              </w:rPr>
              <w:t>12/15/2009</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80" w:type="dxa"/>
            <w:vAlign w:val="bottom"/>
          </w:tcPr>
          <w:p>
            <w:pPr>
              <w:spacing w:after="0"/>
              <w:rPr>
                <w:sz w:val="11"/>
                <w:szCs w:val="11"/>
                <w:color w:val="auto"/>
              </w:rPr>
            </w:pPr>
          </w:p>
        </w:tc>
        <w:tc>
          <w:tcPr>
            <w:tcW w:w="940" w:type="dxa"/>
            <w:vAlign w:val="bottom"/>
            <w:gridSpan w:val="2"/>
          </w:tcPr>
          <w:p>
            <w:pPr>
              <w:jc w:val="right"/>
              <w:ind w:right="54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6,331,385</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6,581,474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1"/>
              </w:rPr>
              <w:t>01/18/2014   Home and Office Furnishings,</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2.55%</w:t>
            </w:r>
          </w:p>
        </w:tc>
        <w:tc>
          <w:tcPr>
            <w:tcW w:w="100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3,910,200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03/28/2014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2.31%</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1"/>
              </w:rPr>
              <w:t>02/28/2013   Home and Office Furnishings,</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2.26%</w:t>
            </w:r>
          </w:p>
        </w:tc>
        <w:tc>
          <w:tcPr>
            <w:tcW w:w="100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L+200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6,825,000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02/01/2013</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2.73%</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L+225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03/16/2014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2.25%</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05/04/2014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06/30/2010</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4.50%</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L+425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Rexnord,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07/19/2013</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2.50%</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01/30/2014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5.95%</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L+550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Sugarhouse HSP Gaming Prop.</w:t>
            </w:r>
          </w:p>
        </w:tc>
        <w:tc>
          <w:tcPr>
            <w:tcW w:w="780" w:type="dxa"/>
            <w:vAlign w:val="bottom"/>
            <w:gridSpan w:val="2"/>
          </w:tcPr>
          <w:p>
            <w:pPr>
              <w:spacing w:after="0" w:line="138" w:lineRule="exact"/>
              <w:rPr>
                <w:sz w:val="20"/>
                <w:szCs w:val="20"/>
                <w:color w:val="auto"/>
              </w:rPr>
            </w:pPr>
            <w:r>
              <w:rPr>
                <w:rFonts w:ascii="Arial" w:cs="Arial" w:eastAsia="Arial" w:hAnsi="Arial"/>
                <w:sz w:val="14"/>
                <w:szCs w:val="14"/>
                <w:color w:val="auto"/>
              </w:rPr>
              <w:t>09/23/2014</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12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11.25%</w:t>
            </w:r>
          </w:p>
        </w:tc>
        <w:tc>
          <w:tcPr>
            <w:tcW w:w="1000" w:type="dxa"/>
            <w:vAlign w:val="bottom"/>
            <w:gridSpan w:val="2"/>
          </w:tcPr>
          <w:p>
            <w:pPr>
              <w:jc w:val="right"/>
              <w:ind w:right="220"/>
              <w:spacing w:after="0" w:line="138" w:lineRule="exact"/>
              <w:rPr>
                <w:sz w:val="20"/>
                <w:szCs w:val="20"/>
                <w:color w:val="auto"/>
              </w:rPr>
            </w:pPr>
            <w:r>
              <w:rPr>
                <w:rFonts w:ascii="Arial" w:cs="Arial" w:eastAsia="Arial" w:hAnsi="Arial"/>
                <w:sz w:val="10"/>
                <w:szCs w:val="10"/>
                <w:color w:val="auto"/>
              </w:rPr>
              <w:t>L+825</w:t>
            </w:r>
            <w:r>
              <w:rPr>
                <w:rFonts w:ascii="Arial" w:cs="Arial" w:eastAsia="Arial" w:hAnsi="Arial"/>
                <w:sz w:val="15"/>
                <w:szCs w:val="15"/>
                <w:color w:val="auto"/>
                <w:vertAlign w:val="superscript"/>
              </w:rPr>
              <w:t>(8)</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82"/>
              </w:rPr>
              <w:t>20,000,000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19,600,000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10/12/2014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4.26%</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07/21/2012</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07/15/2016</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11.38%</w:t>
            </w:r>
          </w:p>
        </w:tc>
        <w:tc>
          <w:tcPr>
            <w:tcW w:w="100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5,000,000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164,863,868</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453,644,335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9"/>
              </w:rPr>
              <w:t>Fair Value</w:t>
            </w:r>
            <w:r>
              <w:rPr>
                <w:rFonts w:ascii="Arial" w:cs="Arial" w:eastAsia="Arial" w:hAnsi="Arial"/>
                <w:sz w:val="22"/>
                <w:szCs w:val="22"/>
                <w:b w:val="1"/>
                <w:bCs w:val="1"/>
                <w:color w:val="auto"/>
                <w:w w:val="89"/>
                <w:vertAlign w:val="superscript"/>
              </w:rPr>
              <w:t>(3)</w:t>
            </w:r>
          </w:p>
        </w:tc>
        <w:tc>
          <w:tcPr>
            <w:tcW w:w="0" w:type="dxa"/>
            <w:vAlign w:val="bottom"/>
          </w:tcPr>
          <w:p>
            <w:pPr>
              <w:spacing w:after="0"/>
              <w:rPr>
                <w:sz w:val="1"/>
                <w:szCs w:val="1"/>
                <w:color w:val="auto"/>
              </w:rPr>
            </w:pPr>
          </w:p>
        </w:tc>
      </w:tr>
      <w:tr>
        <w:trPr>
          <w:trHeight w:val="176"/>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Companies—5.4%</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Notes—1.7%</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07/02/2014</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9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7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93"/>
              </w:rPr>
              <w:t>5,077,822</w:t>
            </w:r>
          </w:p>
        </w:tc>
        <w:tc>
          <w:tcPr>
            <w:tcW w:w="1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4,878,081</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4,988,960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07/02/2013</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6.24%</w:t>
            </w:r>
          </w:p>
        </w:tc>
        <w:tc>
          <w:tcPr>
            <w:tcW w:w="7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93"/>
              </w:rPr>
              <w:t>8,750,000</w:t>
            </w: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8,019,375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Equity/Partnership Interest</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—1.0%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37,500</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3,107,403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17,378,081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16,115,738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Investments—156.3%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497,287,886</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469,760,073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80" w:type="dxa"/>
            <w:vAlign w:val="bottom"/>
            <w:gridSpan w:val="3"/>
          </w:tcPr>
          <w:p>
            <w:pPr>
              <w:spacing w:after="0" w:line="155" w:lineRule="exact"/>
              <w:rPr>
                <w:sz w:val="20"/>
                <w:szCs w:val="20"/>
                <w:color w:val="auto"/>
              </w:rPr>
            </w:pPr>
            <w:r>
              <w:rPr>
                <w:rFonts w:ascii="Arial" w:cs="Arial" w:eastAsia="Arial" w:hAnsi="Arial"/>
                <w:sz w:val="14"/>
                <w:szCs w:val="14"/>
                <w:color w:val="auto"/>
              </w:rPr>
              <w:t>Cash Equivalents—11.1%</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2"/>
              </w:rPr>
              <w:t>33,247,666</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33,247,666</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33,247,666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530,535,552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503,007,739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300,580,268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spacing w:after="0" w:line="68" w:lineRule="exact"/>
        <w:rPr>
          <w:rFonts w:ascii="Arial" w:cs="Arial" w:eastAsia="Arial" w:hAnsi="Arial"/>
          <w:sz w:val="14"/>
          <w:szCs w:val="14"/>
          <w:color w:val="auto"/>
        </w:rPr>
      </w:pPr>
    </w:p>
    <w:p>
      <w:pPr>
        <w:ind w:left="340" w:right="20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Non-income producing securities.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Basis Point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46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Companies—168.1%</w:t>
            </w:r>
            <w:r>
              <w:rPr>
                <w:rFonts w:ascii="Arial" w:cs="Arial" w:eastAsia="Arial" w:hAnsi="Arial"/>
                <w:sz w:val="16"/>
                <w:szCs w:val="16"/>
                <w:b w:val="1"/>
                <w:bCs w:val="1"/>
                <w:color w:val="auto"/>
                <w:vertAlign w:val="superscript"/>
              </w:rPr>
              <w:t>(1),(2)</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Notes—76.8%</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11/30/2015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$ 16,268,634</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$ 16,268,634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03/01/2012</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21,587,384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04/17/2015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7,831,761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03/19/2014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19,502,246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06/06/2014</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21,649,325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05/20/2012</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13.75%</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19,555,782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12/28/2015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9,922,722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04/15/2015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26,337,698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10/01/2016</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19,811,785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02/08/2015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20,428,146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187,877,433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182,895,483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161,758,819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02/07/2015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11,682,795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02/07/2015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8.81%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13,068,290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04/30/2015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11.26%</w:t>
            </w: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L+750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11,947,073</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11/04/2014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9.31%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05/15/2015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L+775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9,951,058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05/15/2017</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16,565,952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06/15/2015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8.54%</w:t>
            </w:r>
            <w:r>
              <w:rPr>
                <w:rFonts w:ascii="Arial" w:cs="Arial" w:eastAsia="Arial" w:hAnsi="Arial"/>
                <w:sz w:val="15"/>
                <w:szCs w:val="15"/>
                <w:color w:val="auto"/>
                <w:vertAlign w:val="superscript"/>
              </w:rPr>
              <w:t>(6)</w:t>
            </w: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L+575</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12,500,000</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11,838,114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12/15/2014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22,485,895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06/15/2015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15,866,044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4"/>
                <w:szCs w:val="14"/>
                <w:color w:val="auto"/>
              </w:rPr>
              <w:t>Total Second Lien Secured Debt</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128,100,000</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123,405,221</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tcPr>
          <w:p>
            <w:pPr>
              <w:jc w:val="right"/>
              <w:ind w:right="140"/>
              <w:spacing w:after="0" w:line="138" w:lineRule="exact"/>
              <w:rPr>
                <w:sz w:val="20"/>
                <w:szCs w:val="20"/>
                <w:color w:val="auto"/>
              </w:rPr>
            </w:pPr>
            <w:r>
              <w:rPr>
                <w:rFonts w:ascii="Arial" w:cs="Arial" w:eastAsia="Arial" w:hAnsi="Arial"/>
                <w:sz w:val="10"/>
                <w:szCs w:val="10"/>
                <w:color w:val="auto"/>
              </w:rPr>
              <w:t>12.00%</w:t>
            </w:r>
            <w:r>
              <w:rPr>
                <w:rFonts w:ascii="Arial" w:cs="Arial" w:eastAsia="Arial" w:hAnsi="Arial"/>
                <w:sz w:val="15"/>
                <w:szCs w:val="15"/>
                <w:color w:val="auto"/>
                <w:vertAlign w:val="superscript"/>
              </w:rPr>
              <w:t>(6)</w:t>
            </w:r>
          </w:p>
        </w:tc>
        <w:tc>
          <w:tcPr>
            <w:tcW w:w="7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842</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841,927</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841,927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120" w:type="dxa"/>
            <w:vAlign w:val="bottom"/>
          </w:tcPr>
          <w:p>
            <w:pPr>
              <w:spacing w:after="0"/>
              <w:rPr>
                <w:sz w:val="11"/>
                <w:szCs w:val="11"/>
                <w:color w:val="auto"/>
              </w:rPr>
            </w:pPr>
          </w:p>
        </w:tc>
        <w:tc>
          <w:tcPr>
            <w:tcW w:w="860" w:type="dxa"/>
            <w:vAlign w:val="bottom"/>
            <w:gridSpan w:val="2"/>
          </w:tcPr>
          <w:p>
            <w:pPr>
              <w:jc w:val="right"/>
              <w:ind w:right="260"/>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(7)</w:t>
            </w:r>
          </w:p>
        </w:tc>
        <w:tc>
          <w:tcPr>
            <w:tcW w:w="7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686</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685,820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74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9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6.50%</w:t>
            </w:r>
            <w:r>
              <w:rPr>
                <w:rFonts w:ascii="Arial" w:cs="Arial" w:eastAsia="Arial" w:hAnsi="Arial"/>
                <w:sz w:val="15"/>
                <w:szCs w:val="15"/>
                <w:color w:val="auto"/>
                <w:vertAlign w:val="superscript"/>
              </w:rPr>
              <w:t>(6)</w:t>
            </w:r>
          </w:p>
        </w:tc>
        <w:tc>
          <w:tcPr>
            <w:tcW w:w="7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1,312</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1,312,006</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140"/>
              <w:spacing w:after="0" w:line="138" w:lineRule="exact"/>
              <w:rPr>
                <w:sz w:val="20"/>
                <w:szCs w:val="20"/>
                <w:color w:val="auto"/>
              </w:rPr>
            </w:pPr>
            <w:r>
              <w:rPr>
                <w:rFonts w:ascii="Arial" w:cs="Arial" w:eastAsia="Arial" w:hAnsi="Arial"/>
                <w:sz w:val="10"/>
                <w:szCs w:val="10"/>
                <w:color w:val="auto"/>
              </w:rPr>
              <w:t>8.00%</w:t>
            </w:r>
            <w:r>
              <w:rPr>
                <w:rFonts w:ascii="Arial" w:cs="Arial" w:eastAsia="Arial" w:hAnsi="Arial"/>
                <w:sz w:val="15"/>
                <w:szCs w:val="15"/>
                <w:color w:val="auto"/>
                <w:vertAlign w:val="superscript"/>
              </w:rPr>
              <w:t>(6)</w:t>
            </w:r>
          </w:p>
        </w:tc>
        <w:tc>
          <w:tcPr>
            <w:tcW w:w="7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2,499,066</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9,298,819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6"/>
              </w:rPr>
              <w:t>Current</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Maturity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  3,000,000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998,883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2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1,627</w:t>
            </w:r>
          </w:p>
        </w:tc>
        <w:tc>
          <w:tcPr>
            <w:tcW w:w="11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16,271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149,557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w w:val="98"/>
              </w:rPr>
              <w:t>CT Technologies Holdings, LLC (CT Technologies Intermediate Holdings,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200" w:type="dxa"/>
            <w:vAlign w:val="bottom"/>
          </w:tcPr>
          <w:p>
            <w:pPr>
              <w:spacing w:after="0"/>
              <w:rPr>
                <w:sz w:val="13"/>
                <w:szCs w:val="13"/>
                <w:color w:val="auto"/>
              </w:rPr>
            </w:pP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5,556</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3,200,000</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3"/>
                <w:szCs w:val="13"/>
                <w:color w:val="auto"/>
              </w:rPr>
            </w:pP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2,173</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2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91,608</w:t>
            </w:r>
          </w:p>
        </w:tc>
        <w:tc>
          <w:tcPr>
            <w:tcW w:w="2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2,569,208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541,793</w:t>
            </w:r>
          </w:p>
        </w:tc>
        <w:tc>
          <w:tcPr>
            <w:tcW w:w="116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6,659,360</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8,464,883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05/28/2013</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5.06%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7,896,473</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7,889,120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01/31/2013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L+250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2,955,000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1,484,888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08/07/2012</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12.04%</w:t>
            </w:r>
            <w:r>
              <w:rPr>
                <w:rFonts w:ascii="Arial" w:cs="Arial" w:eastAsia="Arial" w:hAnsi="Arial"/>
                <w:sz w:val="17"/>
                <w:szCs w:val="17"/>
                <w:color w:val="auto"/>
                <w:vertAlign w:val="superscript"/>
              </w:rPr>
              <w:t>(6)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14,014,177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12,965,204</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12,192,334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08/07/2012</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12.25%</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P+725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2,121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08/28/2014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Media</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4.81%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7,000,000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09/16/2013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3,411,892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12/19/2013</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20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6,912,500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6,912,500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5,149,813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03/08/2014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4.83%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8,932,500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04/15/2014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5.31%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5,000,000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02/07/2014</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9,890,541</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6,156,861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03/08/2014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5.46%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4,564,563</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4,564,563</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2,639,837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Longview Power,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02/28/2014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5.54%</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2,630,001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8"/>
              </w:rPr>
              <w:t>01/18/2014</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5.96%</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3,950,100</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3,950,100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2,567,565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03/28/2014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8"/>
              </w:rPr>
              <w:t>02/28/2013</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4.62%</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6,895,000</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6,900,583</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5,274,675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02/01/2013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4,925,000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03/16/2014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1,474,667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1,474,667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1,194,480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05/04/2014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4,924,167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03/02/2014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699,350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Rexnord , L.L.C.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07/19/2013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Manufacturing/Basic</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5.76%</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2,917,576</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2,917,576</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2,625,819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Industry</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01/30/2014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5.30%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2,592,017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2,592,017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01/30/2014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P+150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106,271,980</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105,222,862</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78,844,929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427,481,745</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354,261,950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22"/>
                <w:szCs w:val="22"/>
                <w:b w:val="1"/>
                <w:bCs w:val="1"/>
                <w:color w:val="auto"/>
                <w:w w:val="97"/>
                <w:vertAlign w:val="superscript"/>
              </w:rPr>
              <w:t>(3)</w:t>
            </w:r>
          </w:p>
        </w:tc>
        <w:tc>
          <w:tcPr>
            <w:tcW w:w="0" w:type="dxa"/>
            <w:vAlign w:val="bottom"/>
          </w:tcPr>
          <w:p>
            <w:pPr>
              <w:spacing w:after="0"/>
              <w:rPr>
                <w:sz w:val="1"/>
                <w:szCs w:val="1"/>
                <w:color w:val="auto"/>
              </w:rPr>
            </w:pPr>
          </w:p>
        </w:tc>
      </w:tr>
      <w:tr>
        <w:trPr>
          <w:trHeight w:val="176"/>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Maturity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Companies—8.5%</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Notes—2.1%</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Performance Holdings, Inc.</w:t>
            </w:r>
          </w:p>
        </w:tc>
        <w:tc>
          <w:tcPr>
            <w:tcW w:w="72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8"/>
              </w:rPr>
              <w:t>07/02/2014</w:t>
            </w:r>
          </w:p>
        </w:tc>
        <w:tc>
          <w:tcPr>
            <w:tcW w:w="11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980" w:type="dxa"/>
            <w:vAlign w:val="bottom"/>
            <w:gridSpan w:val="3"/>
            <w:vMerge w:val="continue"/>
            <w:shd w:val="clear" w:color="auto" w:fill="CCEEFF"/>
          </w:tcPr>
          <w:p>
            <w:pPr>
              <w:spacing w:after="0"/>
              <w:rPr>
                <w:sz w:val="13"/>
                <w:szCs w:val="13"/>
                <w:color w:val="auto"/>
              </w:rPr>
            </w:pPr>
          </w:p>
        </w:tc>
        <w:tc>
          <w:tcPr>
            <w:tcW w:w="7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3"/>
              </w:rPr>
              <w:t>4,414,356</w:t>
            </w:r>
          </w:p>
        </w:tc>
        <w:tc>
          <w:tcPr>
            <w:tcW w:w="1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4,192,261</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4,414,356</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Performance, Inc.</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8"/>
              </w:rPr>
              <w:t>07/02/2013</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8.55%</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8,750,000</w:t>
            </w: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8,347,500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160" w:type="dxa"/>
            <w:vAlign w:val="bottom"/>
            <w:gridSpan w:val="3"/>
          </w:tcPr>
          <w:p>
            <w:pPr>
              <w:spacing w:after="0" w:line="159" w:lineRule="exact"/>
              <w:rPr>
                <w:sz w:val="20"/>
                <w:szCs w:val="20"/>
                <w:color w:val="auto"/>
              </w:rPr>
            </w:pPr>
            <w:r>
              <w:rPr>
                <w:rFonts w:ascii="Arial" w:cs="Arial" w:eastAsia="Arial" w:hAnsi="Arial"/>
                <w:sz w:val="14"/>
                <w:szCs w:val="14"/>
                <w:color w:val="auto"/>
              </w:rPr>
              <w:t>NCP-Performance (Performance Holdings, Inc.)</w:t>
            </w:r>
          </w:p>
        </w:tc>
        <w:tc>
          <w:tcPr>
            <w:tcW w:w="7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20" w:type="dxa"/>
            <w:vAlign w:val="bottom"/>
          </w:tcPr>
          <w:p>
            <w:pPr>
              <w:spacing w:after="0"/>
              <w:rPr>
                <w:sz w:val="14"/>
                <w:szCs w:val="14"/>
                <w:color w:val="auto"/>
              </w:rPr>
            </w:pP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37,500</w:t>
            </w:r>
          </w:p>
        </w:tc>
        <w:tc>
          <w:tcPr>
            <w:tcW w:w="120" w:type="dxa"/>
            <w:vAlign w:val="bottom"/>
          </w:tcPr>
          <w:p>
            <w:pPr>
              <w:spacing w:after="0"/>
              <w:rPr>
                <w:sz w:val="14"/>
                <w:szCs w:val="14"/>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5,124,014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16,692,261</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17,885,870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Investments—176.6%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444,174,006</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372,147,820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Money Market—Mutual Funds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40,249,201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40,249,201</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Equivalents—195.7%</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484,423,207</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412,397,021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Assets—(95.7%)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w w:val="76"/>
              </w:rPr>
              <w:t>$</w:t>
            </w:r>
          </w:p>
        </w:tc>
        <w:tc>
          <w:tcPr>
            <w:tcW w:w="9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84"/>
              </w:rPr>
              <w:t>(201,668,761)</w:t>
            </w: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210,728,260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Except where the context suggests otherwise, the terms “we,” “us,” “our” and “PennantPark Investment” refer to PennantPark Investment Corporation.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net proceeds of $3.3 million.</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consolidated financial statements, for the period from January 11, 2007 (inception) through September 30, 2007, include the accounts of PennantPark Investment and its wholly owned special purpose subsidiary, Pennant SPV Company, LLC (“Pennant SPV”) a Delaware corporation. On April 24, 2007, Pennant SPV transferred all of its assets to PennantPark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Actual results could differ from these estimates. Certain prior period amounts have been reclassified to conform to current period presentation.</w:t>
      </w:r>
    </w:p>
    <w:p>
      <w:pPr>
        <w:spacing w:after="0" w:line="19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the investment, our board of directors undertakes a multi-step valuation process each quarter, as described below:</w:t>
      </w:r>
    </w:p>
    <w:p>
      <w:pPr>
        <w:spacing w:after="0" w:line="4" w:lineRule="exact"/>
        <w:rPr>
          <w:sz w:val="20"/>
          <w:szCs w:val="20"/>
          <w:color w:val="auto"/>
        </w:rPr>
      </w:pPr>
    </w:p>
    <w:p>
      <w:pPr>
        <w:ind w:left="900" w:right="48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(formerly known as FASB Statement No. 109),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(formerly known as FASB Interpretation No. 48, Accounting for Uncertainty in Income Taxes) nor did we have any unrecognized tax benefits as of September 30, 2007, 2008 or 2009. Although we file federal and state tax returns, our major tax jurisdiction is federal. Our 2007 to 2009 federal tax years remain subject to examination by the Internal Revenue Service. See Note 7 to the financial statements.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New Accounting Pronouncements and Accounting Standards Updates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In September 2006,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clarifies the definition of fair value and requires companies to expand their disclosure about the use of fair value to measure assets and liabilities in interim and annual periods subsequent to initial recognition. With adoption of the Accounting Standards Codification in September 2009, or ASC, references to authoritative accounting literature refer to the relevant section of the ASC. Adoption of ASC 820 (formerly known as SFAS 157)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have adopted ASC 820 on October 1, 2008. The adoption of ASC 820 did not affect our financial position or results of operations. See Note 2 and Note 5 to the financial statements.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FASB issued SFAS 159, </w:t>
      </w:r>
      <w:r>
        <w:rPr>
          <w:rFonts w:ascii="Arial" w:cs="Arial" w:eastAsia="Arial" w:hAnsi="Arial"/>
          <w:sz w:val="16"/>
          <w:szCs w:val="16"/>
          <w:i w:val="1"/>
          <w:iCs w:val="1"/>
          <w:color w:val="auto"/>
        </w:rPr>
        <w:t>The Fair Value Option for Financial Assets and Financial Liabilities—Including an Amendment of FASB 115</w:t>
      </w:r>
      <w:r>
        <w:rPr>
          <w:rFonts w:ascii="Arial" w:cs="Arial" w:eastAsia="Arial" w:hAnsi="Arial"/>
          <w:sz w:val="16"/>
          <w:szCs w:val="16"/>
          <w:color w:val="auto"/>
        </w:rPr>
        <w:t>. ASC 825 (formerly known as SFAS 159) permits an entity to choose to measure many financial instruments and certain other items at fair value. ASC 825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ASC 825 on October 1, 2008 and have made an irrevocable election to apply the fair value option to our long-term credit facility liability. The fair value option was elected for our credit facility to align the measurement attributes of both the assets and liabilities while mitigating volatility in earnings from using different measurement attributes. Upon our adoption of ASC 825 our Net Asset Value increased by $41.8 million, or $1.99 per share, due to the fair value adjustment related to our credit facility. We have used a nationally recognized independent valuations firm to measure the fair value of our credit facility in a manner consistent with the valuation process that our board of directors uses to value our investments. After adoption, subsequent changes in the fair value of our credit facility have been recorded in the statement of operations. We have not elected to apply the fair value option to any other financial assets or liabilities. See Note 5 to the financial statements.</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In May 2009, FASB issued SFAS 165, or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June 2009, FASB issued SFAS 168, </w:t>
      </w:r>
      <w:r>
        <w:rPr>
          <w:rFonts w:ascii="Arial" w:cs="Arial" w:eastAsia="Arial" w:hAnsi="Arial"/>
          <w:sz w:val="18"/>
          <w:szCs w:val="18"/>
          <w:i w:val="1"/>
          <w:iCs w:val="1"/>
          <w:color w:val="auto"/>
        </w:rPr>
        <w:t>The FASB Accounting Standards Codification and the Hierarchy of Generally Accepted Accounting Principles—a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replacement of FASB 162 </w:t>
      </w:r>
      <w:r>
        <w:rPr>
          <w:rFonts w:ascii="Arial" w:cs="Arial" w:eastAsia="Arial" w:hAnsi="Arial"/>
          <w:sz w:val="18"/>
          <w:szCs w:val="18"/>
          <w:color w:val="auto"/>
        </w:rPr>
        <w:t>, SFAS 168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and annual periods ending after September 15, 2009. On the effective date of ASC 105-10, the Accounting Standards Codification, or ASC, will supersede all then-existing GAAP for non-governmental entities and reporting standards, subject to certain grandfathered literature. The purpose of ASC is not change accounting literature but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rather to serve as a single source of authoritative accounting literature. The adoption of ASC 105-10 did not have a material impact on our financial statements.</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2009.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“adjusted gross assets”, if any, see Note 11).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years ended September 30, 2009 and 2008, the Investment Adviser received a net base management fee of $7.7 million and $6.7 million, respectively, from us. For the period from April 24, 2007 (initial public offering) through September 30, 2007, the Investment Adviser received a net base management fee of approximately $1.9 million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7" w:lineRule="exact"/>
        <w:rPr>
          <w:sz w:val="20"/>
          <w:szCs w:val="20"/>
          <w:color w:val="auto"/>
        </w:rPr>
      </w:pPr>
    </w:p>
    <w:p>
      <w:pPr>
        <w:ind w:firstLine="464"/>
        <w:spacing w:after="0" w:line="294"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years ended September 30, 2009 and 2008, the Investment Adviser received an incentive fee of $5.7 million and $3.8 million, respectively from us. For the period from April 24, 2007 (initial public offering) through September 30, 2007, the Investment Adviser did not receive an incentive fee from us.</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2009. Under this agreement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years ended September 30, 2009 and 2008, the Investment Adviser was reimbursed $1.7 million and $2.0 million, respectively, from us, including expenses it incurred on behalf of the Administrator, for services described above. For the period from April 24, 2007 (initial public offering) through September 30, 2007, the Investment Adviser was reimbursed approximately $0.5 million from us for services described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Purchases of long-term investments including PIK for the fiscal years ended September 30, 2009, 2008 and for the period from January 11, 2007 (inception) through September 30, 2007 totaled $117.4 million, $209.2 million and $414.6 million, respectively. Sales and repayments of long-term investments for the fiscal years ended September 30, 2009, 2008 and for the period from January 11, 2007 (inception) through September 30, 2007 totaled $28.0 million, $70.1 million and $99.6 million,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2009</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164,863,868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150,607,490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105,222,862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Second lien</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152,321,496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134,401,542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132,155,221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104,242,000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158,139,903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157,119,017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187,087,744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166,173,175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Preferred equity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9,750,317</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10,934,053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9,298,819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12,212,302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16,697,971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40,249,201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40,249,201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530,535,552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503,007,739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484,423,207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412,397,021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2009 and September 30,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20" w:type="dxa"/>
            <w:vAlign w:val="bottom"/>
          </w:tcPr>
          <w:p>
            <w:pPr>
              <w:spacing w:after="0"/>
              <w:rPr>
                <w:sz w:val="14"/>
                <w:szCs w:val="14"/>
                <w:color w:val="auto"/>
              </w:rPr>
            </w:pPr>
          </w:p>
        </w:tc>
        <w:tc>
          <w:tcPr>
            <w:tcW w:w="258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w w:val="85"/>
              </w:rPr>
              <w:t>September 30, 2009</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60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9%</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Home and Office Furnishings, Housewares, and Durable 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3"/>
          </w:tcPr>
          <w:p>
            <w:pPr>
              <w:jc w:val="right"/>
              <w:ind w:right="130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00" w:type="dxa"/>
            <w:vAlign w:val="bottom"/>
            <w:gridSpan w:val="3"/>
          </w:tcPr>
          <w:p>
            <w:pPr>
              <w:jc w:val="right"/>
              <w:ind w:right="420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Effective October 1, 2008, we adopted ASC 820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September 30, 2009, our cash and cash equivalents, investments and our long-term credit facility were categorized as follows in the fair value hierarchy for ASC 820 purposes: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2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89"/>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6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78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8"/>
              </w:rPr>
              <w:t>Assets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7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(Level 1)</w:t>
            </w:r>
          </w:p>
        </w:tc>
        <w:tc>
          <w:tcPr>
            <w:tcW w:w="6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$ 442,128,049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$ 442,128,049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3"/>
            <w:vMerge w:val="continue"/>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Loan and debt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investments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investments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349,260,104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22,887,716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(39,243,879)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42,008,505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2,489,868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44,498,373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118,059,327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2,254,440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120,313,767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(27,956,008)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(27,956,008)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442,128,049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27,632,024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469,760,073</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3"/>
              </w:rPr>
              <w:t>Net change in unrealized appreciation / (depreciation) for the year reported within the net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2"/>
              </w:rPr>
              <w:t xml:space="preserve">unrealized appreciation on investments in our Statement of Operations attributable to our </w:t>
            </w:r>
            <w:r>
              <w:rPr>
                <w:rFonts w:ascii="Arial" w:cs="Arial" w:eastAsia="Arial" w:hAnsi="Arial"/>
                <w:sz w:val="18"/>
                <w:szCs w:val="18"/>
                <w:i w:val="1"/>
                <w:iCs w:val="1"/>
                <w:color w:val="auto"/>
                <w:w w:val="92"/>
              </w:rPr>
              <w:t>Level 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30,141,081</w:t>
            </w:r>
          </w:p>
        </w:tc>
        <w:tc>
          <w:tcPr>
            <w:tcW w:w="2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2,489,868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32,630,949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Long-Term</w:t>
            </w: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Credit Facility</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162,000,000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(41,796,000)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108,200,000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(52,100,000)</w:t>
            </w:r>
          </w:p>
        </w:tc>
      </w:tr>
      <w:tr>
        <w:trPr>
          <w:trHeight w:val="223"/>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5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168,475,380</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600" w:type="dxa"/>
            <w:vAlign w:val="bottom"/>
            <w:gridSpan w:val="2"/>
          </w:tcPr>
          <w:p>
            <w:pPr>
              <w:jc w:val="right"/>
              <w:ind w:right="4480"/>
              <w:spacing w:after="0"/>
              <w:rPr>
                <w:sz w:val="20"/>
                <w:szCs w:val="20"/>
                <w:color w:val="auto"/>
              </w:rPr>
            </w:pPr>
            <w:r>
              <w:rPr>
                <w:rFonts w:ascii="Arial" w:cs="Arial" w:eastAsia="Arial" w:hAnsi="Arial"/>
                <w:sz w:val="18"/>
                <w:szCs w:val="18"/>
                <w:color w:val="auto"/>
              </w:rPr>
              <w:t>F-23</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our fiscal year ended September 30, 2009, $7.8 million was recorded as the change in unrealized appreciation on the credit facility in the statement of operations. PennantPark Investment has used a nationally recognized independent valuation service to measure the fair value of its credit facility in a manner consistent with the valuation process that the board of directors uses to value investments.</w:t>
      </w:r>
    </w:p>
    <w:p>
      <w:pPr>
        <w:spacing w:after="0" w:line="12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 for which PennantPark Investment elected the fair value option under ASC 825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for which a transition adjustment was recorded as of October 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Carrying Value/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ind w:left="580"/>
              <w:spacing w:after="0" w:line="149" w:lineRule="exact"/>
              <w:rPr>
                <w:sz w:val="20"/>
                <w:szCs w:val="20"/>
                <w:color w:val="auto"/>
              </w:rPr>
            </w:pPr>
            <w:r>
              <w:rPr>
                <w:rFonts w:ascii="Arial" w:cs="Arial" w:eastAsia="Arial" w:hAnsi="Arial"/>
                <w:sz w:val="14"/>
                <w:szCs w:val="14"/>
                <w:b w:val="1"/>
                <w:bCs w:val="1"/>
                <w:color w:val="auto"/>
              </w:rPr>
              <w:t>September 30, 2009</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Cost 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Transition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Fair Value on</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Adjustment to</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restart"/>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before adoption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Retained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after adoption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20" w:type="dxa"/>
            <w:vAlign w:val="bottom"/>
          </w:tcPr>
          <w:p>
            <w:pPr>
              <w:jc w:val="center"/>
              <w:ind w:right="24"/>
              <w:spacing w:after="0"/>
              <w:rPr>
                <w:sz w:val="20"/>
                <w:szCs w:val="20"/>
                <w:color w:val="auto"/>
              </w:rPr>
            </w:pPr>
            <w:r>
              <w:rPr>
                <w:rFonts w:ascii="Arial" w:cs="Arial" w:eastAsia="Arial" w:hAnsi="Arial"/>
                <w:sz w:val="14"/>
                <w:szCs w:val="14"/>
                <w:b w:val="1"/>
                <w:bCs w:val="1"/>
                <w:color w:val="auto"/>
                <w:w w:val="86"/>
              </w:rPr>
              <w:t>of ASC 825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6"/>
              </w:rPr>
              <w:t>of ASC 825</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Long-term</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218,100,000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120,204,000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Temporary draw</w:t>
            </w:r>
            <w:r>
              <w:rPr>
                <w:rFonts w:ascii="Arial" w:cs="Arial" w:eastAsia="Arial" w:hAnsi="Arial"/>
                <w:sz w:val="11"/>
                <w:szCs w:val="1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225,100,000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175,475,380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160,204,000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6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Temporary draw may include credit facility borrowings at the end of each quarter to maximize investment flexibility. See Note 11 to the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5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35,802,029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(40,702,939)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21,092,334**</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21,068,772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4"/>
              </w:rPr>
              <w:t>20,936,149*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Since completion of IPO on April 24, 2007</w:t>
      </w:r>
    </w:p>
    <w:p>
      <w:pPr>
        <w:spacing w:after="0" w:line="15"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Denominator for diluted weighted average shares is 21,094,745. See Note 13 to the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AND DISTRIBUTIONS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Dividends from net investment income and distributions from net realized capital gains are determined in accordance with U.S. federal tax regulations, which may differ from amounts determined in accordance with GAAP. These book/tax differences are either temporary or permanent in nature. To the extent these differences are permanent, they are reclassified to undistributed net investment income, accumulated net realized loss or paid-in-capital, as appropriate in the period that the differences arise. The following differences were reclassified for tax purposes for the year ended September 30, 2009: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Decrease in accumulated net realized loss</w:t>
            </w:r>
          </w:p>
        </w:tc>
        <w:tc>
          <w:tcPr>
            <w:tcW w:w="37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(87,991)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September 30, 2009, the cost of investments for federal income tax purposes was $497.3 million resulting in a gross unrealized appreciation and depreciation of $19.4 million and $46.9 million, respectively. The following reconciles net increase in net assets resulting from operations to taxable income for the year ended September 30, 2009: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$ 35,802,029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transactions</w:t>
            </w:r>
          </w:p>
        </w:tc>
        <w:tc>
          <w:tcPr>
            <w:tcW w:w="6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(44,498,373)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6680" w:type="dxa"/>
            <w:vAlign w:val="bottom"/>
            <w:gridSpan w:val="3"/>
          </w:tcPr>
          <w:p>
            <w:pPr>
              <w:jc w:val="right"/>
              <w:ind w:right="4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taxable income</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841,335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deductible expenses</w:t>
            </w:r>
          </w:p>
        </w:tc>
        <w:tc>
          <w:tcPr>
            <w:tcW w:w="56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(13,808)</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564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$ 23,546,442</w:t>
            </w:r>
          </w:p>
        </w:tc>
        <w:tc>
          <w:tcPr>
            <w:tcW w:w="100" w:type="dxa"/>
            <w:vAlign w:val="bottom"/>
            <w:shd w:val="clear" w:color="auto" w:fill="CCEEFF"/>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680" w:type="dxa"/>
            <w:vAlign w:val="bottom"/>
            <w:gridSpan w:val="3"/>
          </w:tcPr>
          <w:p>
            <w:pPr>
              <w:jc w:val="right"/>
              <w:ind w:right="5540"/>
              <w:spacing w:after="0"/>
              <w:rPr>
                <w:sz w:val="20"/>
                <w:szCs w:val="20"/>
                <w:color w:val="auto"/>
              </w:rPr>
            </w:pPr>
            <w:r>
              <w:rPr>
                <w:rFonts w:ascii="Arial" w:cs="Arial" w:eastAsia="Arial" w:hAnsi="Arial"/>
                <w:sz w:val="18"/>
                <w:szCs w:val="18"/>
                <w:color w:val="auto"/>
              </w:rPr>
              <w:t>F-25</w:t>
            </w: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2009, the components of accumulated losses on tax basis and reconciliation to accumulated losses on a book basis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23"/>
        </w:trPr>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Capital loss carry forward*</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(11,250,565)</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Post-October capital losses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(39,331,872)</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Dividend payable and other temporary differences</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(5,638,469)</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of investments and credit facility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22,096,807</w:t>
            </w:r>
          </w:p>
        </w:tc>
        <w:tc>
          <w:tcPr>
            <w:tcW w:w="100" w:type="dxa"/>
            <w:vAlign w:val="bottom"/>
            <w:shd w:val="clear" w:color="auto" w:fill="CCEEFF"/>
          </w:tcPr>
          <w:p>
            <w:pPr>
              <w:spacing w:after="0"/>
              <w:rPr>
                <w:sz w:val="18"/>
                <w:szCs w:val="18"/>
                <w:color w:val="auto"/>
              </w:rPr>
            </w:pPr>
          </w:p>
        </w:tc>
      </w:tr>
      <w:tr>
        <w:trPr>
          <w:trHeight w:val="222"/>
        </w:trPr>
        <w:tc>
          <w:tcPr>
            <w:tcW w:w="10280" w:type="dxa"/>
            <w:vAlign w:val="bottom"/>
            <w:gridSpan w:val="2"/>
          </w:tcPr>
          <w:p>
            <w:pPr>
              <w:spacing w:after="0"/>
              <w:rPr>
                <w:sz w:val="20"/>
                <w:szCs w:val="20"/>
                <w:color w:val="auto"/>
              </w:rPr>
            </w:pPr>
            <w:r>
              <w:rPr>
                <w:rFonts w:ascii="Arial" w:cs="Arial" w:eastAsia="Arial" w:hAnsi="Arial"/>
                <w:sz w:val="18"/>
                <w:szCs w:val="18"/>
                <w:color w:val="auto"/>
              </w:rPr>
              <w:t>Total accumulated losses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(26,505,869)</w:t>
            </w: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right="40" w:hanging="212"/>
        <w:spacing w:after="0" w:line="268" w:lineRule="auto"/>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of September 30, 2009, the Fund had a capital loss carryforward of $11.2 million. If not utilized against future capital gains, $0.2 million of this capital loss carryforward will expire in 2016 and $11.0 million will expire in 2017.</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tax character of dividends declared during the fiscal year ended September 30, 2009 was solely from ordinary income and totaled $20.2 million or $0.96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2009 or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September 30, 2009 and 2008, PennantPark Investment’s total net assets and net asset value per share were $300.6 million and $210.7 million, respectively, and $11.85 and $10.00, respectively. On September 30, 2007, PennantPark Investment’s total net assets and net asset value per share were $270.4 million and $12.83, respectively. Below please find the financial highlights for the periods ending September 30, 2009, 2008 and 2007.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5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2"/>
                <w:szCs w:val="12"/>
                <w:color w:val="auto"/>
              </w:rPr>
            </w:pPr>
          </w:p>
        </w:tc>
        <w:tc>
          <w:tcPr>
            <w:tcW w:w="14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6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2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10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11.99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change in realized and unrealized loss</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(2.81)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(0.96)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(0.90)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(0.79)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30.39%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(38.58)%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25,368,772</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9.49%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7.82%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182,490,685</w:t>
            </w:r>
          </w:p>
        </w:tc>
        <w:tc>
          <w:tcPr>
            <w:tcW w:w="5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119,472,732</w:t>
            </w:r>
          </w:p>
        </w:tc>
        <w:tc>
          <w:tcPr>
            <w:tcW w:w="6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7.47%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sz w:val="20"/>
          <w:szCs w:val="20"/>
          <w:color w:val="auto"/>
        </w:rPr>
      </w:pPr>
    </w:p>
    <w:p>
      <w:pPr>
        <w:ind w:left="460" w:right="400" w:hanging="452"/>
        <w:spacing w:after="0" w:line="357" w:lineRule="auto"/>
        <w:tabs>
          <w:tab w:leader="none" w:pos="4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right="24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Net investment income and net change in realized and unrealized loss per share data are calculated based on the weighted average shares outstanding for the respective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50" w:lineRule="exact"/>
        <w:rPr>
          <w:rFonts w:ascii="Arial" w:cs="Arial" w:eastAsia="Arial" w:hAnsi="Arial"/>
          <w:sz w:val="18"/>
          <w:szCs w:val="18"/>
          <w:color w:val="auto"/>
        </w:rPr>
      </w:pPr>
    </w:p>
    <w:p>
      <w:pPr>
        <w:jc w:val="both"/>
        <w:ind w:left="460" w:right="320" w:hanging="452"/>
        <w:spacing w:after="0" w:line="306"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ratio of operating expenses to average net assets before adoption of ASC 825 for the fiscal year ended September 30, 2009 was 9.32%. The ratio of operating expenses to average net assets before management fee waiver was 6.47% and 4.28% for the fiscal year ended September 30, 2008 and for the period from April 24, 2007 (initial public offering) through September 30, 2007, respectively.</w:t>
      </w:r>
    </w:p>
    <w:p>
      <w:pPr>
        <w:spacing w:after="0" w:line="25"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ratio of total expenses to average net assets before adoption of ASC 825 for the fiscal year ended September 30, 2009 was 11.75%. the ratio of total expenses before management fee waiver to average net assets was 9.13% and 5.78% for the fiscal year ended September 30, 2008 and for the period from April 24, 2007 (initial public offering) through September 30, 2007, respectively.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September 30, 2009, there was $225.1 million in outstanding borrowings under the credit facility (including a $7.0 million temporary draw), with a weighted average interest rate at the time of 1.31% exclusive of the fee on undrawn commitment of 0.20%.</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is approximately 271% including temporary draw as of September 30, 2009 or 278% excluding such draws, and restrictions on certain payments and issuance of debt. For a complete list of such covenants, see our report on Form 8-K, filed June 28, 2007.</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events after the Statement of Assets and Liabilities date have been evaluated through the November 18, 2009.</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13, 2009, the underwriters of the follow-on public offering of common stock exercised their over-allotment option under the underwriting agreement and elected to purchase an additional 440,000 shares of common stock from us at a price of $8.00 per share, resulting in proceeds, net of underwriting fees, of $3.3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20"/>
          </w:cols>
          <w:pgMar w:left="24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have reviewed the accompanying statement of assets and liabilities of PennantPark Investment Corporation (the “Company”) , including the schedules of investments, as of December 31, 2009, and the statements of operations, changes in net assets, and cash flows for the three month periods ended December 31, 2009 and 2008. These interim financial statements are the responsibility of the Company’s management.</w:t>
      </w:r>
    </w:p>
    <w:p>
      <w:pPr>
        <w:spacing w:after="0" w:line="2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2009; and in our report dated November 18, 2009,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526540" cy="3175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00"/>
          </w:cols>
          <w:pgMar w:left="240" w:top="460" w:right="3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2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20" w:type="dxa"/>
            <w:vAlign w:val="bottom"/>
          </w:tcPr>
          <w:p>
            <w:pPr>
              <w:ind w:left="2940"/>
              <w:spacing w:after="0"/>
              <w:rPr>
                <w:sz w:val="20"/>
                <w:szCs w:val="20"/>
                <w:color w:val="auto"/>
              </w:rPr>
            </w:pPr>
            <w:r>
              <w:rPr>
                <w:rFonts w:ascii="Arial" w:cs="Arial" w:eastAsia="Arial" w:hAnsi="Arial"/>
                <w:sz w:val="18"/>
                <w:szCs w:val="18"/>
                <w:b w:val="1"/>
                <w:bCs w:val="1"/>
                <w:color w:val="auto"/>
              </w:rPr>
              <w:t>PENNANTPARK INVESTMENT CORPORATION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3040"/>
              <w:spacing w:after="0"/>
              <w:rPr>
                <w:sz w:val="20"/>
                <w:szCs w:val="20"/>
                <w:color w:val="auto"/>
              </w:rPr>
            </w:pPr>
            <w:r>
              <w:rPr>
                <w:rFonts w:ascii="Arial" w:cs="Arial" w:eastAsia="Arial" w:hAnsi="Arial"/>
                <w:sz w:val="18"/>
                <w:szCs w:val="18"/>
                <w:b w:val="1"/>
                <w:bCs w:val="1"/>
                <w:color w:val="auto"/>
              </w:rPr>
              <w:t>STATEMENTS OF ASSETS AND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Non-controlled, non-affiliated investments, at fair value (cost—$499,221,096 and $479,909,805,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497,049,288</w:t>
            </w:r>
          </w:p>
        </w:tc>
        <w:tc>
          <w:tcPr>
            <w:tcW w:w="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453,644,335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Non-controlled, affiliated investments, at fair value (cost—$17,566,905 and $17,378,081, respectively)</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16,092,038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of Investments, at fair value (cost—$516,788,001 and $497,287,886,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513,141,326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7,051,165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5,714,129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Receivables for investments sold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945,283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526,897,794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Liabilities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6,452,193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6,455,018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(cost—$245,700,000 and $225,100,000,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(See Notes 5 and 10)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201,914,294</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175,475,380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1,809,453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220,749,472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211,801,101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3"/>
              </w:rPr>
              <w:t>Net Assets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4"/>
              </w:rPr>
              <w:t>Common stock, par value $0.001 per share, 100,000,000 shares authorized, 25,808,772 and 25,368,772 shares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issued and outstanding, 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25,809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330,405,864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327,062,304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2,675,930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(67,098,312)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(50,494,447)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(3,646,675)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(27,527,813)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 (See Note 5)</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43,785,706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306,148,322</w:t>
            </w:r>
          </w:p>
        </w:tc>
        <w:tc>
          <w:tcPr>
            <w:tcW w:w="34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300,580,268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526,897,794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3"/>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c>
          <w:tcPr>
            <w:tcW w:w="3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5"/>
              </w:rPr>
              <w:t>Three months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12,951,233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11,712,010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319,603</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327,649</w:t>
            </w: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13,598,485</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12,076,509</w:t>
            </w: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1,809,380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818,683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557,504</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543,415</w:t>
            </w: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20"/>
              <w:spacing w:after="0"/>
              <w:rPr>
                <w:sz w:val="20"/>
                <w:szCs w:val="20"/>
                <w:color w:val="auto"/>
              </w:rPr>
            </w:pPr>
            <w:r>
              <w:rPr>
                <w:rFonts w:ascii="Arial" w:cs="Arial" w:eastAsia="Arial" w:hAnsi="Arial"/>
                <w:sz w:val="18"/>
                <w:szCs w:val="18"/>
                <w:b w:val="1"/>
                <w:bCs w:val="1"/>
                <w:color w:val="auto"/>
              </w:rPr>
              <w:t>Expenses before taxes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6,253,635</w:t>
            </w: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 (See Note 2)</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106,962</w:t>
            </w: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6,360,597</w:t>
            </w: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7,237,888</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2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(16,603,865)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24,093,662</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(40,663,091)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(212,524)</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(1,693,186)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unrealized (appreciation) depreciation (See Note 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(5,838,914)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Arial" w:cs="Arial" w:eastAsia="Arial" w:hAnsi="Arial"/>
                <w:sz w:val="18"/>
                <w:szCs w:val="18"/>
                <w:color w:val="auto"/>
              </w:rPr>
              <w:t>Net change in unrealized appreciation (depreciation)</w:t>
            </w: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18,042,224</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(36,637,583)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1,438,359</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(37,524,653)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8,676,247</w:t>
            </w: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(31,756,724)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(decrease) in net assets resulting from operations per common share (See Note 8)</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0.28</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7,237,888</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(16,603,865)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23,881,138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(5,838,914)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8,676,247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(31,756,724)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to Stockholders: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14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(6,452,193)</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Issuance of shares of common stock, net of offering costs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3,344,000</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5,568,054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(36,813,229)</w:t>
            </w:r>
          </w:p>
        </w:tc>
        <w:tc>
          <w:tcPr>
            <w:tcW w:w="0" w:type="dxa"/>
            <w:vAlign w:val="bottom"/>
          </w:tcPr>
          <w:p>
            <w:pPr>
              <w:spacing w:after="0"/>
              <w:rPr>
                <w:sz w:val="1"/>
                <w:szCs w:val="1"/>
                <w:color w:val="auto"/>
              </w:rPr>
            </w:pPr>
          </w:p>
        </w:tc>
      </w:tr>
      <w:tr>
        <w:trPr>
          <w:trHeight w:val="32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210,728,260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252,524,260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306,148,322</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215,711,031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period end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2,675,930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in connection with public offering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9"/>
              </w:rPr>
              <w:t>Three Months Ended</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8,676,247</w:t>
            </w:r>
          </w:p>
        </w:tc>
        <w:tc>
          <w:tcPr>
            <w:tcW w:w="8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(31,756,724)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Adjustments to reconcile net increase (decrease) in net assets resulting from operations to net cash</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(used for) provided by operating activities: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(23,881,138)</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5,838,914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(5,718,694)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realized loss on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16,603,865</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(1,271,930)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(50,481,259)</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(1,159,733)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16,808,942</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receivable</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(175,073)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receivables for investments sold</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2,680,116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payables for investments purchased</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(19,489,525)</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unfunded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increase in interest payable on credit facility</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(10,954)</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304,543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301,289</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1,318,949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accrued expenses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(115,217)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720"/>
              <w:spacing w:after="0"/>
              <w:rPr>
                <w:sz w:val="20"/>
                <w:szCs w:val="20"/>
                <w:color w:val="auto"/>
              </w:rPr>
            </w:pPr>
            <w:r>
              <w:rPr>
                <w:rFonts w:ascii="Arial" w:cs="Arial" w:eastAsia="Arial" w:hAnsi="Arial"/>
                <w:sz w:val="18"/>
                <w:szCs w:val="18"/>
                <w:color w:val="auto"/>
              </w:rPr>
              <w:t>Net cash (used for) provided by operating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(45,083,996)</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10,008,844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Issuance of shares of common stock, net of offering costs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3,344,000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(5,056,505)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51,300,000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10)</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(30,700,000)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(52,100,000)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18,887,495</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(49,656,505)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(26,196,501)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(39,647,661)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33,247,666</w:t>
            </w: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40,249,201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7,051,165</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601,540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762,328</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1,757,177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41,796,000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00" w:type="dxa"/>
            <w:vAlign w:val="bottom"/>
          </w:tcPr>
          <w:p>
            <w:pPr>
              <w:spacing w:after="0"/>
              <w:rPr>
                <w:sz w:val="15"/>
                <w:szCs w:val="15"/>
                <w:color w:val="auto"/>
              </w:rPr>
            </w:pPr>
          </w:p>
        </w:tc>
        <w:tc>
          <w:tcPr>
            <w:tcW w:w="680" w:type="dxa"/>
            <w:vAlign w:val="bottom"/>
            <w:gridSpan w:val="2"/>
          </w:tcPr>
          <w:p>
            <w:pPr>
              <w:jc w:val="right"/>
              <w:ind w:right="220"/>
              <w:spacing w:after="0" w:line="176" w:lineRule="exact"/>
              <w:rPr>
                <w:sz w:val="20"/>
                <w:szCs w:val="20"/>
                <w:color w:val="auto"/>
              </w:rPr>
            </w:pPr>
            <w:r>
              <w:rPr>
                <w:rFonts w:ascii="Arial" w:cs="Arial" w:eastAsia="Arial" w:hAnsi="Arial"/>
                <w:sz w:val="13"/>
                <w:szCs w:val="13"/>
                <w:b w:val="1"/>
                <w:bCs w:val="1"/>
                <w:color w:val="auto"/>
                <w:w w:val="87"/>
              </w:rPr>
              <w:t>Index</w:t>
            </w:r>
            <w:r>
              <w:rPr>
                <w:rFonts w:ascii="Arial" w:cs="Arial" w:eastAsia="Arial" w:hAnsi="Arial"/>
                <w:sz w:val="20"/>
                <w:szCs w:val="20"/>
                <w:b w:val="1"/>
                <w:bCs w:val="1"/>
                <w:color w:val="auto"/>
                <w:w w:val="87"/>
                <w:vertAlign w:val="superscript"/>
              </w:rPr>
              <w:t>(4)</w:t>
            </w:r>
          </w:p>
        </w:tc>
        <w:tc>
          <w:tcPr>
            <w:tcW w:w="8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6"/>
              </w:rPr>
              <w:t>Par / Shares</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162.4% </w:t>
            </w:r>
            <w:r>
              <w:rPr>
                <w:rFonts w:ascii="Arial" w:cs="Arial" w:eastAsia="Arial" w:hAnsi="Arial"/>
                <w:sz w:val="17"/>
                <w:szCs w:val="17"/>
                <w:b w:val="1"/>
                <w:bCs w:val="1"/>
                <w:color w:val="auto"/>
                <w:vertAlign w:val="superscript"/>
              </w:rPr>
              <w:t>(1),(2)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56.1%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03/01/2012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L+750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$ 23,572,133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$ 22,993,485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$ 22,346,382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12/15/2016</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9"/>
              </w:rPr>
              <w:t>Diversified / Conglomerate</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11.13%</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9,596,022</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9,975,000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90"/>
              </w:rPr>
              <w:t>Manufacturing</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04/17/2015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14.25%</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8,109,468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7,957,538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03/22/2014</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vMerge w:val="restart"/>
          </w:tcPr>
          <w:p>
            <w:pPr>
              <w:jc w:val="right"/>
              <w:ind w:right="104"/>
              <w:spacing w:after="0"/>
              <w:rPr>
                <w:sz w:val="20"/>
                <w:szCs w:val="20"/>
                <w:color w:val="auto"/>
              </w:rPr>
            </w:pPr>
            <w:r>
              <w:rPr>
                <w:rFonts w:ascii="Arial" w:cs="Arial" w:eastAsia="Arial" w:hAnsi="Arial"/>
                <w:sz w:val="11"/>
                <w:szCs w:val="11"/>
                <w:color w:val="auto"/>
                <w:w w:val="88"/>
              </w:rPr>
              <w:t>(6)</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14.00%</w:t>
            </w:r>
          </w:p>
        </w:tc>
        <w:tc>
          <w:tcPr>
            <w:tcW w:w="300" w:type="dxa"/>
            <w:vAlign w:val="bottom"/>
            <w:vMerge w:val="continue"/>
          </w:tcPr>
          <w:p>
            <w:pPr>
              <w:spacing w:after="0"/>
              <w:rPr>
                <w:sz w:val="13"/>
                <w:szCs w:val="13"/>
                <w:color w:val="auto"/>
              </w:rPr>
            </w:pPr>
          </w:p>
        </w:tc>
        <w:tc>
          <w:tcPr>
            <w:tcW w:w="680" w:type="dxa"/>
            <w:vAlign w:val="bottom"/>
            <w:gridSpan w:val="2"/>
          </w:tcPr>
          <w:p>
            <w:pPr>
              <w:jc w:val="center"/>
              <w:ind w:right="20"/>
              <w:spacing w:after="0" w:line="15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20,413,161</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19,995,129</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21,025,556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04/01/2014</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995,803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06/06/2014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14.75%</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22,810,883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22,451,159</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22,993,370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05/20/2012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14,746,483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12/28/2015</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10,390,942</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10,267,437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9,975,304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8,955,185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12/29/2015</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15.00%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11,126,218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11,470,560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10/01/2016</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20,349,340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20,165,943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02/08/2015</w:t>
            </w:r>
          </w:p>
        </w:tc>
        <w:tc>
          <w:tcPr>
            <w:tcW w:w="100" w:type="dxa"/>
            <w:vAlign w:val="bottom"/>
          </w:tcPr>
          <w:p>
            <w:pPr>
              <w:spacing w:after="0"/>
              <w:rPr>
                <w:sz w:val="13"/>
                <w:szCs w:val="13"/>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spacing w:after="0"/>
              <w:rPr>
                <w:sz w:val="13"/>
                <w:szCs w:val="13"/>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20,489,864</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169,740,266</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171,668,935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45.5%</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02/07/2015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6.31%</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L+600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13,600,000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13,167,599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12,185,600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02/07/2015</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7.29%</w:t>
            </w:r>
          </w:p>
        </w:tc>
        <w:tc>
          <w:tcPr>
            <w:tcW w:w="300" w:type="dxa"/>
            <w:vAlign w:val="bottom"/>
          </w:tcPr>
          <w:p>
            <w:pPr>
              <w:spacing w:after="0"/>
              <w:rPr>
                <w:sz w:val="11"/>
                <w:szCs w:val="11"/>
                <w:color w:val="auto"/>
              </w:rPr>
            </w:pPr>
          </w:p>
        </w:tc>
        <w:tc>
          <w:tcPr>
            <w:tcW w:w="6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L+700</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11,745,828</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11,124,000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04/30/2015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7.75%</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L+750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11,951,224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11,496,000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03/01/2014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11/01/2017</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11.50%</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4,814,489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QMG Acquisition, LLC, Term Loan A</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9.50%</w:t>
            </w:r>
          </w:p>
        </w:tc>
        <w:tc>
          <w:tcPr>
            <w:tcW w:w="300" w:type="dxa"/>
            <w:vAlign w:val="bottom"/>
          </w:tcPr>
          <w:p>
            <w:pPr>
              <w:spacing w:after="0"/>
              <w:rPr>
                <w:sz w:val="11"/>
                <w:szCs w:val="11"/>
                <w:color w:val="auto"/>
              </w:rPr>
            </w:pPr>
          </w:p>
        </w:tc>
        <w:tc>
          <w:tcPr>
            <w:tcW w:w="680" w:type="dxa"/>
            <w:vAlign w:val="bottom"/>
            <w:gridSpan w:val="2"/>
          </w:tcPr>
          <w:p>
            <w:pPr>
              <w:jc w:val="center"/>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3,243,646</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3,243,646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3,243,646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Acquisition, LLC, Term Loan B</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12/15/2015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11.50%</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0"/>
                <w:szCs w:val="10"/>
                <w:color w:val="auto"/>
              </w:rPr>
              <w:t xml:space="preserve">L+850 </w:t>
            </w:r>
            <w:r>
              <w:rPr>
                <w:rFonts w:ascii="Arial" w:cs="Arial" w:eastAsia="Arial" w:hAnsi="Arial"/>
                <w:sz w:val="15"/>
                <w:szCs w:val="15"/>
                <w:color w:val="auto"/>
                <w:vertAlign w:val="superscript"/>
              </w:rPr>
              <w:t>(8)</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10/15/2017</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10,566,670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05/15/2015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8.02%</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L+775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9,943,805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05/15/2017</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16,930,027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15,983,750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06/15/2015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5.98%</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L+575</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21,500,000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18,938,779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19,694,000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7.23%</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22,488,167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06/15/2015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7.01%</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L+675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17,094,214</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16,569,492</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15,675,394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143,731,888</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139,020,391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2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319</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318,896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797,288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978,806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4,137,240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4,137,240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4,927,099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6.50%</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1,312</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1,312,006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UP Holdings Inc., Class A-1</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8.00%</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91,608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2,499,066</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2,879,746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9,750,316</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10,882,075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2140" w:type="dxa"/>
            <w:vAlign w:val="bottom"/>
          </w:tcPr>
          <w:p>
            <w:pPr>
              <w:ind w:left="720"/>
              <w:spacing w:after="0"/>
              <w:rPr>
                <w:sz w:val="20"/>
                <w:szCs w:val="20"/>
                <w:color w:val="auto"/>
              </w:rPr>
            </w:pPr>
            <w:r>
              <w:rPr>
                <w:rFonts w:ascii="Arial" w:cs="Arial" w:eastAsia="Arial" w:hAnsi="Arial"/>
                <w:sz w:val="14"/>
                <w:szCs w:val="14"/>
                <w:b w:val="1"/>
                <w:bCs w:val="1"/>
                <w:color w:val="auto"/>
              </w:rPr>
              <w:t>Industry</w:t>
            </w:r>
          </w:p>
        </w:tc>
        <w:tc>
          <w:tcPr>
            <w:tcW w:w="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Par / Shares</w:t>
            </w:r>
          </w:p>
        </w:tc>
        <w:tc>
          <w:tcPr>
            <w:tcW w:w="2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 xml:space="preserve">Value </w:t>
            </w:r>
            <w:r>
              <w:rPr>
                <w:rFonts w:ascii="Arial" w:cs="Arial" w:eastAsia="Arial" w:hAnsi="Arial"/>
                <w:sz w:val="20"/>
                <w:szCs w:val="20"/>
                <w:b w:val="1"/>
                <w:bCs w:val="1"/>
                <w:color w:val="auto"/>
                <w:w w:val="91"/>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 xml:space="preserve"> – 4.8%</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3"/>
              </w:rPr>
              <w:t>Aerospace and Defense</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1,627</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16,271</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245,762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5,556</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3,200,000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6,977,888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(CT Technologies Intermediate</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Holdings,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457,322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1,043,777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1,306,167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1,306,126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B</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531</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160,323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12/29/2019</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137,923</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2,433,112</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3,449,041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1,242,185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312,765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7,446,363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14,767,267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 – 52.2%</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1-800 Contacts,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03/04/2015</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13,894,737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11,907,829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13,269,474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10/01/2016</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7,500,000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7,289,802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7,696,875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07/31/2016</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L+988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9,436,259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11/20/2014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8"/>
              </w:rPr>
              <w:t>Communication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11.50%</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07/07/2012</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14,228,928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13,502,355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10,628,954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Fairway Group Acquisition Company</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10/01/2014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8"/>
              </w:rPr>
              <w:t>Grocery</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L+950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9,701,353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03/08/2014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8,797,500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5,225,715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Headwaters Incorporated </w:t>
            </w:r>
            <w:r>
              <w:rPr>
                <w:rFonts w:ascii="Arial" w:cs="Arial" w:eastAsia="Arial" w:hAnsi="Arial"/>
                <w:sz w:val="15"/>
                <w:szCs w:val="15"/>
                <w:color w:val="auto"/>
                <w:vertAlign w:val="superscript"/>
              </w:rPr>
              <w:t>(5)</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11/01/2014</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Diversified /Conglomerate</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11.38%</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3,000,000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2,972,827</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3,127,500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0"/>
              </w:rPr>
              <w:t>Manufacturing</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04/15/2014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2.81%</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L+250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02/07/2014</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2.53%</w:t>
            </w:r>
          </w:p>
        </w:tc>
        <w:tc>
          <w:tcPr>
            <w:tcW w:w="38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9,799,324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9,799,324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6,712,537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04/06/2010</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1"/>
                <w:szCs w:val="11"/>
                <w:color w:val="auto"/>
              </w:rPr>
              <w:t xml:space="preserve">L+1,000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12,668,615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13,002,337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13,175,360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04/06/2010</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6,331,385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6,488,872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6,584,640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01/18/2014</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2.51%</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3,900,225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3,900,225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2,730,158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02/28/2013</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2.31%</w:t>
            </w:r>
          </w:p>
        </w:tc>
        <w:tc>
          <w:tcPr>
            <w:tcW w:w="38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6"/>
              </w:rPr>
              <w:t>L+200</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6,790,000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6,793,783</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6,207,194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02/01/2013</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4,862,500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3,215,328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03/16/2014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2.24%</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1,426,506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Acquisition, LLC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04/03/2010</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10.50%</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0"/>
                <w:szCs w:val="10"/>
                <w:color w:val="auto"/>
              </w:rPr>
              <w:t>QMG Acquisition, LLC</w:t>
            </w:r>
            <w:r>
              <w:rPr>
                <w:rFonts w:ascii="Arial" w:cs="Arial" w:eastAsia="Arial" w:hAnsi="Arial"/>
                <w:sz w:val="15"/>
                <w:szCs w:val="15"/>
                <w:color w:val="auto"/>
                <w:vertAlign w:val="superscript"/>
              </w:rPr>
              <w:t>(9)</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04/03/2010</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Rexnord,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07/19/2013</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2,880,457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2,880,457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2,698,628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01/30/2014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5.77%</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L+550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2,682,328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2,320,214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09/23/2014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L+825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19,241,573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19,625,000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U.S. Xpress Enterprises,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10/12/2014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Transportation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6.50%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L+450 </w:t>
            </w:r>
            <w:r>
              <w:rPr>
                <w:rFonts w:ascii="Arial" w:cs="Arial" w:eastAsia="Arial" w:hAnsi="Arial"/>
                <w:sz w:val="17"/>
                <w:szCs w:val="17"/>
                <w:color w:val="auto"/>
                <w:vertAlign w:val="superscript"/>
              </w:rPr>
              <w:t>(8)</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14,915,634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10,407,364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12,230,820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 Color Press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07/21/2012</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Printing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3,493,681</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3,196,579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3,502,415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07/15/2016</w:t>
            </w:r>
          </w:p>
        </w:tc>
        <w:tc>
          <w:tcPr>
            <w:tcW w:w="180" w:type="dxa"/>
            <w:vAlign w:val="bottom"/>
          </w:tcPr>
          <w:p>
            <w:pPr>
              <w:spacing w:after="0"/>
              <w:rPr>
                <w:sz w:val="13"/>
                <w:szCs w:val="13"/>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11.38%</w:t>
            </w:r>
          </w:p>
        </w:tc>
        <w:tc>
          <w:tcPr>
            <w:tcW w:w="380" w:type="dxa"/>
            <w:vAlign w:val="bottom"/>
          </w:tcPr>
          <w:p>
            <w:pPr>
              <w:spacing w:after="0"/>
              <w:rPr>
                <w:sz w:val="13"/>
                <w:szCs w:val="13"/>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4,861,682</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5,250,000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First Lien Secured Debt</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168,552,263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160,710,620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499,221,096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497,049,288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6"/>
              </w:rPr>
              <w:t>Par / Shares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 – 5.3% </w:t>
            </w:r>
            <w:r>
              <w:rPr>
                <w:rFonts w:ascii="Arial" w:cs="Arial" w:eastAsia="Arial" w:hAnsi="Arial"/>
                <w:sz w:val="17"/>
                <w:szCs w:val="17"/>
                <w:b w:val="1"/>
                <w:bCs w:val="1"/>
                <w:color w:val="auto"/>
                <w:vertAlign w:val="superscript"/>
              </w:rPr>
              <w:t>(1),(2)</w:t>
            </w: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1.7%</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07/02/2014</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2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 xml:space="preserve">14.25% </w:t>
            </w:r>
            <w:r>
              <w:rPr>
                <w:rFonts w:ascii="Arial" w:cs="Arial" w:eastAsia="Arial" w:hAnsi="Arial"/>
                <w:sz w:val="15"/>
                <w:szCs w:val="15"/>
                <w:color w:val="auto"/>
                <w:vertAlign w:val="superscript"/>
              </w:rPr>
              <w:t>(6)</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5,258,719</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5,066,905</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5,127,251</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2.7%</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07/02/2013</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200" w:type="dxa"/>
            <w:vAlign w:val="bottom"/>
            <w:gridSpan w:val="3"/>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6.04%</w:t>
            </w:r>
          </w:p>
        </w:tc>
        <w:tc>
          <w:tcPr>
            <w:tcW w:w="5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L+575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8,750,000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8,115,625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 </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 xml:space="preserve"> – 0.9%</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37,500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3,750,000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2,849,162</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89"/>
              </w:rPr>
              <w:t>Investments in Non-Controlled, Affiliated Portfolio Companies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17,566,905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16,092,038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167.6%</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516,788,001</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513,141,326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 – 2.3%</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9"/>
              </w:rPr>
              <w:t>7,051,165</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7,051,165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7,051,165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 – 169.9%</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523,839,166</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520,192,491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 – (69.9%)</w:t>
            </w: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(214,044,169)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 100.0%</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306,148,322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Basis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Above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87"/>
              </w:rPr>
              <w:t>Index</w:t>
            </w:r>
            <w:r>
              <w:rPr>
                <w:rFonts w:ascii="Arial" w:cs="Arial" w:eastAsia="Arial" w:hAnsi="Arial"/>
                <w:sz w:val="20"/>
                <w:szCs w:val="20"/>
                <w:b w:val="1"/>
                <w:bCs w:val="1"/>
                <w:color w:val="auto"/>
                <w:w w:val="87"/>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Par / 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80" w:type="dxa"/>
            <w:vAlign w:val="bottom"/>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150.9% </w:t>
            </w:r>
            <w:r>
              <w:rPr>
                <w:rFonts w:ascii="Arial" w:cs="Arial" w:eastAsia="Arial" w:hAnsi="Arial"/>
                <w:sz w:val="16"/>
                <w:szCs w:val="16"/>
                <w:b w:val="1"/>
                <w:bCs w:val="1"/>
                <w:color w:val="auto"/>
                <w:vertAlign w:val="superscript"/>
              </w:rPr>
              <w:t>(1),(2)</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50.6%</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03/01/2012</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$ 23,572,133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$ 22,930,475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04/17/2015</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7,952,769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03/22/2014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20,311,603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19,875,880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04/01/2014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995,610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06/06/2014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14.75%</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22,653,857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05/20/2012</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19,632,400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12/28/2015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10,324,976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04/15/2015</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8,921,187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10/01/2016</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20,197,856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02/08/2015</w:t>
            </w:r>
          </w:p>
        </w:tc>
        <w:tc>
          <w:tcPr>
            <w:tcW w:w="180" w:type="dxa"/>
            <w:vAlign w:val="bottom"/>
          </w:tcPr>
          <w:p>
            <w:pPr>
              <w:spacing w:after="0"/>
              <w:rPr>
                <w:sz w:val="13"/>
                <w:szCs w:val="13"/>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21,000,000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153,261,822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42.1%</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02/07/2015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6.36%</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L+600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13,600,000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13,153,077</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6"/>
              </w:rPr>
              <w:t>02/07/2015</w:t>
            </w:r>
          </w:p>
        </w:tc>
        <w:tc>
          <w:tcPr>
            <w:tcW w:w="180" w:type="dxa"/>
            <w:vAlign w:val="bottom"/>
          </w:tcPr>
          <w:p>
            <w:pPr>
              <w:spacing w:after="0"/>
              <w:rPr>
                <w:sz w:val="11"/>
                <w:szCs w:val="11"/>
                <w:color w:val="auto"/>
              </w:rPr>
            </w:pP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7.44%</w:t>
            </w:r>
          </w:p>
        </w:tc>
        <w:tc>
          <w:tcPr>
            <w:tcW w:w="380" w:type="dxa"/>
            <w:vAlign w:val="bottom"/>
          </w:tcPr>
          <w:p>
            <w:pPr>
              <w:spacing w:after="0"/>
              <w:rPr>
                <w:sz w:val="11"/>
                <w:szCs w:val="11"/>
                <w:color w:val="auto"/>
              </w:rPr>
            </w:pPr>
          </w:p>
        </w:tc>
        <w:tc>
          <w:tcPr>
            <w:tcW w:w="8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L+700</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12,000,000</w:t>
            </w:r>
          </w:p>
        </w:tc>
        <w:tc>
          <w:tcPr>
            <w:tcW w:w="112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11,735,965</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11,364,000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04/30/2015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7.78%</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L+750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12,000,000</w:t>
            </w:r>
          </w:p>
        </w:tc>
        <w:tc>
          <w:tcPr>
            <w:tcW w:w="112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11,949,634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03/01/2014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11/04/2014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6.91%</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(7)</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L+650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10/15/2017</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05/15/2015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L+775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05/15/2017</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16,890,972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06/15/2015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L+575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12/15/2014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L+700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22,500,000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22,488,166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06/15/2015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7.04%</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L+675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16,792,105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color w:val="auto"/>
              </w:rPr>
              <w:t>Total Second Lien Secured Debt</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143,571,496</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797,288</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949,648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3"/>
                <w:szCs w:val="13"/>
                <w:color w:val="auto"/>
              </w:rPr>
            </w:pPr>
          </w:p>
        </w:tc>
        <w:tc>
          <w:tcPr>
            <w:tcW w:w="6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8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6.50%</w:t>
            </w: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8.00%</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2,499,067</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3,094,252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LLC</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w:t>
            </w: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318,896</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Basis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8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Par / 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 xml:space="preserve"> – 4.5%</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  3,005,163</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215,547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3"/>
              </w:rPr>
              <w:t>Business Services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6,696,281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2,391,463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1,337,451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1,656,350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Inc.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11/06/2018</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 (Warrant)</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w:t>
            </w:r>
            <w:r>
              <w:rPr>
                <w:rFonts w:ascii="Arial" w:cs="Arial" w:eastAsia="Arial" w:hAnsi="Arial"/>
                <w:sz w:val="14"/>
                <w:szCs w:val="14"/>
                <w:b w:val="1"/>
                <w:bCs w:val="1"/>
                <w:color w:val="auto"/>
              </w:rPr>
              <w:t>irst Lien Secured Debt – 50.1%</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03/04/2015</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05/28/2013</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2.57%</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10/01/2016</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07/31/2016</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L+988 </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07/07/2012</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04/15/2014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2.88%</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02/07/2014</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7.75%</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L+475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12/15/2009</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1"/>
                <w:szCs w:val="11"/>
                <w:color w:val="auto"/>
              </w:rPr>
              <w:t xml:space="preserve">L+1,000 </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12,668,615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13,169,026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12/15/2009</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6,331,385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6,581,474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01/18/2014</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2.55%</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03/28/2014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02/28/2013</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2.26%</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6,825,000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02/01/2013</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2.73%</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03/16/2014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05/04/2014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(7)</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06/30/2010</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L+425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Rexnord , L.L.C.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07/19/2013</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01/30/2014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L+550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Sugarhouse HSP Gaming Prop.</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09/23/2014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11.25%</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L+825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19,600,000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10/12/2014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4.26%</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L+400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07/21/2012</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164,863,868</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Investments in Non-Controlled, Non-Affiliated Portfolio Companies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453,644,335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Par / Shares</w:t>
            </w:r>
          </w:p>
        </w:tc>
        <w:tc>
          <w:tcPr>
            <w:tcW w:w="8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Companies—5.4% </w:t>
            </w:r>
            <w:r>
              <w:rPr>
                <w:rFonts w:ascii="Arial" w:cs="Arial" w:eastAsia="Arial" w:hAnsi="Arial"/>
                <w:sz w:val="17"/>
                <w:szCs w:val="17"/>
                <w:b w:val="1"/>
                <w:bCs w:val="1"/>
                <w:color w:val="auto"/>
                <w:vertAlign w:val="superscript"/>
              </w:rPr>
              <w:t>(1),(2)</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 – 1.7%</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07/02/2014</w:t>
            </w: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18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96"/>
              </w:rPr>
              <w:t>5,077,822</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4,878,081</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4,988,960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Second Lien Secured Debt – 2.7%</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07/02/2013</w:t>
            </w: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18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6.24%</w:t>
            </w:r>
          </w:p>
        </w:tc>
        <w:tc>
          <w:tcPr>
            <w:tcW w:w="5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L+575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96"/>
              </w:rPr>
              <w:t>8,750,000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8,019,375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Common Equity/Partnership Interest </w:t>
            </w:r>
            <w:r>
              <w:rPr>
                <w:rFonts w:ascii="Arial" w:cs="Arial" w:eastAsia="Arial" w:hAnsi="Arial"/>
                <w:sz w:val="22"/>
                <w:szCs w:val="22"/>
                <w:b w:val="1"/>
                <w:bCs w:val="1"/>
                <w:color w:val="auto"/>
                <w:vertAlign w:val="superscript"/>
              </w:rPr>
              <w:t>(7)</w:t>
            </w:r>
            <w:r>
              <w:rPr>
                <w:rFonts w:ascii="Arial" w:cs="Arial" w:eastAsia="Arial" w:hAnsi="Arial"/>
                <w:sz w:val="14"/>
                <w:szCs w:val="14"/>
                <w:b w:val="1"/>
                <w:bCs w:val="1"/>
                <w:color w:val="auto"/>
              </w:rPr>
              <w:t xml:space="preserve"> – 1.0%</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6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37,500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3,107,403</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17,378,081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16,115,738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156.3%</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497,287,886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469,760,073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 – 11.1%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5"/>
              </w:rPr>
              <w:t>33,247,666</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33,247,666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33,247,666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 – 167.4%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530,535,552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503,007,739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 – (67.4%)</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 100.0%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300,580,268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additional net proceeds of $3.3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 Certain prior period amounts have been reclassified to conform to current period presentation. References to the Accounting Standards Codification, or ASC, serve as a single source of accounting literature and are not intended to change accounting literature.</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Investment Valuations</w:t>
      </w:r>
    </w:p>
    <w:p>
      <w:pPr>
        <w:spacing w:after="0" w:line="17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Security Transactions, Revenue Recognition, and Realized/Unrealized Gains or Losses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w:t>
      </w:r>
      <w:r>
        <w:rPr>
          <w:rFonts w:ascii="Arial" w:cs="Arial" w:eastAsia="Arial" w:hAnsi="Arial"/>
          <w:sz w:val="15"/>
          <w:szCs w:val="15"/>
          <w:i w:val="1"/>
          <w:iCs w:val="1"/>
          <w:color w:val="auto"/>
        </w:rPr>
        <w:t>Income Taxes</w:t>
      </w:r>
      <w:r>
        <w:rPr>
          <w:rFonts w:ascii="Arial" w:cs="Arial" w:eastAsia="Arial" w:hAnsi="Arial"/>
          <w:sz w:val="15"/>
          <w:szCs w:val="15"/>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record an excise tax of $0.1 million for the three months ended December 31, 2009.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28"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Dividends, Distributions, and Capital Transactions</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51"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New Accounting Pronouncements and Accounting Standards Updates</w:t>
      </w:r>
    </w:p>
    <w:p>
      <w:pPr>
        <w:spacing w:after="0" w:line="17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Decreased and Identifying Transactions That Are Not Orderly</w:t>
      </w:r>
      <w:r>
        <w:rPr>
          <w:rFonts w:ascii="Arial" w:cs="Arial" w:eastAsia="Arial" w:hAnsi="Arial"/>
          <w:sz w:val="16"/>
          <w:szCs w:val="16"/>
          <w:color w:val="auto"/>
        </w:rPr>
        <w:t>, or ASC 820-10-35-51A. ASC 820-10-35-51A amends ASC 820 to provide additional guidance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May 2009, FASB issued guidance on, </w:t>
      </w:r>
      <w:r>
        <w:rPr>
          <w:rFonts w:ascii="Arial" w:cs="Arial" w:eastAsia="Arial" w:hAnsi="Arial"/>
          <w:sz w:val="18"/>
          <w:szCs w:val="18"/>
          <w:i w:val="1"/>
          <w:iCs w:val="1"/>
          <w:color w:val="auto"/>
        </w:rPr>
        <w:t>Subsequent Events</w:t>
      </w:r>
      <w:r>
        <w:rPr>
          <w:rFonts w:ascii="Arial" w:cs="Arial" w:eastAsia="Arial" w:hAnsi="Arial"/>
          <w:sz w:val="18"/>
          <w:szCs w:val="18"/>
          <w:color w:val="auto"/>
        </w:rPr>
        <w:t>, or ASC 855,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June 2009, FASB issued guidance on, </w:t>
      </w:r>
      <w:r>
        <w:rPr>
          <w:rFonts w:ascii="Arial" w:cs="Arial" w:eastAsia="Arial" w:hAnsi="Arial"/>
          <w:sz w:val="18"/>
          <w:szCs w:val="18"/>
          <w:i w:val="1"/>
          <w:iCs w:val="1"/>
          <w:color w:val="auto"/>
        </w:rPr>
        <w:t>The FASB Accounting Standards Codification and the Hierarchy of Generally Accepted Accounting Principles—a</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FASB 162</w:t>
      </w:r>
      <w:r>
        <w:rPr>
          <w:rFonts w:ascii="Arial" w:cs="Arial" w:eastAsia="Arial" w:hAnsi="Arial"/>
          <w:sz w:val="18"/>
          <w:szCs w:val="18"/>
          <w:color w:val="auto"/>
        </w:rPr>
        <w:t>,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 interim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periods ending after September 15, 2009. On the effective date of ASC 105-10, the Accounting Standards Codification, or ASC, has superseded all then-existing GAAP for non-governmental entities and reporting standards, subject to certain grandfathered literature. The purpose of ASC is not to change accounting literature but rather to serve as a single source of authoritative accounting literature. The adoption of ASC 105-10 did not have a material impact on our financial statements.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“average adjusted gross assets”, if any, see Note 10). Although the base management fee is 2.00% our of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the three months ended December 31, 2009 and 2008, the Investment Adviser earned a base management fee of $2.5 million and $1.8 million, respectively, from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commencing 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40"/>
          </w:cols>
          <w:pgMar w:left="240" w:top="459" w:right="3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months ended December 31, 2009 and 2008, the Investment Adviser earned an incentive fee of $1.8 million and $1.4 million, respectively from us.</w:t>
      </w:r>
    </w:p>
    <w:p>
      <w:pPr>
        <w:spacing w:after="0" w:line="11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2010.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Reimbursement for certain of these costs is included in administrative services expenses in the statement of operations. For the three months ended December 31, 2009 and 2008, the Investment Adviser was reimbursed $0.3 million and $0.3 million, respectively, from us, including expenses it incurred on behalf of the Administrator, for services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2009 and 2008 totaled $51.6 million and $1.7 million, respectively. Sales and repayments of long-term investments for the three months ended December 31, 2009 and 2008 totaled $16.8 million and $2.3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 2009</w:t>
            </w:r>
          </w:p>
        </w:tc>
        <w:tc>
          <w:tcPr>
            <w:tcW w:w="18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168,552,263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160,710,620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164,863,868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150,607,490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Second lien</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152,481,888</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147,136,016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152,321,496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134,401,542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174,807,171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176,796,186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158,139,903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157,119,017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Preferred equity</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9,750,316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10,882,075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9,750,317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10,934,053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11,196,363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17,616,429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12,212,302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Total Investments</w:t>
            </w: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516,788,001</w:t>
            </w:r>
          </w:p>
        </w:tc>
        <w:tc>
          <w:tcPr>
            <w:tcW w:w="1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513,141,326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497,287,886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7,051,165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7,051,165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523,839,166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520,192,491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530,535,552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503,007,739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F-46</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December 31, 2009 and September 30,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8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83"/>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8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6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8</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 Conglomerate Manufacturing</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Effective October 1, 2008, we adopted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20"/>
          </w:cols>
          <w:pgMar w:left="24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2009 and September 30, 2009, our cash and cash equivalents, investments and our long-term credit facility were categorized as follows in the fair value hierarchy for ASC 820 purposes: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At December 31, 2009</w:t>
            </w: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85"/>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$ 484,642,822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$ 484,642,822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513,141,326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513,141,326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7,051,165</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7,051,165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520,192,491</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7,051,165</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513,141,326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gridSpan w:val="3"/>
            <w:vMerge w:val="continue"/>
          </w:tcPr>
          <w:p>
            <w:pPr>
              <w:spacing w:after="0"/>
              <w:rPr>
                <w:sz w:val="18"/>
                <w:szCs w:val="18"/>
                <w:color w:val="auto"/>
              </w:rPr>
            </w:pPr>
          </w:p>
        </w:tc>
        <w:tc>
          <w:tcPr>
            <w:tcW w:w="33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September 30, 2009</w:t>
            </w:r>
          </w:p>
        </w:tc>
        <w:tc>
          <w:tcPr>
            <w:tcW w:w="1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36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85"/>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$ 442,128,049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$ 442,128,049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469,760,073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33,247,666</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33,247,666</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3"/>
            <w:vMerge w:val="continue"/>
          </w:tcPr>
          <w:p>
            <w:pPr>
              <w:spacing w:after="0"/>
              <w:rPr>
                <w:sz w:val="18"/>
                <w:szCs w:val="18"/>
                <w:color w:val="auto"/>
              </w:rPr>
            </w:pPr>
          </w:p>
        </w:tc>
        <w:tc>
          <w:tcPr>
            <w:tcW w:w="33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00" w:type="dxa"/>
            <w:vAlign w:val="bottom"/>
            <w:gridSpan w:val="3"/>
          </w:tcPr>
          <w:p>
            <w:pPr>
              <w:jc w:val="right"/>
              <w:ind w:right="1780"/>
              <w:spacing w:after="0"/>
              <w:rPr>
                <w:sz w:val="20"/>
                <w:szCs w:val="20"/>
                <w:color w:val="auto"/>
              </w:rPr>
            </w:pPr>
            <w:r>
              <w:rPr>
                <w:rFonts w:ascii="Arial" w:cs="Arial" w:eastAsia="Arial" w:hAnsi="Arial"/>
                <w:sz w:val="18"/>
                <w:szCs w:val="18"/>
                <w:color w:val="auto"/>
              </w:rPr>
              <w:t>F-49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442,128,049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27,632,024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469,760,073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(13,598,702)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(3,005,163)</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21,998,720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1,882,418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23,881,138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52,229,864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683,058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52,912,922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(16,808,942)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(16,808,942)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(1,306,167)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1,306,167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December 31,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484,642,822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28,498,504</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513,141,326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change in unrealized appreciation (depreciation) for the year reported within the net change in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unrealized appreciation on investments in our Statement of Operations attributable to our Level 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5,856,098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(1,122,745)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4,733,353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Period Ended December 31, 2008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349,260,104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22,887,716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(887,070)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(39,885,419)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(2,470,858)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1,870,146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318,896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2,189,042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(2,280,140)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(2,280,140)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308,077,621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20,735,754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328,813,375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8"/>
              </w:rPr>
              <w:t>Net change in unrealized depreciation for the year reported within the net change in unrealized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2"/>
              </w:rPr>
              <w:t xml:space="preserve">depreciation on investments in our Statement of Operations attributable to our </w:t>
            </w:r>
            <w:r>
              <w:rPr>
                <w:rFonts w:ascii="Arial" w:cs="Arial" w:eastAsia="Arial" w:hAnsi="Arial"/>
                <w:sz w:val="18"/>
                <w:szCs w:val="18"/>
                <w:i w:val="1"/>
                <w:iCs w:val="1"/>
                <w:color w:val="auto"/>
                <w:w w:val="92"/>
              </w:rPr>
              <w:t>Level 3</w:t>
            </w:r>
            <w:r>
              <w:rPr>
                <w:rFonts w:ascii="Arial" w:cs="Arial" w:eastAsia="Arial" w:hAnsi="Arial"/>
                <w:sz w:val="18"/>
                <w:szCs w:val="18"/>
                <w:color w:val="auto"/>
                <w:w w:val="92"/>
              </w:rPr>
              <w:t xml:space="preserve"> assets still</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(40,255,417)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(2,470,858)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(42,726,275)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vMerge w:val="restart"/>
          </w:tcPr>
          <w:p>
            <w:pPr>
              <w:ind w:left="4820"/>
              <w:spacing w:after="0"/>
              <w:rPr>
                <w:sz w:val="20"/>
                <w:szCs w:val="20"/>
                <w:color w:val="auto"/>
              </w:rPr>
            </w:pPr>
            <w:r>
              <w:rPr>
                <w:rFonts w:ascii="Arial" w:cs="Arial" w:eastAsia="Arial" w:hAnsi="Arial"/>
                <w:sz w:val="18"/>
                <w:szCs w:val="18"/>
                <w:color w:val="auto"/>
              </w:rPr>
              <w:t>F-50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Period Ended December 31, 2009*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 – $218,100,000)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$ 168,475,380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5,838,914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(19,700,000)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Ending Balance, December 31, 2009 (Cost – $245,700,000)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$ 201,914,294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  There was no temporary draw as of December 31, 2009.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3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2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Period Ended December 31, 2008*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2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 (Cost – $162,000,000)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4,400,000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2008 (Cost – $157,400,000)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$ 109,885,306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There was no temporary draw as of December 31, 2008.</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the three month periods ended December 31, 2009 and 2008, our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December 31, 2009 or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80"/>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8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8,676,247</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(31,756,724)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25,751,381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Basic and diluted net increase (decrease) in net assets per share resulting from operations</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20" w:type="dxa"/>
            <w:vAlign w:val="bottom"/>
          </w:tcPr>
          <w:p>
            <w:pPr>
              <w:ind w:left="4600"/>
              <w:spacing w:after="0"/>
              <w:rPr>
                <w:sz w:val="20"/>
                <w:szCs w:val="20"/>
                <w:color w:val="auto"/>
              </w:rPr>
            </w:pPr>
            <w:r>
              <w:rPr>
                <w:rFonts w:ascii="Arial" w:cs="Arial" w:eastAsia="Arial" w:hAnsi="Arial"/>
                <w:sz w:val="18"/>
                <w:szCs w:val="18"/>
                <w:color w:val="auto"/>
              </w:rPr>
              <w:t>F-52</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net assets and net asset value per share on December 31, 2009 and 2008 were $306.1 million and $215.7 million, respectively, and $11.86 and $10.24, respectively. Below are the financial highlights for the three months ended December 31, 2009 and 2008.</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Three months</w:t>
            </w:r>
          </w:p>
        </w:tc>
        <w:tc>
          <w:tcPr>
            <w:tcW w:w="28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Adjusted net asset value, beginning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change in realized and unrealized gain/(loss)</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(3)</w:t>
            </w: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common stock issuance below net asset value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12.95%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25,808,772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322"/>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Ratios ** / Supplemental Data:</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306,148,322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215,711,031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Weighted average debt outstanding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224,010,870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164,316,304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13.71%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7540" w:firstLine="8"/>
        <w:spacing w:after="0" w:line="286" w:lineRule="auto"/>
        <w:tabs>
          <w:tab w:leader="none" w:pos="44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right="180" w:hanging="452"/>
        <w:spacing w:after="0" w:line="300" w:lineRule="auto"/>
        <w:tabs>
          <w:tab w:leader="none" w:pos="4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right="180" w:hanging="452"/>
        <w:spacing w:after="0" w:line="261"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Net investment income, net change in realized and unrealized loss and net increase (decrease) in net assets resulting from operations per share data are calculated based on the weighted average shares outstanding for the respective periods.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00"/>
          </w:cols>
          <w:pgMar w:left="240" w:top="460"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60" w:hanging="452"/>
        <w:spacing w:after="0" w:line="254"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440" w:hanging="452"/>
        <w:spacing w:after="0" w:line="261"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December 31, 2009 and September 30, 2009, there were $245.7 million and $225.1 million (including a $7.0 million temporary draw) in outstanding borrowings under the credit facility, respectively, with a weighted average interest rate at the time of 1.23% and 1.31%, respectively, exclusive of the fee on undrawn commitment of 0.20%.</w:t>
      </w:r>
    </w:p>
    <w:p>
      <w:pPr>
        <w:spacing w:after="0" w:line="10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and restrictions on certain payments and issuance of debt. For a complete list of such covenants, see our report on Form 8-K, filed June 28, 2007.</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PennantPark Investment has evaluated subsequent events and has no material events to report subsequent to the measurement date of these financial statements through the date of issuance on February 3,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4600"/>
        <w:spacing w:after="0"/>
        <w:rPr>
          <w:sz w:val="20"/>
          <w:szCs w:val="20"/>
          <w:color w:val="auto"/>
        </w:rPr>
      </w:pPr>
      <w:r>
        <w:rPr>
          <w:rFonts w:ascii="Arial" w:cs="Arial" w:eastAsia="Arial" w:hAnsi="Arial"/>
          <w:sz w:val="32"/>
          <w:szCs w:val="32"/>
          <w:b w:val="1"/>
          <w:bCs w:val="1"/>
          <w:i w:val="1"/>
          <w:i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260985</wp:posOffset>
            </wp:positionV>
            <wp:extent cx="2470150" cy="523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700"/>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320" w:lineRule="exact"/>
        <w:rPr>
          <w:sz w:val="20"/>
          <w:szCs w:val="20"/>
          <w:color w:val="auto"/>
        </w:rPr>
      </w:pPr>
    </w:p>
    <w:p>
      <w:pPr>
        <w:jc w:val="right"/>
        <w:ind w:right="2039"/>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40"/>
        <w:spacing w:after="0"/>
        <w:rPr>
          <w:sz w:val="20"/>
          <w:szCs w:val="20"/>
          <w:color w:val="auto"/>
        </w:rPr>
      </w:pPr>
      <w:r>
        <w:rPr>
          <w:rFonts w:ascii="Arial" w:cs="Arial" w:eastAsia="Arial" w:hAnsi="Arial"/>
          <w:sz w:val="24"/>
          <w:szCs w:val="24"/>
          <w:b w:val="1"/>
          <w:bCs w:val="1"/>
          <w:color w:val="auto"/>
        </w:rPr>
        <w:t>Joint-bookrunners</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J.P. Morgan</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Baird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Stifel Nicolaus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SunTrust Robinson Humphrey</w:t>
      </w:r>
    </w:p>
    <w:p>
      <w:pPr>
        <w:spacing w:after="0" w:line="140" w:lineRule="exact"/>
        <w:rPr>
          <w:sz w:val="20"/>
          <w:szCs w:val="20"/>
          <w:color w:val="auto"/>
        </w:rPr>
      </w:pPr>
    </w:p>
    <w:p>
      <w:pPr>
        <w:ind w:left="4940"/>
        <w:spacing w:after="0"/>
        <w:rPr>
          <w:sz w:val="20"/>
          <w:szCs w:val="20"/>
          <w:color w:val="auto"/>
        </w:rPr>
      </w:pPr>
      <w:r>
        <w:rPr>
          <w:rFonts w:ascii="Arial" w:cs="Arial" w:eastAsia="Arial" w:hAnsi="Arial"/>
          <w:sz w:val="24"/>
          <w:szCs w:val="24"/>
          <w:b w:val="1"/>
          <w:bCs w:val="1"/>
          <w:color w:val="auto"/>
        </w:rPr>
        <w:t>Co-managers</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24"/>
          <w:szCs w:val="24"/>
          <w:b w:val="1"/>
          <w:bCs w:val="1"/>
          <w:color w:val="auto"/>
        </w:rPr>
        <w:t>BMO Capital Markets</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FBR Capital Markets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Janney Montgomery Scott</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Keefe, Bruyette &amp; Woods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 2010</w:t>
      </w:r>
    </w:p>
    <w:sectPr>
      <w:pgSz w:w="11900" w:h="16838" w:orient="portrait"/>
      <w:cols w:equalWidth="0" w:num="1">
        <w:col w:w="10219"/>
      </w:cols>
      <w:pgMar w:left="240" w:top="4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1)"/>
      <w:numFmt w:val="decimal"/>
      <w:start w:val="1"/>
    </w:lvl>
  </w:abstractNum>
  <w:abstractNum w:abstractNumId="2">
    <w:nsid w:val="47398C89"/>
    <w:multiLevelType w:val="hybridMultilevel"/>
    <w:lvl w:ilvl="0">
      <w:lvlJc w:val="left"/>
      <w:lvlText w:val="(%1)"/>
      <w:numFmt w:val="decimal"/>
      <w:start w:val="7"/>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1)"/>
      <w:numFmt w:val="decimal"/>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1)"/>
      <w:numFmt w:val="decimal"/>
      <w:start w:val="3"/>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1)"/>
      <w:numFmt w:val="decimal"/>
      <w:start w:val="7"/>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1)"/>
      <w:numFmt w:val="decimal"/>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1)"/>
      <w:numFmt w:val="decimal"/>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decimal"/>
      <w:start w:val="1"/>
    </w:lvl>
  </w:abstractNum>
  <w:abstractNum w:abstractNumId="30">
    <w:nsid w:val="168E121F"/>
    <w:multiLevelType w:val="hybridMultilevel"/>
    <w:lvl w:ilvl="0">
      <w:lvlJc w:val="left"/>
      <w:lvlText w:val="%1)"/>
      <w:numFmt w:val="decimal"/>
      <w:start w:val="1"/>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1)"/>
      <w:numFmt w:val="decimal"/>
      <w:start w:val="1"/>
    </w:lvl>
  </w:abstractNum>
  <w:abstractNum w:abstractNumId="34">
    <w:nsid w:val="540A471C"/>
    <w:multiLevelType w:val="hybridMultilevel"/>
    <w:lvl w:ilvl="0">
      <w:lvlJc w:val="left"/>
      <w:lvlText w:val="(%1)"/>
      <w:numFmt w:val="decimal"/>
      <w:start w:val="3"/>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1)"/>
      <w:numFmt w:val="decimal"/>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1)"/>
      <w:numFmt w:val="decimal"/>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lvl w:ilvl="1">
      <w:lvlJc w:val="left"/>
      <w:lvlText w:val="="/>
      <w:numFmt w:val="bullet"/>
      <w:start w:val="1"/>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1)"/>
      <w:numFmt w:val="decimal"/>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1)"/>
      <w:numFmt w:val="decimal"/>
      <w:start w:val="1"/>
    </w:lvl>
    <w:lvl w:ilvl="1">
      <w:lvlJc w:val="left"/>
      <w:lvlText w:val="(%2)"/>
      <w:numFmt w:val="lowerLetter"/>
      <w:start w:val="1"/>
    </w:lvl>
  </w:abstractNum>
  <w:abstractNum w:abstractNumId="87">
    <w:nsid w:val="5F3534A4"/>
    <w:multiLevelType w:val="hybridMultilevel"/>
    <w:lvl w:ilvl="0">
      <w:lvlJc w:val="left"/>
      <w:lvlText w:val="(%1)"/>
      <w:numFmt w:val="decimal"/>
      <w:start w:val="4"/>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decimal"/>
      <w:start w:val="1"/>
    </w:lvl>
  </w:abstractNum>
  <w:abstractNum w:abstractNumId="94">
    <w:nsid w:val="71C91298"/>
    <w:multiLevelType w:val="hybridMultilevel"/>
    <w:lvl w:ilvl="0">
      <w:lvlJc w:val="left"/>
      <w:lvlText w:val="(%1)"/>
      <w:numFmt w:val="lowerRoman"/>
      <w:start w:val="1"/>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1)"/>
      <w:numFmt w:val="decimal"/>
      <w:start w:val="1"/>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
      <w:numFmt w:val="bullet"/>
      <w:start w:val="1"/>
    </w:lvl>
  </w:abstractNum>
  <w:abstractNum w:abstractNumId="99">
    <w:nsid w:val="1D545C4D"/>
    <w:multiLevelType w:val="hybridMultilevel"/>
    <w:lvl w:ilvl="0">
      <w:lvlJc w:val="left"/>
      <w:lvlText w:val="*"/>
      <w:numFmt w:val="bullet"/>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decimal"/>
      <w:start w:val="3"/>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Roman"/>
      <w:start w:val="1"/>
    </w:lvl>
  </w:abstractNum>
  <w:abstractNum w:abstractNumId="107">
    <w:nsid w:val="53584BCB"/>
    <w:multiLevelType w:val="hybridMultilevel"/>
    <w:lvl w:ilvl="0">
      <w:lvlJc w:val="left"/>
      <w:lvlText w:val="(%1)"/>
      <w:numFmt w:val="lowerLetter"/>
      <w:start w:val="2"/>
    </w:lvl>
  </w:abstractNum>
  <w:abstractNum w:abstractNumId="108">
    <w:nsid w:val="415E286C"/>
    <w:multiLevelType w:val="hybridMultilevel"/>
    <w:lvl w:ilvl="0">
      <w:lvlJc w:val="left"/>
      <w:lvlText w:val="(%1)"/>
      <w:numFmt w:val="lowerLetter"/>
      <w:start w:val="3"/>
    </w:lvl>
  </w:abstractNum>
  <w:abstractNum w:abstractNumId="109">
    <w:nsid w:val="7C58FD05"/>
    <w:multiLevelType w:val="hybridMultilevel"/>
    <w:lvl w:ilvl="0">
      <w:lvlJc w:val="left"/>
      <w:lvlText w:val="(%1)"/>
      <w:numFmt w:val="lowerLetter"/>
      <w:start w:val="4"/>
    </w:lvl>
  </w:abstractNum>
  <w:abstractNum w:abstractNumId="110">
    <w:nsid w:val="23D86AAC"/>
    <w:multiLevelType w:val="hybridMultilevel"/>
    <w:lvl w:ilvl="0">
      <w:lvlJc w:val="left"/>
      <w:lvlText w:val="(%1)"/>
      <w:numFmt w:val="lowerLetter"/>
      <w:start w:val="5"/>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2019-12-11T04:28:48Z</dcterms:created>
  <dcterms:modified xsi:type="dcterms:W3CDTF">2019-12-11T04:28:48Z</dcterms:modified>
</cp:coreProperties>
</file>