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60" w:right="2560"/>
        <w:spacing w:after="0" w:line="262" w:lineRule="auto"/>
        <w:rPr>
          <w:sz w:val="20"/>
          <w:szCs w:val="20"/>
          <w:color w:val="auto"/>
        </w:rPr>
      </w:pPr>
      <w:r>
        <w:rPr>
          <w:rFonts w:ascii="Arial" w:cs="Arial" w:eastAsia="Arial" w:hAnsi="Arial"/>
          <w:sz w:val="18"/>
          <w:szCs w:val="18"/>
          <w:b w:val="1"/>
          <w:bCs w:val="1"/>
          <w:color w:val="auto"/>
        </w:rPr>
        <w:t>As filed with the Securities and Exchange Commission on January 24, 2012. Securities Act Registration No. 333-172524 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p>
    <w:p>
      <w:pPr>
        <w:jc w:val="center"/>
        <w:ind w:right="-319"/>
        <w:spacing w:after="0" w:line="253" w:lineRule="exact"/>
        <w:rPr>
          <w:sz w:val="20"/>
          <w:szCs w:val="20"/>
          <w:color w:val="auto"/>
        </w:rPr>
      </w:pPr>
      <w:r>
        <w:rPr>
          <w:rFonts w:ascii="Arial" w:cs="Arial" w:eastAsia="Arial" w:hAnsi="Arial"/>
          <w:sz w:val="22"/>
          <w:szCs w:val="22"/>
          <w:b w:val="1"/>
          <w:bCs w:val="1"/>
          <w:color w:val="auto"/>
        </w:rPr>
        <w:t xml:space="preserve">Post-Effective Amendment No. 2 </w:t>
      </w:r>
      <w:r>
        <w:rPr>
          <w:rFonts w:ascii="MS PGothic" w:cs="MS PGothic" w:eastAsia="MS PGothic" w:hAnsi="MS PGothic"/>
          <w:sz w:val="22"/>
          <w:szCs w:val="22"/>
          <w:color w:val="auto"/>
        </w:rPr>
        <w:t>☒</w:t>
      </w:r>
    </w:p>
    <w:p>
      <w:pPr>
        <w:spacing w:after="0" w:line="4" w:lineRule="exact"/>
        <w:rPr>
          <w:sz w:val="24"/>
          <w:szCs w:val="24"/>
          <w:color w:val="auto"/>
        </w:rPr>
      </w:pPr>
    </w:p>
    <w:p>
      <w:pPr>
        <w:jc w:val="center"/>
        <w:ind w:right="-319"/>
        <w:spacing w:after="0" w:line="253" w:lineRule="exact"/>
        <w:rPr>
          <w:sz w:val="20"/>
          <w:szCs w:val="20"/>
          <w:color w:val="auto"/>
        </w:rPr>
      </w:pPr>
      <w:r>
        <w:rPr>
          <w:rFonts w:ascii="Arial" w:cs="Arial" w:eastAsia="Arial" w:hAnsi="Arial"/>
          <w:sz w:val="22"/>
          <w:szCs w:val="22"/>
          <w:b w:val="1"/>
          <w:bCs w:val="1"/>
          <w:color w:val="auto"/>
        </w:rPr>
        <w:t xml:space="preserve">Pre-Effective Amendment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Copies to:</w:t>
      </w:r>
    </w:p>
    <w:p>
      <w:pPr>
        <w:spacing w:after="0" w:line="1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Thomas Friedmann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1775 I Street, N.W.</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20006-2401</w:t>
      </w:r>
    </w:p>
    <w:p>
      <w:pPr>
        <w:spacing w:after="0" w:line="15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171"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71" w:lineRule="exact"/>
        <w:rPr>
          <w:sz w:val="24"/>
          <w:szCs w:val="24"/>
          <w:color w:val="auto"/>
        </w:rPr>
      </w:pPr>
    </w:p>
    <w:p>
      <w:pPr>
        <w:ind w:left="460" w:right="7000" w:firstLine="4"/>
        <w:spacing w:after="0" w:line="472" w:lineRule="auto"/>
        <w:tabs>
          <w:tab w:leader="none" w:pos="7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when declared effective pursuant to section 8(c). If appropriate, check the following box:</w:t>
      </w:r>
    </w:p>
    <w:p>
      <w:pPr>
        <w:spacing w:after="0" w:line="32" w:lineRule="exact"/>
        <w:rPr>
          <w:rFonts w:ascii="MS PGothic" w:cs="MS PGothic" w:eastAsia="MS PGothic" w:hAnsi="MS PGothic"/>
          <w:sz w:val="16"/>
          <w:szCs w:val="16"/>
          <w:color w:val="auto"/>
        </w:rPr>
      </w:pPr>
    </w:p>
    <w:p>
      <w:pPr>
        <w:ind w:left="720" w:hanging="25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This amendment designates a new effective date for a previously filed registration statement.</w:t>
      </w:r>
    </w:p>
    <w:p>
      <w:pPr>
        <w:spacing w:after="0" w:line="171" w:lineRule="exact"/>
        <w:rPr>
          <w:rFonts w:ascii="MS PGothic" w:cs="MS PGothic" w:eastAsia="MS PGothic" w:hAnsi="MS PGothic"/>
          <w:sz w:val="18"/>
          <w:szCs w:val="18"/>
          <w:color w:val="auto"/>
        </w:rPr>
      </w:pPr>
    </w:p>
    <w:p>
      <w:pPr>
        <w:ind w:right="40" w:firstLine="464"/>
        <w:spacing w:after="0" w:line="268" w:lineRule="auto"/>
        <w:tabs>
          <w:tab w:leader="none" w:pos="70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233" w:right="5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Post-Effective Amendment No. 2 to the Registration Statement on Form N-2 (File No. 333-172524) of PennantPark Investment Corporation, or the Registration Statement, is being filed pursuant to Rule 462(d) under the Securities Act of 1933, as amended, or the Securities Act, solely for the purpose of filing exhibits to the Registration Statement. Accordingly, this Post-Effective Amendment No. 2 consists only of a facing page, this explanatory note and Part C of the Registration Statement setting forth the exhibits to the Registration Statement. This Post-Effective Amendment No. 2 does not modify any other part of the Registration Statement. Pursuant to Rule 462(d) under the Securities Act, this Post-Effective Amendment No. 2 shall become effective immediately upon filing with the Securities and Exchange Commission. The contents of the Registration Statement are hereby incorporated by reference.</w:t>
      </w:r>
    </w:p>
    <w:p>
      <w:pPr>
        <w:sectPr>
          <w:pgSz w:w="11900" w:h="16838" w:orient="portrait"/>
          <w:cols w:equalWidth="0" w:num="1">
            <w:col w:w="11320"/>
          </w:cols>
          <w:pgMar w:left="240" w:top="27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04" w:lineRule="exact"/>
        <w:rPr>
          <w:sz w:val="20"/>
          <w:szCs w:val="20"/>
          <w:color w:val="auto"/>
        </w:rPr>
      </w:pPr>
    </w:p>
    <w:p>
      <w:pPr>
        <w:ind w:left="700" w:hanging="50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17" w:lineRule="exact"/>
        <w:rPr>
          <w:sz w:val="20"/>
          <w:szCs w:val="20"/>
          <w:color w:val="auto"/>
        </w:rPr>
      </w:pPr>
    </w:p>
    <w:p>
      <w:pPr>
        <w:ind w:left="700" w:hanging="50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700" w:right="600" w:hanging="560"/>
        <w:spacing w:after="0" w:line="268"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77" w:lineRule="exact"/>
        <w:rPr>
          <w:rFonts w:ascii="Arial" w:cs="Arial" w:eastAsia="Arial" w:hAnsi="Arial"/>
          <w:sz w:val="18"/>
          <w:szCs w:val="18"/>
          <w:color w:val="auto"/>
        </w:rPr>
      </w:pPr>
    </w:p>
    <w:p>
      <w:pPr>
        <w:ind w:left="700" w:right="220" w:hanging="565"/>
        <w:spacing w:after="0" w:line="268"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Form 10-K Exhibit 3.2 (File No. 814-00736), filed on November 16, 2011).</w:t>
      </w:r>
    </w:p>
    <w:p>
      <w:pPr>
        <w:spacing w:after="0" w:line="78" w:lineRule="exact"/>
        <w:rPr>
          <w:sz w:val="20"/>
          <w:szCs w:val="20"/>
          <w:color w:val="auto"/>
        </w:rPr>
      </w:pPr>
    </w:p>
    <w:p>
      <w:pPr>
        <w:ind w:left="700" w:right="460" w:hanging="659"/>
        <w:spacing w:after="0" w:line="268" w:lineRule="auto"/>
        <w:tabs>
          <w:tab w:leader="none" w:pos="680" w:val="left"/>
        </w:tabs>
        <w:rPr>
          <w:sz w:val="20"/>
          <w:szCs w:val="20"/>
          <w:color w:val="auto"/>
        </w:rPr>
      </w:pPr>
      <w:r>
        <w:rPr>
          <w:rFonts w:ascii="Arial" w:cs="Arial" w:eastAsia="Arial" w:hAnsi="Arial"/>
          <w:sz w:val="18"/>
          <w:szCs w:val="18"/>
          <w:color w:val="auto"/>
        </w:rPr>
        <w:t>(d)(1)</w:t>
        <w:tab/>
        <w:t>Specimen Stock Certificate (Incorporated by reference to Exhibit 99.(D)(1) to the Registrant’s Registration Statement on Form N-2 (File No. 333-150033), filed on April 2, 2008).</w:t>
      </w:r>
    </w:p>
    <w:p>
      <w:pPr>
        <w:spacing w:after="0" w:line="78" w:lineRule="exact"/>
        <w:rPr>
          <w:sz w:val="20"/>
          <w:szCs w:val="20"/>
          <w:color w:val="auto"/>
        </w:rPr>
      </w:pPr>
    </w:p>
    <w:p>
      <w:pPr>
        <w:ind w:left="700" w:right="520" w:hanging="659"/>
        <w:spacing w:after="0" w:line="268" w:lineRule="auto"/>
        <w:tabs>
          <w:tab w:leader="none" w:pos="68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78" w:lineRule="exact"/>
        <w:rPr>
          <w:sz w:val="20"/>
          <w:szCs w:val="20"/>
          <w:color w:val="auto"/>
        </w:rPr>
      </w:pPr>
    </w:p>
    <w:p>
      <w:pPr>
        <w:ind w:left="700" w:right="120" w:hanging="659"/>
        <w:spacing w:after="0" w:line="268" w:lineRule="auto"/>
        <w:tabs>
          <w:tab w:leader="none" w:pos="680" w:val="left"/>
        </w:tabs>
        <w:rPr>
          <w:sz w:val="20"/>
          <w:szCs w:val="20"/>
          <w:color w:val="auto"/>
        </w:rPr>
      </w:pPr>
      <w:r>
        <w:rPr>
          <w:rFonts w:ascii="Arial" w:cs="Arial" w:eastAsia="Arial" w:hAnsi="Arial"/>
          <w:sz w:val="18"/>
          <w:szCs w:val="18"/>
          <w:color w:val="auto"/>
        </w:rPr>
        <w:t>(d)(3)</w:t>
        <w:tab/>
        <w:t>Form of Indenture (Incorporated by reference to Exhibit 99.(D)(3) to the Registrant’s Pre-Effective Amendment to the Registration Statement on Form N-2/A (File No. 333-150033), filed on May 30, 2008).</w:t>
      </w:r>
    </w:p>
    <w:p>
      <w:pPr>
        <w:spacing w:after="0" w:line="78" w:lineRule="exact"/>
        <w:rPr>
          <w:sz w:val="20"/>
          <w:szCs w:val="20"/>
          <w:color w:val="auto"/>
        </w:rPr>
      </w:pPr>
    </w:p>
    <w:p>
      <w:pPr>
        <w:ind w:left="700" w:hanging="659"/>
        <w:spacing w:after="0" w:line="268" w:lineRule="auto"/>
        <w:tabs>
          <w:tab w:leader="none" w:pos="680" w:val="left"/>
        </w:tabs>
        <w:rPr>
          <w:sz w:val="20"/>
          <w:szCs w:val="20"/>
          <w:color w:val="auto"/>
        </w:rPr>
      </w:pPr>
      <w:r>
        <w:rPr>
          <w:rFonts w:ascii="Arial" w:cs="Arial" w:eastAsia="Arial" w:hAnsi="Arial"/>
          <w:sz w:val="18"/>
          <w:szCs w:val="18"/>
          <w:color w:val="auto"/>
        </w:rPr>
        <w:t>(d)(4)</w:t>
        <w:tab/>
        <w:t>Form of Subscription Agent Agreement (Incorporated by reference to Exhibit 99.(D)(4) to the Registrant’s Pre-Effective Amendment to the Registration Statement on Form N-2/A (File No. 333-150033), filed on May 30, 2008).</w:t>
      </w:r>
    </w:p>
    <w:p>
      <w:pPr>
        <w:spacing w:after="0" w:line="78" w:lineRule="exact"/>
        <w:rPr>
          <w:sz w:val="20"/>
          <w:szCs w:val="20"/>
          <w:color w:val="auto"/>
        </w:rPr>
      </w:pPr>
    </w:p>
    <w:p>
      <w:pPr>
        <w:ind w:left="700" w:right="60" w:hanging="659"/>
        <w:spacing w:after="0" w:line="268" w:lineRule="auto"/>
        <w:tabs>
          <w:tab w:leader="none" w:pos="68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Pre-Effective Amendment to the Registration Statement on Form N-2/A (File No. 333-150033), filed on May 30, 2008).</w:t>
      </w:r>
    </w:p>
    <w:p>
      <w:pPr>
        <w:spacing w:after="0" w:line="78" w:lineRule="exact"/>
        <w:rPr>
          <w:sz w:val="20"/>
          <w:szCs w:val="20"/>
          <w:color w:val="auto"/>
        </w:rPr>
      </w:pPr>
    </w:p>
    <w:p>
      <w:pPr>
        <w:ind w:left="700" w:right="200" w:hanging="659"/>
        <w:spacing w:after="0" w:line="268" w:lineRule="auto"/>
        <w:tabs>
          <w:tab w:leader="none" w:pos="680" w:val="left"/>
        </w:tabs>
        <w:rPr>
          <w:sz w:val="20"/>
          <w:szCs w:val="20"/>
          <w:color w:val="auto"/>
        </w:rPr>
      </w:pPr>
      <w:r>
        <w:rPr>
          <w:rFonts w:ascii="Arial" w:cs="Arial" w:eastAsia="Arial" w:hAnsi="Arial"/>
          <w:sz w:val="18"/>
          <w:szCs w:val="18"/>
          <w:color w:val="auto"/>
        </w:rPr>
        <w:t>(d)(6)</w:t>
        <w:tab/>
        <w:t>Form T-1 Statement of Eligibility with respect to the Form of Indenture (Incorporated by reference to Exhibit 2(d)(6) to the Registrant’s Pre-Effective Amendment to the Registration Statement on Form N-2/A (File No. 333-172524), filed August 22, 2011).</w:t>
      </w:r>
    </w:p>
    <w:p>
      <w:pPr>
        <w:spacing w:after="0" w:line="78" w:lineRule="exact"/>
        <w:rPr>
          <w:sz w:val="20"/>
          <w:szCs w:val="20"/>
          <w:color w:val="auto"/>
        </w:rPr>
      </w:pPr>
    </w:p>
    <w:p>
      <w:pPr>
        <w:ind w:left="700" w:right="700" w:hanging="659"/>
        <w:spacing w:after="0" w:line="268" w:lineRule="auto"/>
        <w:tabs>
          <w:tab w:leader="none" w:pos="680" w:val="left"/>
        </w:tabs>
        <w:rPr>
          <w:sz w:val="20"/>
          <w:szCs w:val="20"/>
          <w:color w:val="auto"/>
        </w:rPr>
      </w:pPr>
      <w:r>
        <w:rPr>
          <w:rFonts w:ascii="Arial" w:cs="Arial" w:eastAsia="Arial" w:hAnsi="Arial"/>
          <w:sz w:val="18"/>
          <w:szCs w:val="18"/>
          <w:color w:val="auto"/>
        </w:rPr>
        <w:t>(d)(7)</w:t>
        <w:tab/>
        <w:t>Form of Articles Supplementary (Incorporated by reference to Exhibit 2(d)(7) to the Registrant’s Pre-Effective Amendment to the Registration Statement on Form N-2/A (File No. 333-172524), filed August 22, 2011).</w:t>
      </w:r>
    </w:p>
    <w:p>
      <w:pPr>
        <w:spacing w:after="0" w:line="78" w:lineRule="exact"/>
        <w:rPr>
          <w:sz w:val="20"/>
          <w:szCs w:val="20"/>
          <w:color w:val="auto"/>
        </w:rPr>
      </w:pPr>
    </w:p>
    <w:p>
      <w:pPr>
        <w:ind w:left="700" w:right="580" w:hanging="560"/>
        <w:spacing w:after="0" w:line="26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78" w:lineRule="exact"/>
        <w:rPr>
          <w:sz w:val="20"/>
          <w:szCs w:val="20"/>
          <w:color w:val="auto"/>
        </w:rPr>
      </w:pPr>
    </w:p>
    <w:p>
      <w:pPr>
        <w:ind w:left="700" w:right="20" w:hanging="565"/>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Management Agreement between the Registrant and PennantPark Investment Advisers, LLC (Incorporated by reference to Exhibit 99.(G) to the Registrant’s Registration Statement on Form N-2 (File No. 333-150033), filed on April 2, 2008).</w:t>
      </w:r>
    </w:p>
    <w:p>
      <w:pPr>
        <w:spacing w:after="0" w:line="78" w:lineRule="exact"/>
        <w:rPr>
          <w:sz w:val="20"/>
          <w:szCs w:val="20"/>
          <w:color w:val="auto"/>
        </w:rPr>
      </w:pPr>
    </w:p>
    <w:p>
      <w:pPr>
        <w:ind w:left="700" w:right="600" w:hanging="659"/>
        <w:spacing w:after="0" w:line="268" w:lineRule="auto"/>
        <w:tabs>
          <w:tab w:leader="none" w:pos="68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Pre-Effective Amendment to the Registration Statement on Form N-2/A (File No. 333-150033), filed on May 30,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 w:name="page4"/>
    <w:bookmarkEnd w:id="3"/>
    <w:p>
      <w:pPr>
        <w:ind w:left="880" w:right="120" w:hanging="779"/>
        <w:spacing w:after="0" w:line="268" w:lineRule="auto"/>
        <w:tabs>
          <w:tab w:leader="none" w:pos="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(h)(2)</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Post-Effective Amendment No. 4 to the Registration Statement on Form N-2/A (File No. 333-150033), filed on February 22, 2010).</w:t>
      </w:r>
    </w:p>
    <w:p>
      <w:pPr>
        <w:spacing w:after="0" w:line="78" w:lineRule="exact"/>
        <w:rPr>
          <w:sz w:val="20"/>
          <w:szCs w:val="20"/>
          <w:color w:val="auto"/>
        </w:rPr>
      </w:pPr>
    </w:p>
    <w:p>
      <w:pPr>
        <w:ind w:left="880" w:right="500" w:hanging="779"/>
        <w:spacing w:after="0" w:line="268" w:lineRule="auto"/>
        <w:tabs>
          <w:tab w:leader="none" w:pos="86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Form of Underwriting Agreement for debt (Incorporated by reference to Exhibit 99.(H)(2) to the Registrant’s Pre-Effective Amendment to the Registration Statement on Form N-2/A (File No. 333-150033), filed on May 30, 2008).</w:t>
      </w:r>
    </w:p>
    <w:p>
      <w:pPr>
        <w:spacing w:after="0" w:line="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(h)(4) **</w:t>
      </w:r>
      <w:r>
        <w:rPr>
          <w:sz w:val="20"/>
          <w:szCs w:val="20"/>
          <w:color w:val="auto"/>
        </w:rPr>
        <w:tab/>
      </w:r>
      <w:r>
        <w:rPr>
          <w:rFonts w:ascii="Arial" w:cs="Arial" w:eastAsia="Arial" w:hAnsi="Arial"/>
          <w:sz w:val="16"/>
          <w:szCs w:val="16"/>
          <w:color w:val="auto"/>
        </w:rPr>
        <w:t>Underwriting Agreement dated January 24, 2012.</w:t>
      </w:r>
    </w:p>
    <w:p>
      <w:pPr>
        <w:spacing w:after="0" w:line="117" w:lineRule="exact"/>
        <w:rPr>
          <w:sz w:val="20"/>
          <w:szCs w:val="20"/>
          <w:color w:val="auto"/>
        </w:rPr>
      </w:pPr>
    </w:p>
    <w:p>
      <w:pPr>
        <w:ind w:left="880" w:right="780" w:hanging="651"/>
        <w:spacing w:after="0" w:line="268"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78" w:lineRule="exact"/>
        <w:rPr>
          <w:sz w:val="20"/>
          <w:szCs w:val="20"/>
          <w:color w:val="auto"/>
        </w:rPr>
      </w:pPr>
    </w:p>
    <w:p>
      <w:pPr>
        <w:ind w:left="880" w:hanging="779"/>
        <w:spacing w:after="0" w:line="268"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Administration Agreement between the Registrant and PennantPark Investment Administration, LLC (Incorporated by reference to Exhibit 99.(K)(1) to the Registrant’s Registration Statement on Form N-2 (File No. 333-150033), filed on April 2, 2008).</w:t>
      </w:r>
    </w:p>
    <w:p>
      <w:pPr>
        <w:spacing w:after="0" w:line="78" w:lineRule="exact"/>
        <w:rPr>
          <w:sz w:val="20"/>
          <w:szCs w:val="20"/>
          <w:color w:val="auto"/>
        </w:rPr>
      </w:pPr>
    </w:p>
    <w:p>
      <w:pPr>
        <w:ind w:left="880" w:right="200" w:hanging="779"/>
        <w:spacing w:after="0" w:line="332" w:lineRule="auto"/>
        <w:tabs>
          <w:tab w:leader="none" w:pos="86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99.(K)(2) to the Registrant’s Registration Statement on Form N-2 (File No. 333-150033), filed on April 2, 2008).</w:t>
      </w:r>
    </w:p>
    <w:p>
      <w:pPr>
        <w:spacing w:after="0" w:line="31"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6"/>
          <w:szCs w:val="16"/>
          <w:color w:val="auto"/>
        </w:rPr>
        <w:t>(k)(3)</w:t>
      </w:r>
      <w:r>
        <w:rPr>
          <w:sz w:val="20"/>
          <w:szCs w:val="20"/>
          <w:color w:val="auto"/>
        </w:rPr>
        <w:tab/>
      </w:r>
      <w:r>
        <w:rPr>
          <w:rFonts w:ascii="Arial" w:cs="Arial" w:eastAsia="Arial" w:hAnsi="Arial"/>
          <w:sz w:val="16"/>
          <w:szCs w:val="16"/>
          <w:color w:val="auto"/>
        </w:rPr>
        <w:t>Trademark License Agreement (Incorporated by reference to Exhibit 99.(K)(3) to the Registrant’s Registration Statement on Form N-2 (File No.</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333-150033), filed on April 2, 2008).</w:t>
      </w:r>
    </w:p>
    <w:p>
      <w:pPr>
        <w:spacing w:after="0" w:line="111" w:lineRule="exact"/>
        <w:rPr>
          <w:sz w:val="20"/>
          <w:szCs w:val="20"/>
          <w:color w:val="auto"/>
        </w:rPr>
      </w:pPr>
    </w:p>
    <w:p>
      <w:pPr>
        <w:ind w:left="880" w:right="140" w:hanging="779"/>
        <w:spacing w:after="0" w:line="268" w:lineRule="auto"/>
        <w:tabs>
          <w:tab w:leader="none" w:pos="860"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Senior Secured Revolving Credit Agreement between Registrant and various lenders (Incorporated by reference to the Report on Form 8-K Exhibit 99.2 (File No. 814-00736), filed on June 28, 2007 and May 5, 2010, as amended).</w:t>
      </w:r>
    </w:p>
    <w:p>
      <w:pPr>
        <w:spacing w:after="0" w:line="78" w:lineRule="exact"/>
        <w:rPr>
          <w:sz w:val="20"/>
          <w:szCs w:val="20"/>
          <w:color w:val="auto"/>
        </w:rPr>
      </w:pPr>
    </w:p>
    <w:p>
      <w:pPr>
        <w:ind w:left="880" w:right="80" w:hanging="802"/>
        <w:spacing w:after="0" w:line="268" w:lineRule="auto"/>
        <w:tabs>
          <w:tab w:leader="none" w:pos="860" w:val="left"/>
        </w:tabs>
        <w:rPr>
          <w:sz w:val="20"/>
          <w:szCs w:val="20"/>
          <w:color w:val="auto"/>
        </w:rPr>
      </w:pPr>
      <w:r>
        <w:rPr>
          <w:rFonts w:ascii="Arial" w:cs="Arial" w:eastAsia="Arial" w:hAnsi="Arial"/>
          <w:sz w:val="18"/>
          <w:szCs w:val="18"/>
          <w:color w:val="auto"/>
        </w:rPr>
        <w:t>2(l)(1)</w:t>
      </w:r>
      <w:r>
        <w:rPr>
          <w:sz w:val="20"/>
          <w:szCs w:val="20"/>
          <w:color w:val="auto"/>
        </w:rPr>
        <w:tab/>
      </w:r>
      <w:r>
        <w:rPr>
          <w:rFonts w:ascii="Arial" w:cs="Arial" w:eastAsia="Arial" w:hAnsi="Arial"/>
          <w:sz w:val="18"/>
          <w:szCs w:val="18"/>
          <w:color w:val="auto"/>
        </w:rPr>
        <w:t>Opinion and Consent of Venable LLP (Incorporated by reference to Exhibit 2.(s)(1) to the Registrant’s Pre-Effective Amendment to the Registration Statement on Form N-2/A (File No. 333-172524), filed on August 22, 2011).</w:t>
      </w:r>
    </w:p>
    <w:p>
      <w:pPr>
        <w:spacing w:after="0" w:line="78" w:lineRule="exact"/>
        <w:rPr>
          <w:sz w:val="20"/>
          <w:szCs w:val="20"/>
          <w:color w:val="auto"/>
        </w:rPr>
      </w:pPr>
    </w:p>
    <w:p>
      <w:pPr>
        <w:ind w:left="880" w:right="80" w:hanging="802"/>
        <w:spacing w:after="0" w:line="268" w:lineRule="auto"/>
        <w:tabs>
          <w:tab w:leader="none" w:pos="860" w:val="left"/>
        </w:tabs>
        <w:rPr>
          <w:sz w:val="20"/>
          <w:szCs w:val="20"/>
          <w:color w:val="auto"/>
        </w:rPr>
      </w:pPr>
      <w:r>
        <w:rPr>
          <w:rFonts w:ascii="Arial" w:cs="Arial" w:eastAsia="Arial" w:hAnsi="Arial"/>
          <w:sz w:val="18"/>
          <w:szCs w:val="18"/>
          <w:color w:val="auto"/>
        </w:rPr>
        <w:t>2(l)(2)</w:t>
      </w:r>
      <w:r>
        <w:rPr>
          <w:sz w:val="20"/>
          <w:szCs w:val="20"/>
          <w:color w:val="auto"/>
        </w:rPr>
        <w:tab/>
      </w:r>
      <w:r>
        <w:rPr>
          <w:rFonts w:ascii="Arial" w:cs="Arial" w:eastAsia="Arial" w:hAnsi="Arial"/>
          <w:sz w:val="18"/>
          <w:szCs w:val="18"/>
          <w:color w:val="auto"/>
        </w:rPr>
        <w:t>Opinion and Consent of Dechert LLP (Incorporated by reference to Exhibit 2.(s)(1) to the Registrant’s Pre-Effective Amendment to the Registration Statement on Form N-2/A (File No. 333-172524), filed on August 22, 2011).</w:t>
      </w:r>
    </w:p>
    <w:p>
      <w:pPr>
        <w:spacing w:after="0" w:line="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2(l)(3)**</w:t>
      </w:r>
      <w:r>
        <w:rPr>
          <w:sz w:val="20"/>
          <w:szCs w:val="20"/>
          <w:color w:val="auto"/>
        </w:rPr>
        <w:tab/>
      </w:r>
      <w:r>
        <w:rPr>
          <w:rFonts w:ascii="Arial" w:cs="Arial" w:eastAsia="Arial" w:hAnsi="Arial"/>
          <w:sz w:val="15"/>
          <w:szCs w:val="15"/>
          <w:color w:val="auto"/>
        </w:rPr>
        <w:t>Opinion and Consent of Venable LLP.</w:t>
      </w:r>
    </w:p>
    <w:p>
      <w:pPr>
        <w:spacing w:after="0" w:line="11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Independent Registered Public Accounting Firm (Previously filed).</w:t>
      </w:r>
    </w:p>
    <w:p>
      <w:pPr>
        <w:spacing w:after="0" w:line="117" w:lineRule="exact"/>
        <w:rPr>
          <w:sz w:val="20"/>
          <w:szCs w:val="20"/>
          <w:color w:val="auto"/>
        </w:rPr>
      </w:pPr>
    </w:p>
    <w:p>
      <w:pPr>
        <w:ind w:left="880" w:right="380" w:hanging="759"/>
        <w:spacing w:after="0" w:line="268" w:lineRule="auto"/>
        <w:tabs>
          <w:tab w:leader="none" w:pos="86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November 17, 2010).</w:t>
      </w:r>
    </w:p>
    <w:p>
      <w:pPr>
        <w:spacing w:after="0" w:line="78" w:lineRule="exact"/>
        <w:rPr>
          <w:sz w:val="20"/>
          <w:szCs w:val="20"/>
          <w:color w:val="auto"/>
        </w:rPr>
      </w:pPr>
    </w:p>
    <w:p>
      <w:pPr>
        <w:ind w:left="880" w:right="520" w:hanging="759"/>
        <w:spacing w:after="0" w:line="332" w:lineRule="auto"/>
        <w:tabs>
          <w:tab w:leader="none" w:pos="86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2.(s)(1) to the Registrant’s Pre-Effective Amendment to the Registration Statement on Form N-2/A (File No. 333-172524), filed on August 22, 2011).</w:t>
      </w:r>
    </w:p>
    <w:p>
      <w:pPr>
        <w:spacing w:after="0" w:line="31" w:lineRule="exact"/>
        <w:rPr>
          <w:sz w:val="20"/>
          <w:szCs w:val="20"/>
          <w:color w:val="auto"/>
        </w:rPr>
      </w:pPr>
    </w:p>
    <w:p>
      <w:pPr>
        <w:ind w:left="880" w:right="520" w:hanging="759"/>
        <w:spacing w:after="0" w:line="332" w:lineRule="auto"/>
        <w:tabs>
          <w:tab w:leader="none" w:pos="86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2.(s)(2) to the Registrant’s Pre-Effective Amendment to the Registration Statement on Form N-2/A (File No. 333-172524), filed on August 22, 2011).</w:t>
      </w:r>
    </w:p>
    <w:p>
      <w:pPr>
        <w:spacing w:after="0" w:line="31" w:lineRule="exact"/>
        <w:rPr>
          <w:sz w:val="20"/>
          <w:szCs w:val="20"/>
          <w:color w:val="auto"/>
        </w:rPr>
      </w:pPr>
    </w:p>
    <w:p>
      <w:pPr>
        <w:ind w:left="880" w:right="200" w:hanging="759"/>
        <w:spacing w:after="0" w:line="268" w:lineRule="auto"/>
        <w:tabs>
          <w:tab w:leader="none" w:pos="86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2.(s)(3) to the Registrant’s Pre-Effective Amendment to the Registration Statement on Form N-2/A (File No. 333-172524), filed on August 22, 2011).</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80" w:top="388" w:right="239" w:bottom="1440" w:gutter="0" w:footer="0" w:header="0"/>
        </w:sectPr>
      </w:pPr>
    </w:p>
    <w:bookmarkStart w:id="4" w:name="page5"/>
    <w:bookmarkEnd w:id="4"/>
    <w:p>
      <w:pPr>
        <w:ind w:left="600" w:right="100" w:hanging="599"/>
        <w:spacing w:after="0" w:line="268" w:lineRule="auto"/>
        <w:tabs>
          <w:tab w:leader="none" w:pos="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(s)(4)</w:t>
        <w:tab/>
        <w:t>Form of Prospectus Supplement For Rights Offerings. (Incorporated by reference to Exhibit 2.(s)(4) to the Registrant’s Pre-Effective Amendment to the Registration Statement on Form N-2/A (File No. 333-172524), filed on August 22, 2011).</w:t>
      </w:r>
    </w:p>
    <w:p>
      <w:pPr>
        <w:spacing w:after="0" w:line="78" w:lineRule="exact"/>
        <w:rPr>
          <w:sz w:val="20"/>
          <w:szCs w:val="20"/>
          <w:color w:val="auto"/>
        </w:rPr>
      </w:pPr>
    </w:p>
    <w:p>
      <w:pPr>
        <w:ind w:left="600" w:hanging="599"/>
        <w:spacing w:after="0" w:line="268" w:lineRule="auto"/>
        <w:tabs>
          <w:tab w:leader="none" w:pos="580" w:val="left"/>
        </w:tabs>
        <w:rPr>
          <w:sz w:val="20"/>
          <w:szCs w:val="20"/>
          <w:color w:val="auto"/>
        </w:rPr>
      </w:pPr>
      <w:r>
        <w:rPr>
          <w:rFonts w:ascii="Arial" w:cs="Arial" w:eastAsia="Arial" w:hAnsi="Arial"/>
          <w:sz w:val="18"/>
          <w:szCs w:val="18"/>
          <w:color w:val="auto"/>
        </w:rPr>
        <w:t>(s)(5)</w:t>
        <w:tab/>
        <w:t>Form of Prospectus Supplement For Warrant Offerings. (Incorporated by reference to Exhibit 2.(s)(5) to the Registrant’s Pre-Effective Amendment to the Registration Statement on Form N-2/A (File No. 333-172524), filed on August 22, 2011).</w:t>
      </w:r>
    </w:p>
    <w:p>
      <w:pPr>
        <w:spacing w:after="0" w:line="17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Printing (other than certificates)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40" w:type="dxa"/>
            <w:vAlign w:val="bottom"/>
            <w:gridSpan w:val="3"/>
            <w:vMerge w:val="restart"/>
          </w:tcPr>
          <w:p>
            <w:pPr>
              <w:ind w:left="96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6340" w:type="dxa"/>
            <w:vAlign w:val="bottom"/>
            <w:gridSpan w:val="3"/>
            <w:vMerge w:val="continue"/>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4"/>
            <w:vMerge w:val="restart"/>
          </w:tcPr>
          <w:p>
            <w:pPr>
              <w:ind w:left="460"/>
              <w:spacing w:after="0"/>
              <w:rPr>
                <w:sz w:val="20"/>
                <w:szCs w:val="20"/>
                <w:color w:val="auto"/>
              </w:rPr>
            </w:pPr>
            <w:r>
              <w:rPr>
                <w:rFonts w:ascii="Arial" w:cs="Arial" w:eastAsia="Arial" w:hAnsi="Arial"/>
                <w:sz w:val="18"/>
                <w:szCs w:val="18"/>
                <w:color w:val="auto"/>
              </w:rPr>
              <w:t>All of the expenses set forth above shall be borne by the Registrant.</w:t>
            </w: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20" w:type="dxa"/>
            <w:vAlign w:val="bottom"/>
            <w:gridSpan w:val="4"/>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8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6340" w:type="dxa"/>
            <w:vAlign w:val="bottom"/>
            <w:gridSpan w:val="3"/>
          </w:tcPr>
          <w:p>
            <w:pPr>
              <w:ind w:left="26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40" w:type="dxa"/>
            <w:vAlign w:val="bottom"/>
            <w:gridSpan w:val="7"/>
          </w:tcPr>
          <w:p>
            <w:pPr>
              <w:ind w:left="460"/>
              <w:spacing w:after="0"/>
              <w:rPr>
                <w:sz w:val="20"/>
                <w:szCs w:val="20"/>
                <w:color w:val="auto"/>
              </w:rPr>
            </w:pPr>
            <w:r>
              <w:rPr>
                <w:rFonts w:ascii="Arial" w:cs="Arial" w:eastAsia="Arial" w:hAnsi="Arial"/>
                <w:sz w:val="18"/>
                <w:szCs w:val="18"/>
                <w:color w:val="auto"/>
                <w:w w:val="92"/>
              </w:rPr>
              <w:t>The following lists sets forth each of the companies considered to be controlled by us as defined by the 1940 Act.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634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Name of entity and place of jurisdiction</w:t>
            </w:r>
          </w:p>
        </w:tc>
        <w:tc>
          <w:tcPr>
            <w:tcW w:w="1000" w:type="dxa"/>
            <w:vAlign w:val="bottom"/>
          </w:tcPr>
          <w:p>
            <w:pPr>
              <w:spacing w:after="0"/>
              <w:rPr>
                <w:sz w:val="24"/>
                <w:szCs w:val="24"/>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3"/>
              </w:rPr>
              <w:t>Voting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340" w:type="dxa"/>
            <w:vAlign w:val="bottom"/>
            <w:gridSpan w:val="3"/>
            <w:vMerge w:val="continue"/>
          </w:tcPr>
          <w:p>
            <w:pPr>
              <w:spacing w:after="0"/>
              <w:rPr>
                <w:sz w:val="12"/>
                <w:szCs w:val="12"/>
                <w:color w:val="auto"/>
              </w:rPr>
            </w:pPr>
          </w:p>
        </w:tc>
        <w:tc>
          <w:tcPr>
            <w:tcW w:w="2380" w:type="dxa"/>
            <w:vAlign w:val="bottom"/>
            <w:gridSpan w:val="6"/>
          </w:tcPr>
          <w:p>
            <w:pPr>
              <w:jc w:val="center"/>
              <w:ind w:left="614"/>
              <w:spacing w:after="0" w:line="148" w:lineRule="exact"/>
              <w:rPr>
                <w:sz w:val="20"/>
                <w:szCs w:val="20"/>
                <w:color w:val="auto"/>
              </w:rPr>
            </w:pPr>
            <w:r>
              <w:rPr>
                <w:rFonts w:ascii="Arial" w:cs="Arial" w:eastAsia="Arial" w:hAnsi="Arial"/>
                <w:sz w:val="14"/>
                <w:szCs w:val="14"/>
                <w:b w:val="1"/>
                <w:bCs w:val="1"/>
                <w:color w:val="auto"/>
                <w:w w:val="85"/>
              </w:rPr>
              <w:t>Owned Percentage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PennantPark SBIC LP (Delaware)</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w w:val="90"/>
              </w:rPr>
              <w:t>100%</w:t>
            </w:r>
            <w:r>
              <w:rPr>
                <w:rFonts w:ascii="Arial" w:cs="Arial" w:eastAsia="Arial" w:hAnsi="Arial"/>
                <w:sz w:val="11"/>
                <w:szCs w:val="11"/>
                <w:color w:val="auto"/>
                <w:w w:val="90"/>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PennantPark SBIC GP, LLC (Delaware)</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Alabama Holdings Inc. (Delaware)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0"/>
              </w:rPr>
              <w:t>100%</w:t>
            </w:r>
            <w:r>
              <w:rPr>
                <w:rFonts w:ascii="Arial" w:cs="Arial" w:eastAsia="Arial" w:hAnsi="Arial"/>
                <w:sz w:val="11"/>
                <w:szCs w:val="11"/>
                <w:color w:val="auto"/>
                <w:w w:val="90"/>
              </w:rPr>
              <w:t>(2)</w:t>
            </w:r>
          </w:p>
        </w:tc>
        <w:tc>
          <w:tcPr>
            <w:tcW w:w="0" w:type="dxa"/>
            <w:vAlign w:val="bottom"/>
          </w:tcPr>
          <w:p>
            <w:pPr>
              <w:spacing w:after="0"/>
              <w:rPr>
                <w:sz w:val="1"/>
                <w:szCs w:val="1"/>
                <w:color w:val="auto"/>
              </w:rPr>
            </w:pPr>
          </w:p>
        </w:tc>
      </w:tr>
      <w:tr>
        <w:trPr>
          <w:trHeight w:val="363"/>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80" w:type="dxa"/>
            <w:vAlign w:val="bottom"/>
          </w:tcPr>
          <w:p>
            <w:pPr>
              <w:ind w:left="1340"/>
              <w:spacing w:after="0"/>
              <w:rPr>
                <w:sz w:val="20"/>
                <w:szCs w:val="20"/>
                <w:color w:val="auto"/>
              </w:rPr>
            </w:pPr>
            <w:r>
              <w:rPr>
                <w:rFonts w:ascii="Arial" w:cs="Arial" w:eastAsia="Arial" w:hAnsi="Arial"/>
                <w:sz w:val="18"/>
                <w:szCs w:val="18"/>
                <w:color w:val="auto"/>
              </w:rPr>
              <w:t>C-3</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88" w:right="2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PNNT CEA Autumn Management, LLC (Delaware)</w:t>
            </w:r>
          </w:p>
        </w:tc>
        <w:tc>
          <w:tcPr>
            <w:tcW w:w="234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0"/>
              </w:rPr>
              <w:t>100%</w:t>
            </w:r>
            <w:r>
              <w:rPr>
                <w:rFonts w:ascii="Arial" w:cs="Arial" w:eastAsia="Arial" w:hAnsi="Arial"/>
                <w:sz w:val="11"/>
                <w:szCs w:val="11"/>
                <w:color w:val="auto"/>
                <w:w w:val="90"/>
              </w:rPr>
              <w:t>(2)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PNNT Transportation 100 Holdco, LLC (Delaware)</w:t>
            </w:r>
          </w:p>
        </w:tc>
        <w:tc>
          <w:tcPr>
            <w:tcW w:w="2340" w:type="dxa"/>
            <w:vAlign w:val="bottom"/>
          </w:tcPr>
          <w:p>
            <w:pPr>
              <w:ind w:left="1780"/>
              <w:spacing w:after="0"/>
              <w:rPr>
                <w:sz w:val="20"/>
                <w:szCs w:val="20"/>
                <w:color w:val="auto"/>
              </w:rPr>
            </w:pPr>
            <w:r>
              <w:rPr>
                <w:rFonts w:ascii="Arial" w:cs="Arial" w:eastAsia="Arial" w:hAnsi="Arial"/>
                <w:sz w:val="18"/>
                <w:szCs w:val="18"/>
                <w:color w:val="auto"/>
              </w:rPr>
              <w:t>100%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SuttonPark Holdings, Inc. (Delaware)</w:t>
            </w:r>
          </w:p>
        </w:tc>
        <w:tc>
          <w:tcPr>
            <w:tcW w:w="234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0"/>
              </w:rPr>
              <w:t>100%</w:t>
            </w:r>
            <w:r>
              <w:rPr>
                <w:rFonts w:ascii="Arial" w:cs="Arial" w:eastAsia="Arial" w:hAnsi="Arial"/>
                <w:sz w:val="11"/>
                <w:szCs w:val="11"/>
                <w:color w:val="auto"/>
                <w:w w:val="90"/>
              </w:rPr>
              <w:t>(3)</w:t>
            </w:r>
          </w:p>
        </w:tc>
      </w:tr>
      <w:tr>
        <w:trPr>
          <w:trHeight w:val="48"/>
        </w:trPr>
        <w:tc>
          <w:tcPr>
            <w:tcW w:w="5420" w:type="dxa"/>
            <w:vAlign w:val="bottom"/>
          </w:tcPr>
          <w:p>
            <w:pPr>
              <w:spacing w:after="0" w:line="49" w:lineRule="exact"/>
              <w:rPr>
                <w:sz w:val="20"/>
                <w:szCs w:val="20"/>
                <w:color w:val="auto"/>
              </w:rPr>
            </w:pPr>
            <w:r>
              <w:rPr>
                <w:rFonts w:ascii="Arial" w:cs="Arial" w:eastAsia="Arial" w:hAnsi="Arial"/>
                <w:sz w:val="5"/>
                <w:szCs w:val="5"/>
                <w:color w:val="auto"/>
              </w:rPr>
              <w:t>SuttonPark Capital LLC (Delaware)</w:t>
            </w:r>
          </w:p>
        </w:tc>
        <w:tc>
          <w:tcPr>
            <w:tcW w:w="2340" w:type="dxa"/>
            <w:vAlign w:val="bottom"/>
          </w:tcPr>
          <w:p>
            <w:pPr>
              <w:ind w:left="1740"/>
              <w:spacing w:after="0" w:line="49" w:lineRule="exact"/>
              <w:rPr>
                <w:sz w:val="20"/>
                <w:szCs w:val="20"/>
                <w:color w:val="auto"/>
              </w:rPr>
            </w:pPr>
            <w:r>
              <w:rPr>
                <w:rFonts w:ascii="Arial" w:cs="Arial" w:eastAsia="Arial" w:hAnsi="Arial"/>
                <w:sz w:val="5"/>
                <w:szCs w:val="5"/>
                <w:color w:val="auto"/>
              </w:rPr>
              <w:t>N/A</w:t>
            </w:r>
          </w:p>
        </w:tc>
      </w:tr>
      <w:tr>
        <w:trPr>
          <w:trHeight w:val="142"/>
        </w:trPr>
        <w:tc>
          <w:tcPr>
            <w:tcW w:w="5420" w:type="dxa"/>
            <w:vAlign w:val="bottom"/>
          </w:tcPr>
          <w:p>
            <w:pPr>
              <w:spacing w:after="0"/>
              <w:rPr>
                <w:sz w:val="12"/>
                <w:szCs w:val="12"/>
                <w:color w:val="auto"/>
              </w:rPr>
            </w:pPr>
          </w:p>
        </w:tc>
        <w:tc>
          <w:tcPr>
            <w:tcW w:w="2340" w:type="dxa"/>
            <w:vAlign w:val="bottom"/>
          </w:tcPr>
          <w:p>
            <w:pPr>
              <w:ind w:left="2040"/>
              <w:spacing w:after="0"/>
              <w:rPr>
                <w:sz w:val="20"/>
                <w:szCs w:val="20"/>
                <w:color w:val="auto"/>
              </w:rPr>
            </w:pPr>
            <w:r>
              <w:rPr>
                <w:rFonts w:ascii="Arial" w:cs="Arial" w:eastAsia="Arial" w:hAnsi="Arial"/>
                <w:sz w:val="11"/>
                <w:szCs w:val="11"/>
                <w:color w:val="auto"/>
              </w:rPr>
              <w:t>(4)</w:t>
            </w:r>
          </w:p>
        </w:tc>
      </w:tr>
    </w:tbl>
    <w:p>
      <w:pPr>
        <w:spacing w:after="0" w:line="2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LLC, which is effectively wholly-owned by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entity is non-operational.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is a controlled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entity is indirectly owned by us and directly owned by SuttonPark Holdings, Inc.</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5220" w:type="dxa"/>
            <w:vAlign w:val="bottom"/>
            <w:gridSpan w:val="3"/>
          </w:tcPr>
          <w:p>
            <w:pPr>
              <w:ind w:left="260"/>
              <w:spacing w:after="0"/>
              <w:rPr>
                <w:sz w:val="20"/>
                <w:szCs w:val="20"/>
                <w:color w:val="auto"/>
              </w:rPr>
            </w:pPr>
            <w:r>
              <w:rPr>
                <w:rFonts w:ascii="Arial" w:cs="Arial" w:eastAsia="Arial" w:hAnsi="Arial"/>
                <w:sz w:val="18"/>
                <w:szCs w:val="18"/>
                <w:b w:val="1"/>
                <w:bCs w:val="1"/>
                <w:color w:val="auto"/>
              </w:rPr>
              <w:t>Number of holders of shares</w:t>
            </w:r>
          </w:p>
        </w:tc>
        <w:tc>
          <w:tcPr>
            <w:tcW w:w="19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97"/>
        </w:trPr>
        <w:tc>
          <w:tcPr>
            <w:tcW w:w="6100" w:type="dxa"/>
            <w:vAlign w:val="bottom"/>
            <w:gridSpan w:val="4"/>
          </w:tcPr>
          <w:p>
            <w:pPr>
              <w:ind w:left="460"/>
              <w:spacing w:after="0"/>
              <w:rPr>
                <w:sz w:val="20"/>
                <w:szCs w:val="20"/>
                <w:color w:val="auto"/>
              </w:rPr>
            </w:pPr>
            <w:r>
              <w:rPr>
                <w:rFonts w:ascii="Arial" w:cs="Arial" w:eastAsia="Arial" w:hAnsi="Arial"/>
                <w:sz w:val="18"/>
                <w:szCs w:val="18"/>
                <w:color w:val="auto"/>
              </w:rPr>
              <w:t>As of September 30, 2011</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3"/>
        </w:trPr>
        <w:tc>
          <w:tcPr>
            <w:tcW w:w="880" w:type="dxa"/>
            <w:vAlign w:val="bottom"/>
          </w:tcPr>
          <w:p>
            <w:pPr>
              <w:spacing w:after="0"/>
              <w:rPr>
                <w:sz w:val="24"/>
                <w:szCs w:val="24"/>
                <w:color w:val="auto"/>
              </w:rPr>
            </w:pPr>
          </w:p>
        </w:tc>
        <w:tc>
          <w:tcPr>
            <w:tcW w:w="5220" w:type="dxa"/>
            <w:vAlign w:val="bottom"/>
            <w:gridSpan w:val="3"/>
          </w:tcPr>
          <w:p>
            <w:pPr>
              <w:ind w:left="960"/>
              <w:spacing w:after="0"/>
              <w:rPr>
                <w:sz w:val="20"/>
                <w:szCs w:val="20"/>
                <w:color w:val="auto"/>
              </w:rPr>
            </w:pPr>
            <w:r>
              <w:rPr>
                <w:rFonts w:ascii="Arial" w:cs="Arial" w:eastAsia="Arial" w:hAnsi="Arial"/>
                <w:sz w:val="14"/>
                <w:szCs w:val="14"/>
                <w:b w:val="1"/>
                <w:bCs w:val="1"/>
                <w:color w:val="auto"/>
              </w:rPr>
              <w:t>Title of Class</w:t>
            </w:r>
          </w:p>
        </w:tc>
        <w:tc>
          <w:tcPr>
            <w:tcW w:w="3500" w:type="dxa"/>
            <w:vAlign w:val="bottom"/>
            <w:gridSpan w:val="2"/>
          </w:tcPr>
          <w:p>
            <w:pPr>
              <w:jc w:val="center"/>
              <w:ind w:left="1832"/>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$0.001 par value</w:t>
            </w:r>
          </w:p>
        </w:tc>
        <w:tc>
          <w:tcPr>
            <w:tcW w:w="19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32"/>
              <w:spacing w:after="0" w:line="203" w:lineRule="exact"/>
              <w:rPr>
                <w:sz w:val="20"/>
                <w:szCs w:val="20"/>
                <w:color w:val="auto"/>
              </w:rPr>
            </w:pPr>
            <w:r>
              <w:rPr>
                <w:rFonts w:ascii="Arial" w:cs="Arial" w:eastAsia="Arial" w:hAnsi="Arial"/>
                <w:sz w:val="18"/>
                <w:szCs w:val="18"/>
                <w:color w:val="auto"/>
              </w:rPr>
              <w:t>13</w:t>
            </w: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5580" w:right="2820" w:hanging="5116"/>
        <w:spacing w:after="0" w:line="440"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59 Maiden Lane, New York, NY 10038; C-4</w:t>
      </w:r>
    </w:p>
    <w:p>
      <w:pPr>
        <w:sectPr>
          <w:pgSz w:w="11900" w:h="16838" w:orient="portrait"/>
          <w:cols w:equalWidth="0" w:num="1">
            <w:col w:w="11360"/>
          </w:cols>
          <w:pgMar w:left="240" w:top="288" w:right="299" w:bottom="1440" w:gutter="0" w:footer="0" w:header="0"/>
        </w:sectPr>
      </w:pPr>
    </w:p>
    <w:bookmarkStart w:id="6" w:name="page7"/>
    <w:bookmarkEnd w:id="6"/>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Custodian, The Bank of New York Mellon, One Wall Street, New York, NY 10286;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220"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40" w:firstLine="464"/>
        <w:spacing w:after="0" w:line="294"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120" w:hanging="21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460" w:right="160" w:firstLine="443"/>
        <w:spacing w:after="0" w:line="357" w:lineRule="auto"/>
        <w:tabs>
          <w:tab w:leader="none" w:pos="1157"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460" w:right="120" w:firstLine="443"/>
        <w:spacing w:after="0" w:line="268" w:lineRule="auto"/>
        <w:tabs>
          <w:tab w:leader="none" w:pos="12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140" w:firstLine="443"/>
        <w:spacing w:after="0" w:line="268"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40" w:firstLine="443"/>
        <w:spacing w:after="0" w:line="294" w:lineRule="auto"/>
        <w:tabs>
          <w:tab w:leader="none" w:pos="11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280" w:right="259" w:bottom="1440" w:gutter="0" w:footer="0" w:header="0"/>
        </w:sectPr>
      </w:pPr>
    </w:p>
    <w:bookmarkStart w:id="7" w:name="page8"/>
    <w:bookmarkEnd w:id="7"/>
    <w:p>
      <w:pPr>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59" w:lineRule="exact"/>
        <w:rPr>
          <w:sz w:val="20"/>
          <w:szCs w:val="20"/>
          <w:color w:val="auto"/>
        </w:rPr>
      </w:pPr>
    </w:p>
    <w:p>
      <w:pPr>
        <w:ind w:left="460" w:firstLine="443"/>
        <w:spacing w:after="0" w:line="323" w:lineRule="auto"/>
        <w:tabs>
          <w:tab w:leader="none" w:pos="111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7" w:lineRule="exact"/>
        <w:rPr>
          <w:sz w:val="20"/>
          <w:szCs w:val="20"/>
          <w:color w:val="auto"/>
        </w:rPr>
      </w:pPr>
    </w:p>
    <w:p>
      <w:pPr>
        <w:ind w:left="460" w:right="60" w:firstLine="443"/>
        <w:spacing w:after="0" w:line="268" w:lineRule="auto"/>
        <w:tabs>
          <w:tab w:leader="none" w:pos="11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sz w:val="20"/>
          <w:szCs w:val="20"/>
          <w:color w:val="auto"/>
        </w:rPr>
      </w:pPr>
    </w:p>
    <w:p>
      <w:pPr>
        <w:ind w:left="460" w:firstLine="443"/>
        <w:spacing w:after="0" w:line="254"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26" w:lineRule="exact"/>
        <w:rPr>
          <w:sz w:val="20"/>
          <w:szCs w:val="20"/>
          <w:color w:val="auto"/>
        </w:rPr>
      </w:pPr>
    </w:p>
    <w:p>
      <w:pPr>
        <w:ind w:left="1160" w:hanging="257"/>
        <w:spacing w:after="0"/>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post-effective amendment that contains a form of</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prospectus shall be deemed to be a new registration statement relating to the securities offered therein, and the offering of the securities at that time shall be deemed to be the initial bona fide offering thereof.</w:t>
      </w:r>
    </w:p>
    <w:p>
      <w:pPr>
        <w:spacing w:after="0" w:line="137" w:lineRule="exact"/>
        <w:rPr>
          <w:rFonts w:ascii="Arial" w:cs="Arial" w:eastAsia="Arial" w:hAnsi="Arial"/>
          <w:sz w:val="16"/>
          <w:szCs w:val="16"/>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100" w:firstLine="464"/>
        <w:spacing w:after="0" w:line="291"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280" w:right="25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24</w:t>
      </w:r>
      <w:r>
        <w:rPr>
          <w:rFonts w:ascii="Arial" w:cs="Arial" w:eastAsia="Arial" w:hAnsi="Arial"/>
          <w:sz w:val="10"/>
          <w:szCs w:val="10"/>
          <w:color w:val="auto"/>
        </w:rPr>
        <w:t>th</w:t>
      </w:r>
      <w:r>
        <w:rPr>
          <w:rFonts w:ascii="Arial" w:cs="Arial" w:eastAsia="Arial" w:hAnsi="Arial"/>
          <w:sz w:val="16"/>
          <w:szCs w:val="16"/>
          <w:color w:val="auto"/>
        </w:rPr>
        <w:t xml:space="preserve"> day of January,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w:t>
            </w:r>
            <w:r>
              <w:rPr>
                <w:rFonts w:ascii="Arial" w:cs="Arial" w:eastAsia="Arial" w:hAnsi="Arial"/>
                <w:sz w:val="14"/>
                <w:szCs w:val="14"/>
                <w:color w:val="auto"/>
                <w:w w:val="95"/>
              </w:rPr>
              <w:t>RTHUR</w:t>
            </w:r>
            <w:r>
              <w:rPr>
                <w:rFonts w:ascii="Arial" w:cs="Arial" w:eastAsia="Arial" w:hAnsi="Arial"/>
                <w:sz w:val="18"/>
                <w:szCs w:val="18"/>
                <w:color w:val="auto"/>
                <w:w w:val="95"/>
              </w:rPr>
              <w:t xml:space="preserve"> H. P</w:t>
            </w:r>
            <w:r>
              <w:rPr>
                <w:rFonts w:ascii="Arial" w:cs="Arial" w:eastAsia="Arial" w:hAnsi="Arial"/>
                <w:sz w:val="14"/>
                <w:szCs w:val="14"/>
                <w:color w:val="auto"/>
                <w:w w:val="95"/>
              </w:rPr>
              <w:t>ENN</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5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set forth below on the 24</w:t>
      </w:r>
      <w:r>
        <w:rPr>
          <w:rFonts w:ascii="Arial" w:cs="Arial" w:eastAsia="Arial" w:hAnsi="Arial"/>
          <w:sz w:val="11"/>
          <w:szCs w:val="11"/>
          <w:color w:val="auto"/>
        </w:rPr>
        <w:t>th</w:t>
      </w:r>
      <w:r>
        <w:rPr>
          <w:rFonts w:ascii="Arial" w:cs="Arial" w:eastAsia="Arial" w:hAnsi="Arial"/>
          <w:sz w:val="18"/>
          <w:szCs w:val="18"/>
          <w:color w:val="auto"/>
        </w:rPr>
        <w:t xml:space="preserve"> day of January,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2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32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24"/>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ARTHUR H. PENN</w:t>
            </w:r>
          </w:p>
        </w:tc>
        <w:tc>
          <w:tcPr>
            <w:tcW w:w="5220" w:type="dxa"/>
            <w:vAlign w:val="bottom"/>
            <w:gridSpan w:val="3"/>
          </w:tcPr>
          <w:p>
            <w:pPr>
              <w:jc w:val="center"/>
              <w:ind w:left="772"/>
              <w:spacing w:after="0"/>
              <w:rPr>
                <w:sz w:val="20"/>
                <w:szCs w:val="20"/>
                <w:color w:val="auto"/>
              </w:rPr>
            </w:pPr>
            <w:r>
              <w:rPr>
                <w:rFonts w:ascii="Arial" w:cs="Arial" w:eastAsia="Arial" w:hAnsi="Arial"/>
                <w:sz w:val="18"/>
                <w:szCs w:val="18"/>
                <w:color w:val="auto"/>
                <w:w w:val="89"/>
              </w:rPr>
              <w:t>Chairman of the Board of Directors and Chief</w:t>
            </w:r>
          </w:p>
        </w:tc>
      </w:tr>
      <w:tr>
        <w:trPr>
          <w:trHeight w:val="190"/>
        </w:trPr>
        <w:tc>
          <w:tcPr>
            <w:tcW w:w="5820" w:type="dxa"/>
            <w:vAlign w:val="bottom"/>
            <w:gridSpan w:val="3"/>
          </w:tcPr>
          <w:p>
            <w:pPr>
              <w:jc w:val="center"/>
              <w:spacing w:after="0" w:line="190" w:lineRule="exact"/>
              <w:rPr>
                <w:sz w:val="20"/>
                <w:szCs w:val="20"/>
                <w:color w:val="auto"/>
              </w:rPr>
            </w:pPr>
            <w:r>
              <w:rPr>
                <w:rFonts w:ascii="Arial" w:cs="Arial" w:eastAsia="Arial" w:hAnsi="Arial"/>
                <w:sz w:val="18"/>
                <w:szCs w:val="18"/>
                <w:b w:val="1"/>
                <w:bCs w:val="1"/>
                <w:color w:val="auto"/>
                <w:w w:val="94"/>
              </w:rPr>
              <w:t>Arthur H. Penn</w:t>
            </w:r>
          </w:p>
        </w:tc>
        <w:tc>
          <w:tcPr>
            <w:tcW w:w="5220" w:type="dxa"/>
            <w:vAlign w:val="bottom"/>
            <w:gridSpan w:val="3"/>
          </w:tcPr>
          <w:p>
            <w:pPr>
              <w:jc w:val="center"/>
              <w:ind w:left="752"/>
              <w:spacing w:after="0" w:line="190" w:lineRule="exact"/>
              <w:rPr>
                <w:sz w:val="20"/>
                <w:szCs w:val="20"/>
                <w:color w:val="auto"/>
              </w:rPr>
            </w:pPr>
            <w:r>
              <w:rPr>
                <w:rFonts w:ascii="Arial" w:cs="Arial" w:eastAsia="Arial" w:hAnsi="Arial"/>
                <w:sz w:val="18"/>
                <w:szCs w:val="18"/>
                <w:color w:val="auto"/>
                <w:w w:val="91"/>
              </w:rPr>
              <w:t>Executive Officer (Principal</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22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Executive Officer)</w:t>
            </w:r>
          </w:p>
        </w:tc>
      </w:tr>
      <w:tr>
        <w:trPr>
          <w:trHeight w:val="446"/>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AVIV EFRAT</w:t>
            </w:r>
          </w:p>
        </w:tc>
        <w:tc>
          <w:tcPr>
            <w:tcW w:w="5220" w:type="dxa"/>
            <w:vAlign w:val="bottom"/>
            <w:gridSpan w:val="3"/>
          </w:tcPr>
          <w:p>
            <w:pPr>
              <w:jc w:val="center"/>
              <w:ind w:left="752"/>
              <w:spacing w:after="0"/>
              <w:rPr>
                <w:sz w:val="20"/>
                <w:szCs w:val="20"/>
                <w:color w:val="auto"/>
              </w:rPr>
            </w:pPr>
            <w:r>
              <w:rPr>
                <w:rFonts w:ascii="Arial" w:cs="Arial" w:eastAsia="Arial" w:hAnsi="Arial"/>
                <w:sz w:val="18"/>
                <w:szCs w:val="18"/>
                <w:color w:val="auto"/>
                <w:w w:val="89"/>
              </w:rPr>
              <w:t>Chief Financial Officer and Treasurer (Principal Financial and</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5220" w:type="dxa"/>
            <w:vAlign w:val="bottom"/>
            <w:gridSpan w:val="3"/>
          </w:tcPr>
          <w:p>
            <w:pPr>
              <w:jc w:val="center"/>
              <w:ind w:left="752"/>
              <w:spacing w:after="0" w:line="202" w:lineRule="exact"/>
              <w:rPr>
                <w:sz w:val="20"/>
                <w:szCs w:val="20"/>
                <w:color w:val="auto"/>
              </w:rPr>
            </w:pPr>
            <w:r>
              <w:rPr>
                <w:rFonts w:ascii="Arial" w:cs="Arial" w:eastAsia="Arial" w:hAnsi="Arial"/>
                <w:sz w:val="18"/>
                <w:szCs w:val="18"/>
                <w:color w:val="auto"/>
                <w:w w:val="92"/>
              </w:rPr>
              <w:t>Accounting Officer)</w:t>
            </w:r>
          </w:p>
        </w:tc>
      </w:tr>
      <w:tr>
        <w:trPr>
          <w:trHeight w:val="419"/>
        </w:trPr>
        <w:tc>
          <w:tcPr>
            <w:tcW w:w="3100" w:type="dxa"/>
            <w:vAlign w:val="bottom"/>
            <w:gridSpan w:val="2"/>
          </w:tcPr>
          <w:p>
            <w:pPr>
              <w:jc w:val="center"/>
              <w:ind w:left="2652"/>
              <w:spacing w:after="0"/>
              <w:rPr>
                <w:sz w:val="20"/>
                <w:szCs w:val="20"/>
                <w:color w:val="auto"/>
              </w:rPr>
            </w:pPr>
            <w:r>
              <w:rPr>
                <w:rFonts w:ascii="Arial" w:cs="Arial" w:eastAsia="Arial" w:hAnsi="Arial"/>
                <w:sz w:val="18"/>
                <w:szCs w:val="18"/>
                <w:b w:val="1"/>
                <w:bCs w:val="1"/>
                <w:color w:val="auto"/>
              </w:rPr>
              <w:t>*</w:t>
            </w:r>
          </w:p>
        </w:tc>
        <w:tc>
          <w:tcPr>
            <w:tcW w:w="2720" w:type="dxa"/>
            <w:vAlign w:val="bottom"/>
          </w:tcPr>
          <w:p>
            <w:pPr>
              <w:spacing w:after="0"/>
              <w:rPr>
                <w:sz w:val="24"/>
                <w:szCs w:val="24"/>
                <w:color w:val="auto"/>
              </w:rPr>
            </w:pPr>
          </w:p>
        </w:tc>
        <w:tc>
          <w:tcPr>
            <w:tcW w:w="522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3100" w:type="dxa"/>
            <w:vAlign w:val="bottom"/>
            <w:gridSpan w:val="2"/>
          </w:tcPr>
          <w:p>
            <w:pPr>
              <w:jc w:val="center"/>
              <w:ind w:left="2652"/>
              <w:spacing w:after="0"/>
              <w:rPr>
                <w:sz w:val="20"/>
                <w:szCs w:val="20"/>
                <w:color w:val="auto"/>
              </w:rPr>
            </w:pPr>
            <w:r>
              <w:rPr>
                <w:rFonts w:ascii="Arial" w:cs="Arial" w:eastAsia="Arial" w:hAnsi="Arial"/>
                <w:sz w:val="18"/>
                <w:szCs w:val="18"/>
                <w:b w:val="1"/>
                <w:bCs w:val="1"/>
                <w:color w:val="auto"/>
              </w:rPr>
              <w:t>*</w:t>
            </w:r>
          </w:p>
        </w:tc>
        <w:tc>
          <w:tcPr>
            <w:tcW w:w="2720" w:type="dxa"/>
            <w:vAlign w:val="bottom"/>
          </w:tcPr>
          <w:p>
            <w:pPr>
              <w:spacing w:after="0"/>
              <w:rPr>
                <w:sz w:val="24"/>
                <w:szCs w:val="24"/>
                <w:color w:val="auto"/>
              </w:rPr>
            </w:pPr>
          </w:p>
        </w:tc>
        <w:tc>
          <w:tcPr>
            <w:tcW w:w="522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3100" w:type="dxa"/>
            <w:vAlign w:val="bottom"/>
            <w:gridSpan w:val="2"/>
          </w:tcPr>
          <w:p>
            <w:pPr>
              <w:jc w:val="center"/>
              <w:ind w:left="2652"/>
              <w:spacing w:after="0"/>
              <w:rPr>
                <w:sz w:val="20"/>
                <w:szCs w:val="20"/>
                <w:color w:val="auto"/>
              </w:rPr>
            </w:pPr>
            <w:r>
              <w:rPr>
                <w:rFonts w:ascii="Arial" w:cs="Arial" w:eastAsia="Arial" w:hAnsi="Arial"/>
                <w:sz w:val="18"/>
                <w:szCs w:val="18"/>
                <w:b w:val="1"/>
                <w:bCs w:val="1"/>
                <w:color w:val="auto"/>
              </w:rPr>
              <w:t>*</w:t>
            </w:r>
          </w:p>
        </w:tc>
        <w:tc>
          <w:tcPr>
            <w:tcW w:w="2720" w:type="dxa"/>
            <w:vAlign w:val="bottom"/>
          </w:tcPr>
          <w:p>
            <w:pPr>
              <w:spacing w:after="0"/>
              <w:rPr>
                <w:sz w:val="24"/>
                <w:szCs w:val="24"/>
                <w:color w:val="auto"/>
              </w:rPr>
            </w:pPr>
          </w:p>
        </w:tc>
        <w:tc>
          <w:tcPr>
            <w:tcW w:w="522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3100" w:type="dxa"/>
            <w:vAlign w:val="bottom"/>
            <w:gridSpan w:val="2"/>
          </w:tcPr>
          <w:p>
            <w:pPr>
              <w:jc w:val="center"/>
              <w:ind w:left="2652"/>
              <w:spacing w:after="0"/>
              <w:rPr>
                <w:sz w:val="20"/>
                <w:szCs w:val="20"/>
                <w:color w:val="auto"/>
              </w:rPr>
            </w:pPr>
            <w:r>
              <w:rPr>
                <w:rFonts w:ascii="Arial" w:cs="Arial" w:eastAsia="Arial" w:hAnsi="Arial"/>
                <w:sz w:val="18"/>
                <w:szCs w:val="18"/>
                <w:b w:val="1"/>
                <w:bCs w:val="1"/>
                <w:color w:val="auto"/>
              </w:rPr>
              <w:t>*</w:t>
            </w:r>
          </w:p>
        </w:tc>
        <w:tc>
          <w:tcPr>
            <w:tcW w:w="2720" w:type="dxa"/>
            <w:vAlign w:val="bottom"/>
          </w:tcPr>
          <w:p>
            <w:pPr>
              <w:spacing w:after="0"/>
              <w:rPr>
                <w:sz w:val="24"/>
                <w:szCs w:val="24"/>
                <w:color w:val="auto"/>
              </w:rPr>
            </w:pPr>
          </w:p>
        </w:tc>
        <w:tc>
          <w:tcPr>
            <w:tcW w:w="522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10" w:lineRule="exact"/>
        <w:rPr>
          <w:sz w:val="20"/>
          <w:szCs w:val="20"/>
          <w:color w:val="auto"/>
        </w:rPr>
      </w:pPr>
    </w:p>
    <w:p>
      <w:pPr>
        <w:ind w:left="5580" w:right="1400" w:hanging="5572"/>
        <w:spacing w:after="0" w:line="440" w:lineRule="auto"/>
        <w:tabs>
          <w:tab w:leader="none" w:pos="2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February 28, 2011. C-7</w:t>
      </w:r>
    </w:p>
    <w:p>
      <w:pPr>
        <w:sectPr>
          <w:pgSz w:w="11900" w:h="16838" w:orient="portrait"/>
          <w:cols w:equalWidth="0" w:num="1">
            <w:col w:w="11280"/>
          </w:cols>
          <w:pgMar w:left="240" w:top="274" w:right="3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(h)(4)</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9,000,000 Shares of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January 24,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PennantPark Investment Corporation,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issue and sell an aggregate of 9,000,000 shares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 (the “Offering”). It is understood that, subject to the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hereinafter stated, the Firm Shares will be sold by the Company to the several Underwriters named in Schedule A 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in connection with the offer and sale of such Firm Shares. Morgan Stanley &amp; Co. LLC, Goldman, Sachs &amp; Co., RBC Capital Markets, LLC, Credit Suisse Securities (USA) LLC, Stifel, Nicolaus &amp; Company, Incorporated and SunTrust Robinson Humphrey, Inc. and shall act as joint book-running managers (the “</w:t>
      </w:r>
      <w:r>
        <w:rPr>
          <w:rFonts w:ascii="Arial" w:cs="Arial" w:eastAsia="Arial" w:hAnsi="Arial"/>
          <w:sz w:val="18"/>
          <w:szCs w:val="18"/>
          <w:b w:val="1"/>
          <w:bCs w:val="1"/>
          <w:i w:val="1"/>
          <w:iCs w:val="1"/>
          <w:color w:val="auto"/>
        </w:rPr>
        <w:t>Joint Book-Running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Managers</w:t>
      </w:r>
      <w:r>
        <w:rPr>
          <w:rFonts w:ascii="Arial" w:cs="Arial" w:eastAsia="Arial" w:hAnsi="Arial"/>
          <w:sz w:val="18"/>
          <w:szCs w:val="18"/>
          <w:color w:val="auto"/>
        </w:rPr>
        <w:t>”).</w:t>
      </w:r>
    </w:p>
    <w:p>
      <w:pPr>
        <w:spacing w:after="0" w:line="144"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color w:val="auto"/>
        </w:rPr>
        <w:t>In addition, solely for the purpose of covering over-allotments, the Company proposes to grant to the Underwriters the option to purchase from the Company up to an additional 1,350,000 shares of Common Stock (the “</w:t>
      </w:r>
      <w:r>
        <w:rPr>
          <w:rFonts w:ascii="Arial" w:cs="Arial" w:eastAsia="Arial" w:hAnsi="Arial"/>
          <w:sz w:val="16"/>
          <w:szCs w:val="16"/>
          <w:b w:val="1"/>
          <w:bCs w:val="1"/>
          <w:i w:val="1"/>
          <w:iCs w:val="1"/>
          <w:color w:val="auto"/>
        </w:rPr>
        <w:t>Additional Shares</w:t>
      </w:r>
      <w:r>
        <w:rPr>
          <w:rFonts w:ascii="Arial" w:cs="Arial" w:eastAsia="Arial" w:hAnsi="Arial"/>
          <w:sz w:val="16"/>
          <w:szCs w:val="16"/>
          <w:color w:val="auto"/>
        </w:rPr>
        <w:t>”). The Firm Shares and the Additional Shares are hereinafter collectively sometimes referred to as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described in the Prospectus which is referred to below.</w:t>
      </w:r>
    </w:p>
    <w:p>
      <w:pPr>
        <w:sectPr>
          <w:pgSz w:w="11900" w:h="16838" w:orient="portrait"/>
          <w:cols w:equalWidth="0" w:num="1">
            <w:col w:w="11420"/>
          </w:cols>
          <w:pgMar w:left="240" w:top="131" w:right="239" w:bottom="1440" w:gutter="0" w:footer="0" w:header="0"/>
        </w:sectPr>
      </w:pPr>
    </w:p>
    <w:bookmarkStart w:id="10" w:name="page11"/>
    <w:bookmarkEnd w:id="10"/>
    <w:p>
      <w:pPr>
        <w:ind w:firstLine="456"/>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in accordance with the provisions of the Securities Act of 1933, as amended, and the rules and regulations thereunder (collectively, the “</w:t>
      </w:r>
      <w:r>
        <w:rPr>
          <w:rFonts w:ascii="Arial" w:cs="Arial" w:eastAsia="Arial" w:hAnsi="Arial"/>
          <w:sz w:val="15"/>
          <w:szCs w:val="15"/>
          <w:b w:val="1"/>
          <w:bCs w:val="1"/>
          <w:i w:val="1"/>
          <w:iCs w:val="1"/>
          <w:color w:val="auto"/>
        </w:rPr>
        <w:t>Act</w:t>
      </w:r>
      <w:r>
        <w:rPr>
          <w:rFonts w:ascii="Arial" w:cs="Arial" w:eastAsia="Arial" w:hAnsi="Arial"/>
          <w:sz w:val="15"/>
          <w:szCs w:val="15"/>
          <w:color w:val="auto"/>
        </w:rPr>
        <w:t>”),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a registration statement on Form N-2 (File No. 333-172524) relating to the Shares. The registration statement, as amended by the post-effective amendment No. 1, filed by the Company with the Commission on December 21, 2011, and as it may have heretofore been amended subsequently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The prospectus, dated as of January 6, 2012, included in the Registration Statement at the time it became effective on January 6, 2012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5"/>
          <w:szCs w:val="15"/>
          <w:b w:val="1"/>
          <w:bCs w:val="1"/>
          <w:i w:val="1"/>
          <w:iCs w:val="1"/>
          <w:color w:val="auto"/>
        </w:rPr>
        <w:t>Base Prospectus</w:t>
      </w:r>
      <w:r>
        <w:rPr>
          <w:rFonts w:ascii="Arial" w:cs="Arial" w:eastAsia="Arial" w:hAnsi="Arial"/>
          <w:sz w:val="15"/>
          <w:szCs w:val="15"/>
          <w:color w:val="auto"/>
        </w:rPr>
        <w:t>”; the prospectus supplement dated January 23, 2012 filed with the Commission pursuant to Rule 497 under the Act is hereinafter referred to as the “</w:t>
      </w:r>
      <w:r>
        <w:rPr>
          <w:rFonts w:ascii="Arial" w:cs="Arial" w:eastAsia="Arial" w:hAnsi="Arial"/>
          <w:sz w:val="15"/>
          <w:szCs w:val="15"/>
          <w:b w:val="1"/>
          <w:bCs w:val="1"/>
          <w:i w:val="1"/>
          <w:iCs w:val="1"/>
          <w:color w:val="auto"/>
        </w:rPr>
        <w:t>Pricing Prospectus Supplement</w:t>
      </w:r>
      <w:r>
        <w:rPr>
          <w:rFonts w:ascii="Arial" w:cs="Arial" w:eastAsia="Arial" w:hAnsi="Arial"/>
          <w:sz w:val="15"/>
          <w:szCs w:val="15"/>
          <w:color w:val="auto"/>
        </w:rPr>
        <w:t>” (and, together with the Base Prospectus, the “</w:t>
      </w:r>
      <w:r>
        <w:rPr>
          <w:rFonts w:ascii="Arial" w:cs="Arial" w:eastAsia="Arial" w:hAnsi="Arial"/>
          <w:sz w:val="15"/>
          <w:szCs w:val="15"/>
          <w:b w:val="1"/>
          <w:bCs w:val="1"/>
          <w:i w:val="1"/>
          <w:iCs w:val="1"/>
          <w:color w:val="auto"/>
        </w:rPr>
        <w:t>Pricing Prospectus</w:t>
      </w:r>
      <w:r>
        <w:rPr>
          <w:rFonts w:ascii="Arial" w:cs="Arial" w:eastAsia="Arial" w:hAnsi="Arial"/>
          <w:sz w:val="15"/>
          <w:szCs w:val="15"/>
          <w:color w:val="auto"/>
        </w:rPr>
        <w:t>”). The prospectus supplement to be filed with the Commission pursuant to Rule 497 after the Execution Time (as defined below) and to be used to confirm sales is hereinafter referred to as the “</w:t>
      </w:r>
      <w:r>
        <w:rPr>
          <w:rFonts w:ascii="Arial" w:cs="Arial" w:eastAsia="Arial" w:hAnsi="Arial"/>
          <w:sz w:val="15"/>
          <w:szCs w:val="15"/>
          <w:b w:val="1"/>
          <w:bCs w:val="1"/>
          <w:i w:val="1"/>
          <w:iCs w:val="1"/>
          <w:color w:val="auto"/>
        </w:rPr>
        <w:t>Prospectus Supplement</w:t>
      </w:r>
      <w:r>
        <w:rPr>
          <w:rFonts w:ascii="Arial" w:cs="Arial" w:eastAsia="Arial" w:hAnsi="Arial"/>
          <w:sz w:val="15"/>
          <w:szCs w:val="15"/>
          <w:color w:val="auto"/>
        </w:rPr>
        <w:t>” (and together with the Base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xml:space="preserve">”); certain information relating to the pricing of the Shares omitted from the Pricing Prospectus that will be included in the Prospectus Supplement and set forth on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hereto is hereinafter referred to as the “</w:t>
      </w:r>
      <w:r>
        <w:rPr>
          <w:rFonts w:ascii="Arial" w:cs="Arial" w:eastAsia="Arial" w:hAnsi="Arial"/>
          <w:sz w:val="15"/>
          <w:szCs w:val="15"/>
          <w:b w:val="1"/>
          <w:bCs w:val="1"/>
          <w:i w:val="1"/>
          <w:iCs w:val="1"/>
          <w:color w:val="auto"/>
        </w:rPr>
        <w:t>Pricing Information</w:t>
      </w:r>
      <w:r>
        <w:rPr>
          <w:rFonts w:ascii="Arial" w:cs="Arial" w:eastAsia="Arial" w:hAnsi="Arial"/>
          <w:sz w:val="15"/>
          <w:szCs w:val="15"/>
          <w:color w:val="auto"/>
        </w:rPr>
        <w:t>.” A Notification of Election to be subject to Sections 55 through 65 of the Investment Company Act of 1940 was filed with the Commission on Form N-54A (File No. 814-00743) (the “</w:t>
      </w:r>
      <w:r>
        <w:rPr>
          <w:rFonts w:ascii="Arial" w:cs="Arial" w:eastAsia="Arial" w:hAnsi="Arial"/>
          <w:sz w:val="15"/>
          <w:szCs w:val="15"/>
          <w:b w:val="1"/>
          <w:bCs w:val="1"/>
          <w:i w:val="1"/>
          <w:iCs w:val="1"/>
          <w:color w:val="auto"/>
        </w:rPr>
        <w:t>Notification of Election</w:t>
      </w:r>
      <w:r>
        <w:rPr>
          <w:rFonts w:ascii="Arial" w:cs="Arial" w:eastAsia="Arial" w:hAnsi="Arial"/>
          <w:sz w:val="15"/>
          <w:szCs w:val="15"/>
          <w:color w:val="auto"/>
        </w:rPr>
        <w:t>”) on April 19, 2007 pursuant to Section 54(a) of the Investment Company Act of 1940, as amended, and the rules and regulations thereunder (collectively, the “</w:t>
      </w:r>
      <w:r>
        <w:rPr>
          <w:rFonts w:ascii="Arial" w:cs="Arial" w:eastAsia="Arial" w:hAnsi="Arial"/>
          <w:sz w:val="15"/>
          <w:szCs w:val="15"/>
          <w:b w:val="1"/>
          <w:bCs w:val="1"/>
          <w:i w:val="1"/>
          <w:iCs w:val="1"/>
          <w:color w:val="auto"/>
        </w:rPr>
        <w:t>Investment Company Act</w:t>
      </w:r>
      <w:r>
        <w:rPr>
          <w:rFonts w:ascii="Arial" w:cs="Arial" w:eastAsia="Arial" w:hAnsi="Arial"/>
          <w:sz w:val="15"/>
          <w:szCs w:val="15"/>
          <w:color w:val="auto"/>
        </w:rPr>
        <w:t>”). As used herein, “</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shall mean a day on which the New York Stock Exchange is open for trading.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entered into an investment advisory and management agreement, dated as of April 17, 2007, as renewed in February 2011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 adviser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under the Investment Advisers Act of 1940, as amended, and the rules and regulations thereunder (collectively, the “Advisers Act”).</w:t>
      </w:r>
    </w:p>
    <w:p>
      <w:pPr>
        <w:spacing w:after="0" w:line="16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has entered into an administration agreement, dated as of April 17, 2007, as renewed in February 2011 (the “</w:t>
      </w:r>
      <w:r>
        <w:rPr>
          <w:rFonts w:ascii="Arial" w:cs="Arial" w:eastAsia="Arial" w:hAnsi="Arial"/>
          <w:sz w:val="16"/>
          <w:szCs w:val="16"/>
          <w:b w:val="1"/>
          <w:bCs w:val="1"/>
          <w:i w:val="1"/>
          <w:iCs w:val="1"/>
          <w:color w:val="auto"/>
        </w:rPr>
        <w:t>Administration Agreement</w:t>
      </w:r>
      <w:r>
        <w:rPr>
          <w:rFonts w:ascii="Arial" w:cs="Arial" w:eastAsia="Arial" w:hAnsi="Arial"/>
          <w:sz w:val="16"/>
          <w:szCs w:val="16"/>
          <w:color w:val="auto"/>
        </w:rPr>
        <w:t>”), with PennantPark Investment Administration, LLC, a Delaware limited liability company (the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171" w:lineRule="exact"/>
        <w:rPr>
          <w:sz w:val="20"/>
          <w:szCs w:val="20"/>
          <w:color w:val="auto"/>
        </w:rPr>
      </w:pPr>
    </w:p>
    <w:p>
      <w:pPr>
        <w:ind w:firstLine="464"/>
        <w:spacing w:after="0" w:line="255"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Sale and Purchase</w:t>
      </w:r>
      <w:r>
        <w:rPr>
          <w:rFonts w:ascii="Arial" w:cs="Arial" w:eastAsia="Arial" w:hAnsi="Arial"/>
          <w:sz w:val="18"/>
          <w:szCs w:val="18"/>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$10.21 per Share (after deducting the underwriting discounts and commission of $0.34 from the public offering price of $10.55). The Company 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 w:name="page12"/>
    <w:bookmarkEnd w:id="11"/>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advised by you that the Underwriters intend initially to offer the Firm Shares upon the terms set forth in the Prospectus. You may from time to time increase or decrease the public offering price after the public offering to such extent as you may determine.</w:t>
      </w:r>
    </w:p>
    <w:p>
      <w:pPr>
        <w:spacing w:after="0" w:line="132"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 of purchase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later than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w:t>
      </w:r>
    </w:p>
    <w:p>
      <w:pPr>
        <w:spacing w:after="0" w:line="128" w:lineRule="exact"/>
        <w:rPr>
          <w:sz w:val="20"/>
          <w:szCs w:val="20"/>
          <w:color w:val="auto"/>
        </w:rPr>
      </w:pPr>
    </w:p>
    <w:p>
      <w:pPr>
        <w:ind w:firstLine="464"/>
        <w:spacing w:after="0" w:line="254"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for the respective accounts of the Underwriters. Such payment and delivery shall be made at 10:00 A.M., New York City time, on January 27, 2012 (unless another time shall be agreed to by you and the Company or unless postponed in accordance with the provisions of Section 8 hereof). The time at which such payment and delivery are to be made is hereinafter sometimes called “</w:t>
      </w:r>
      <w:r>
        <w:rPr>
          <w:rFonts w:ascii="Arial" w:cs="Arial" w:eastAsia="Arial" w:hAnsi="Arial"/>
          <w:sz w:val="18"/>
          <w:szCs w:val="18"/>
          <w:b w:val="1"/>
          <w:bCs w:val="1"/>
          <w:i w:val="1"/>
          <w:iCs w:val="1"/>
          <w:color w:val="auto"/>
        </w:rPr>
        <w:t>the time of purchase</w:t>
      </w:r>
      <w:r>
        <w:rPr>
          <w:rFonts w:ascii="Arial" w:cs="Arial" w:eastAsia="Arial" w:hAnsi="Arial"/>
          <w:sz w:val="18"/>
          <w:szCs w:val="18"/>
          <w:color w:val="auto"/>
        </w:rPr>
        <w:t>.” Electronic transfer of the Firm Shares shall be made to you at the time of purchase in such names and in such denominations as you shall specify.</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Payment of the purchase price for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Fried, Frank, Harris, Shriver &amp; Jacobson LLP, One New York Plaza, New York, N.Y. 10004 at 10:00 A.M., New York City time, on the date of the closing of the purchase of the Firm Shares or the Additional Shares, as the case may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 w:name="page13"/>
    <w:bookmarkEnd w:id="12"/>
    <w:p>
      <w:pPr>
        <w:ind w:left="-20" w:right="280" w:firstLine="464"/>
        <w:spacing w:after="0" w:line="33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the Company</w:t>
      </w:r>
      <w:r>
        <w:rPr>
          <w:rFonts w:ascii="Arial" w:cs="Arial" w:eastAsia="Arial" w:hAnsi="Arial"/>
          <w:sz w:val="16"/>
          <w:szCs w:val="16"/>
          <w:color w:val="auto"/>
        </w:rPr>
        <w:t>. The Company represents and warrants to and agrees with each of the Underwriters, and the Adviser and the Administrator, jointly and severally, represent and warrant to and agree with each of the Underwriters that:</w:t>
      </w:r>
    </w:p>
    <w:p>
      <w:pPr>
        <w:spacing w:after="0" w:line="85" w:lineRule="exact"/>
        <w:rPr>
          <w:sz w:val="20"/>
          <w:szCs w:val="20"/>
          <w:color w:val="auto"/>
        </w:rPr>
      </w:pPr>
    </w:p>
    <w:p>
      <w:pPr>
        <w:ind w:left="-20" w:firstLine="464"/>
        <w:spacing w:after="0" w:line="284" w:lineRule="auto"/>
        <w:tabs>
          <w:tab w:leader="none" w:pos="6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19, 2007 under the Investment Company Act; the Pricing Prospectus taken together with the Pricing Information,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xml:space="preserve">”),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Shares other than the Registration Statement, the Pricing Prospectus and the Prospectus; any Road Show Materials (as defined below),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124" w:lineRule="exact"/>
        <w:rPr>
          <w:rFonts w:ascii="Arial" w:cs="Arial" w:eastAsia="Arial" w:hAnsi="Arial"/>
          <w:sz w:val="16"/>
          <w:szCs w:val="16"/>
          <w:color w:val="auto"/>
        </w:rPr>
      </w:pPr>
    </w:p>
    <w:p>
      <w:pPr>
        <w:ind w:left="-20" w:right="280" w:firstLine="464"/>
        <w:spacing w:after="0" w:line="268"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the Execution Time, the Company has an authorized and outstanding capitalization as set forth under the heading “Actual” in the section of the Pricing Prospectus and the Prospectus entitled “Capitalization” and, as of the time of purchase and the additional time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13" w:name="page14"/>
    <w:bookmarkEnd w:id="13"/>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Company shall have an authorized and outstanding capitalization as set forth under the heading “As Adjusted”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44" w:lineRule="exact"/>
        <w:rPr>
          <w:sz w:val="20"/>
          <w:szCs w:val="20"/>
          <w:color w:val="auto"/>
        </w:rPr>
      </w:pPr>
    </w:p>
    <w:p>
      <w:pPr>
        <w:ind w:right="160" w:firstLine="464"/>
        <w:spacing w:after="0" w:line="306"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106" w:lineRule="exact"/>
        <w:rPr>
          <w:rFonts w:ascii="Arial" w:cs="Arial" w:eastAsia="Arial" w:hAnsi="Arial"/>
          <w:sz w:val="16"/>
          <w:szCs w:val="16"/>
          <w:color w:val="auto"/>
        </w:rPr>
      </w:pPr>
    </w:p>
    <w:p>
      <w:pPr>
        <w:ind w:firstLine="464"/>
        <w:spacing w:after="0" w:line="294"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subsidiaries PennantPark SBIC LP, PennantPark SBIC GP, LLC, PNNT Alabama Holdings Inc., PNNT CI (GALLS) Prime Investment Holdings, LLC, PNNT Transportation 100 Holdco, LLC, SuttonPark Holdings, and Inc. SuttonPark Capital LLC (the “</w:t>
      </w:r>
      <w:r>
        <w:rPr>
          <w:rFonts w:ascii="Arial" w:cs="Arial" w:eastAsia="Arial" w:hAnsi="Arial"/>
          <w:sz w:val="16"/>
          <w:szCs w:val="16"/>
          <w:b w:val="1"/>
          <w:bCs w:val="1"/>
          <w:i w:val="1"/>
          <w:iCs w:val="1"/>
          <w:color w:val="auto"/>
        </w:rPr>
        <w:t>Subsidiaries</w:t>
      </w:r>
      <w:r>
        <w:rPr>
          <w:rFonts w:ascii="Arial" w:cs="Arial" w:eastAsia="Arial" w:hAnsi="Arial"/>
          <w:sz w:val="16"/>
          <w:szCs w:val="16"/>
          <w:color w:val="auto"/>
        </w:rPr>
        <w:t>”) taken as a whole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right="20" w:firstLine="464"/>
        <w:spacing w:after="0" w:line="288"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has no subsidiary that is a significant subsidiary of the Company within the meaning of Rule 1-02(w) of Regulation S-X under the Act; the Company has no subsidiary (as defined in the Act) other than the Subsidiaries; each of the Subsidiaries has been duly organized, is validly existing as a Delaware limited partnership, a Delaware limited liability company and a Delaware corporation, as the case may be, is in good standing under the laws of the jurisdiction in which it was organized, has the power and authority to own, lease and operate its properties and to conduct its business as described in 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and of the Subsidiaries, and all amendments thereto through the date hereof, have been delivered to you; the Company, either directly or through a wholly-owned subsidiary, owns all of the outstanding equity interests of the Subsidiaries free and clear of any liens, charges or encumbrances in favor of any third parties. PNNT Alabama Holdings Inc. does not employ any persons or conduct any business;</w:t>
      </w:r>
    </w:p>
    <w:p>
      <w:pPr>
        <w:spacing w:after="0" w:line="119" w:lineRule="exact"/>
        <w:rPr>
          <w:rFonts w:ascii="Arial" w:cs="Arial" w:eastAsia="Arial" w:hAnsi="Arial"/>
          <w:sz w:val="16"/>
          <w:szCs w:val="16"/>
          <w:color w:val="auto"/>
        </w:rPr>
      </w:pPr>
    </w:p>
    <w:p>
      <w:pPr>
        <w:ind w:right="200" w:firstLine="464"/>
        <w:spacing w:after="0" w:line="259" w:lineRule="auto"/>
        <w:tabs>
          <w:tab w:leader="none" w:pos="6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Subsidiaries are duly qualified to do business as a foreign entity and are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ind w:left="-20" w:right="160" w:firstLine="464"/>
        <w:spacing w:after="0" w:line="268"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have been duly authorized and, when issued and delivered against payment therefor by you as provided herein, will be validly issued, fully paid and non-assessable and free of any preemptive rights or similar rights;</w:t>
      </w:r>
    </w:p>
    <w:p>
      <w:pPr>
        <w:spacing w:after="0" w:line="131" w:lineRule="exact"/>
        <w:rPr>
          <w:rFonts w:ascii="Arial" w:cs="Arial" w:eastAsia="Arial" w:hAnsi="Arial"/>
          <w:sz w:val="18"/>
          <w:szCs w:val="18"/>
          <w:color w:val="auto"/>
        </w:rPr>
      </w:pPr>
    </w:p>
    <w:p>
      <w:pPr>
        <w:ind w:left="-20" w:right="140" w:firstLine="464"/>
        <w:spacing w:after="0" w:line="291"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 the Shares are duly listed, and admitted and authorized for trading, subject to official notice of issuance and evidence of satisfactory distribution, on the NASDAQ Global Select Market; and, except as set forth in the Pricing Prospectus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20" w:lineRule="exact"/>
        <w:rPr>
          <w:rFonts w:ascii="Arial" w:cs="Arial" w:eastAsia="Arial" w:hAnsi="Arial"/>
          <w:sz w:val="16"/>
          <w:szCs w:val="16"/>
          <w:color w:val="auto"/>
        </w:rPr>
      </w:pPr>
    </w:p>
    <w:p>
      <w:pPr>
        <w:ind w:left="-20" w:firstLine="464"/>
        <w:spacing w:after="0" w:line="294" w:lineRule="auto"/>
        <w:tabs>
          <w:tab w:leader="none" w:pos="6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bankruptcy, insolvency, reorganization, moratorium and other laws relating to or affecting creditors’ rights generally and by general equitable principles;</w:t>
      </w:r>
    </w:p>
    <w:p>
      <w:pPr>
        <w:spacing w:after="0" w:line="115" w:lineRule="exact"/>
        <w:rPr>
          <w:rFonts w:ascii="Arial" w:cs="Arial" w:eastAsia="Arial" w:hAnsi="Arial"/>
          <w:sz w:val="16"/>
          <w:szCs w:val="16"/>
          <w:color w:val="auto"/>
        </w:rPr>
      </w:pPr>
    </w:p>
    <w:p>
      <w:pPr>
        <w:ind w:left="-20" w:firstLine="464"/>
        <w:spacing w:after="0" w:line="285" w:lineRule="auto"/>
        <w:tabs>
          <w:tab w:leader="none" w:pos="6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Subsidiary is (i) in violation of its charter, by-laws, certificate of formation, limited liability company operating agreement, or other organizational documents of the Company or any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in contravention of any law, regulation or rule or any decree, judgment or order applicable to the Company or any Subsidiary, as applicable, except, with respect to clause (ii) and (iii), to the extent that any such contravention would not have a Material Adverse Effect; and the execution, delivery and performance by the Company of this Agreement and the consummation of the transactions contemplated hereby will not (i) violate the charter, by-laws, certificate of formation, limited liability company operating agreement, or other organizational documents of the Company or the any Subsidiary,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contravene any law, regulation or rule or any decree, judgment or order applicable to the Company or any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5" w:name="page16"/>
    <w:bookmarkEnd w:id="15"/>
    <w:p>
      <w:pPr>
        <w:ind w:left="720" w:hanging="25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approval, authorization, consent or order of or filing with any governmental or regulatory body or agency is required in connection with the</w:t>
      </w:r>
    </w:p>
    <w:p>
      <w:pPr>
        <w:spacing w:after="0" w:line="38"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performance by the Company of its obligations under this Agreement and the consummation of the transactions contemplated hereby other than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jc w:val="both"/>
        <w:ind w:right="80" w:firstLine="464"/>
        <w:spacing w:after="0" w:line="298" w:lineRule="auto"/>
        <w:tabs>
          <w:tab w:leader="none" w:pos="6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to act as an underwriter or as a financial advisor to the Company in connection with the offer and sale of the Shares,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w:t>
      </w:r>
    </w:p>
    <w:p>
      <w:pPr>
        <w:spacing w:after="0" w:line="112" w:lineRule="exact"/>
        <w:rPr>
          <w:rFonts w:ascii="Arial" w:cs="Arial" w:eastAsia="Arial" w:hAnsi="Arial"/>
          <w:sz w:val="16"/>
          <w:szCs w:val="16"/>
          <w:color w:val="auto"/>
        </w:rPr>
      </w:pPr>
    </w:p>
    <w:p>
      <w:pPr>
        <w:ind w:firstLine="464"/>
        <w:spacing w:after="0" w:line="253" w:lineRule="auto"/>
        <w:tabs>
          <w:tab w:leader="none" w:pos="7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Company and of the Subsidiaries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any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Subsidiary, except where such violation, default, revocation or modification would not, individually or in the aggregate, have a Material Adverse Effect;</w:t>
      </w:r>
    </w:p>
    <w:p>
      <w:pPr>
        <w:spacing w:after="0" w:line="147"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140" w:lineRule="exact"/>
        <w:rPr>
          <w:rFonts w:ascii="Arial" w:cs="Arial" w:eastAsia="Arial" w:hAnsi="Arial"/>
          <w:sz w:val="18"/>
          <w:szCs w:val="18"/>
          <w:color w:val="auto"/>
        </w:rPr>
      </w:pPr>
    </w:p>
    <w:p>
      <w:pPr>
        <w:ind w:right="100" w:firstLine="464"/>
        <w:spacing w:after="0" w:line="254"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Pricing Prospectus and the Prospectus, there are no legal actions, suits, claims, investigations or proceedings pending or, to the Company’s knowledge, threatened to which the Company or the Subsidiaries,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Subsidiaries, as the case may be, have a Material Adverse Effect or prevent consummation of the transactions contemplated hereby;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ind w:left="-80" w:right="520" w:firstLine="464"/>
        <w:spacing w:after="0" w:line="268" w:lineRule="auto"/>
        <w:tabs>
          <w:tab w:leader="none" w:pos="625"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KPMG LLP, whose report on the statement of assets and liabilities of the Company is filed with the Commission as part of the Prospectus, is an independent registered public accounting firm as required by the Act;</w:t>
      </w:r>
    </w:p>
    <w:p>
      <w:pPr>
        <w:spacing w:after="0" w:line="131" w:lineRule="exact"/>
        <w:rPr>
          <w:rFonts w:ascii="Arial" w:cs="Arial" w:eastAsia="Arial" w:hAnsi="Arial"/>
          <w:sz w:val="18"/>
          <w:szCs w:val="18"/>
          <w:color w:val="auto"/>
        </w:rPr>
      </w:pPr>
    </w:p>
    <w:p>
      <w:pPr>
        <w:ind w:left="-80" w:firstLine="464"/>
        <w:spacing w:after="0" w:line="307" w:lineRule="auto"/>
        <w:tabs>
          <w:tab w:leader="none" w:pos="625"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and Item 10 of Regulation S-K under the Act, to the extent applicable.</w:t>
      </w:r>
    </w:p>
    <w:p>
      <w:pPr>
        <w:spacing w:after="0" w:line="111" w:lineRule="exact"/>
        <w:rPr>
          <w:rFonts w:ascii="Arial" w:cs="Arial" w:eastAsia="Arial" w:hAnsi="Arial"/>
          <w:sz w:val="15"/>
          <w:szCs w:val="15"/>
          <w:color w:val="auto"/>
        </w:rPr>
      </w:pPr>
    </w:p>
    <w:p>
      <w:pPr>
        <w:ind w:left="-80" w:right="40" w:firstLine="464"/>
        <w:spacing w:after="0" w:line="306"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Subsidiaries.</w:t>
      </w:r>
    </w:p>
    <w:p>
      <w:pPr>
        <w:spacing w:after="0" w:line="106" w:lineRule="exact"/>
        <w:rPr>
          <w:rFonts w:ascii="Arial" w:cs="Arial" w:eastAsia="Arial" w:hAnsi="Arial"/>
          <w:sz w:val="16"/>
          <w:szCs w:val="16"/>
          <w:color w:val="auto"/>
        </w:rPr>
      </w:pPr>
    </w:p>
    <w:p>
      <w:pPr>
        <w:ind w:left="-80" w:right="260" w:firstLine="464"/>
        <w:spacing w:after="0" w:line="268" w:lineRule="auto"/>
        <w:tabs>
          <w:tab w:leader="none" w:pos="6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80" w:right="80" w:firstLine="464"/>
        <w:spacing w:after="0" w:line="306" w:lineRule="auto"/>
        <w:tabs>
          <w:tab w:leader="none" w:pos="5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the Company and of the Subsidiaries is not and, after giving effect to the offering and sale of the Shares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106" w:lineRule="exact"/>
        <w:rPr>
          <w:rFonts w:ascii="Arial" w:cs="Arial" w:eastAsia="Arial" w:hAnsi="Arial"/>
          <w:sz w:val="16"/>
          <w:szCs w:val="16"/>
          <w:color w:val="auto"/>
        </w:rPr>
      </w:pPr>
    </w:p>
    <w:p>
      <w:pPr>
        <w:ind w:left="-80" w:firstLine="464"/>
        <w:spacing w:after="0" w:line="255" w:lineRule="auto"/>
        <w:tabs>
          <w:tab w:leader="none" w:pos="6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Company and of the Subsidiaries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except where the failure to own, license or have such rights would not, individually or in the aggregate, have a Material Adverse Effect; except 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280" w:right="319" w:bottom="1440" w:gutter="0" w:footer="0" w:header="0"/>
        </w:sectPr>
      </w:pPr>
    </w:p>
    <w:bookmarkStart w:id="17" w:name="page18"/>
    <w:bookmarkEnd w:id="17"/>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disclosed in the Registration Statement, the Pricing Prospectus and the Prospectus, neither the Company nor any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of any Subsidiary, as the case may be, therein, and which infringement or conflict (if the subject of any unfavorable decision, ruling or finding) or invalidity or inadequacy, would result in a Material Adverse Effect;</w:t>
      </w:r>
    </w:p>
    <w:p>
      <w:pPr>
        <w:spacing w:after="0" w:line="143" w:lineRule="exact"/>
        <w:rPr>
          <w:sz w:val="20"/>
          <w:szCs w:val="20"/>
          <w:color w:val="auto"/>
        </w:rPr>
      </w:pPr>
    </w:p>
    <w:p>
      <w:pPr>
        <w:ind w:firstLine="464"/>
        <w:spacing w:after="0" w:line="306"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06" w:lineRule="exact"/>
        <w:rPr>
          <w:rFonts w:ascii="Arial" w:cs="Arial" w:eastAsia="Arial" w:hAnsi="Arial"/>
          <w:sz w:val="16"/>
          <w:szCs w:val="16"/>
          <w:color w:val="auto"/>
        </w:rPr>
      </w:pPr>
    </w:p>
    <w:p>
      <w:pPr>
        <w:ind w:right="80" w:firstLine="464"/>
        <w:spacing w:after="0" w:line="254" w:lineRule="auto"/>
        <w:tabs>
          <w:tab w:leader="none" w:pos="7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44" w:lineRule="exact"/>
        <w:rPr>
          <w:rFonts w:ascii="Arial" w:cs="Arial" w:eastAsia="Arial" w:hAnsi="Arial"/>
          <w:sz w:val="18"/>
          <w:szCs w:val="18"/>
          <w:color w:val="auto"/>
        </w:rPr>
      </w:pPr>
    </w:p>
    <w:p>
      <w:pPr>
        <w:ind w:firstLine="464"/>
        <w:spacing w:after="0" w:line="255"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such term is defined in Rules 13a-15 and 15d-15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142" w:lineRule="exact"/>
        <w:rPr>
          <w:rFonts w:ascii="Arial" w:cs="Arial" w:eastAsia="Arial" w:hAnsi="Arial"/>
          <w:sz w:val="18"/>
          <w:szCs w:val="18"/>
          <w:color w:val="auto"/>
        </w:rPr>
      </w:pPr>
    </w:p>
    <w:p>
      <w:pPr>
        <w:ind w:right="60" w:firstLine="464"/>
        <w:spacing w:after="0" w:line="290"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8" w:name="page19"/>
    <w:bookmarkEnd w:id="18"/>
    <w:p>
      <w:pPr>
        <w:ind w:left="-60" w:right="220" w:firstLine="464"/>
        <w:spacing w:after="0" w:line="259"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w:t>
      </w:r>
    </w:p>
    <w:p>
      <w:pPr>
        <w:spacing w:after="0" w:line="140" w:lineRule="exact"/>
        <w:rPr>
          <w:sz w:val="20"/>
          <w:szCs w:val="20"/>
          <w:color w:val="auto"/>
        </w:rPr>
      </w:pPr>
    </w:p>
    <w:p>
      <w:pPr>
        <w:ind w:left="-60" w:right="40" w:firstLine="464"/>
        <w:spacing w:after="0" w:line="306" w:lineRule="auto"/>
        <w:tabs>
          <w:tab w:leader="none" w:pos="7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06" w:lineRule="exact"/>
        <w:rPr>
          <w:rFonts w:ascii="Arial" w:cs="Arial" w:eastAsia="Arial" w:hAnsi="Arial"/>
          <w:sz w:val="16"/>
          <w:szCs w:val="16"/>
          <w:color w:val="auto"/>
        </w:rPr>
      </w:pPr>
    </w:p>
    <w:p>
      <w:pPr>
        <w:ind w:left="-60" w:right="60" w:firstLine="464"/>
        <w:spacing w:after="0" w:line="268" w:lineRule="auto"/>
        <w:tabs>
          <w:tab w:leader="none" w:pos="7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31" w:lineRule="exact"/>
        <w:rPr>
          <w:rFonts w:ascii="Arial" w:cs="Arial" w:eastAsia="Arial" w:hAnsi="Arial"/>
          <w:sz w:val="18"/>
          <w:szCs w:val="18"/>
          <w:color w:val="auto"/>
        </w:rPr>
      </w:pPr>
    </w:p>
    <w:p>
      <w:pPr>
        <w:ind w:left="-60" w:right="140" w:firstLine="464"/>
        <w:spacing w:after="0" w:line="268" w:lineRule="auto"/>
        <w:tabs>
          <w:tab w:leader="none" w:pos="7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31" w:lineRule="exact"/>
        <w:rPr>
          <w:rFonts w:ascii="Arial" w:cs="Arial" w:eastAsia="Arial" w:hAnsi="Arial"/>
          <w:sz w:val="18"/>
          <w:szCs w:val="18"/>
          <w:color w:val="auto"/>
        </w:rPr>
      </w:pPr>
    </w:p>
    <w:p>
      <w:pPr>
        <w:ind w:left="-60" w:right="220" w:firstLine="464"/>
        <w:spacing w:after="0" w:line="259" w:lineRule="auto"/>
        <w:tabs>
          <w:tab w:leader="none" w:pos="7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40" w:lineRule="exact"/>
        <w:rPr>
          <w:rFonts w:ascii="Arial" w:cs="Arial" w:eastAsia="Arial" w:hAnsi="Arial"/>
          <w:sz w:val="18"/>
          <w:szCs w:val="18"/>
          <w:color w:val="auto"/>
        </w:rPr>
      </w:pPr>
    </w:p>
    <w:p>
      <w:pPr>
        <w:jc w:val="both"/>
        <w:ind w:left="-60" w:right="60" w:firstLine="464"/>
        <w:spacing w:after="0" w:line="298" w:lineRule="auto"/>
        <w:tabs>
          <w:tab w:leader="none" w:pos="7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12" w:lineRule="exact"/>
        <w:rPr>
          <w:rFonts w:ascii="Arial" w:cs="Arial" w:eastAsia="Arial" w:hAnsi="Arial"/>
          <w:sz w:val="16"/>
          <w:szCs w:val="16"/>
          <w:color w:val="auto"/>
        </w:rPr>
      </w:pPr>
    </w:p>
    <w:p>
      <w:pPr>
        <w:ind w:left="-60" w:right="60" w:firstLine="464"/>
        <w:spacing w:after="0" w:line="294" w:lineRule="auto"/>
        <w:tabs>
          <w:tab w:leader="none" w:pos="6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 make the public offering and consummate the sale of the Shares as provided in this Agreement; the provisions of the corporate charter and by-laws of the Company comply in all material respects with the requirements of the Investment Company Act applicable to business development companies;</w:t>
      </w:r>
    </w:p>
    <w:p>
      <w:pPr>
        <w:spacing w:after="0" w:line="115" w:lineRule="exact"/>
        <w:rPr>
          <w:rFonts w:ascii="Arial" w:cs="Arial" w:eastAsia="Arial" w:hAnsi="Arial"/>
          <w:sz w:val="16"/>
          <w:szCs w:val="16"/>
          <w:color w:val="auto"/>
        </w:rPr>
      </w:pPr>
    </w:p>
    <w:p>
      <w:pPr>
        <w:jc w:val="both"/>
        <w:ind w:left="-60" w:firstLine="464"/>
        <w:spacing w:after="0" w:line="256" w:lineRule="auto"/>
        <w:tabs>
          <w:tab w:leader="none" w:pos="7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300" w:top="280" w:right="279" w:bottom="1440" w:gutter="0" w:footer="0" w:header="0"/>
        </w:sectPr>
      </w:pPr>
    </w:p>
    <w:bookmarkStart w:id="19" w:name="page20"/>
    <w:bookmarkEnd w:id="19"/>
    <w:p>
      <w:pPr>
        <w:jc w:val="both"/>
        <w:ind w:right="680" w:firstLine="464"/>
        <w:spacing w:after="0" w:line="370" w:lineRule="auto"/>
        <w:tabs>
          <w:tab w:leader="none" w:pos="793" w:val="left"/>
        </w:tabs>
        <w:numPr>
          <w:ilvl w:val="0"/>
          <w:numId w:val="3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5"/>
          <w:szCs w:val="15"/>
          <w:b w:val="1"/>
          <w:bCs w:val="1"/>
          <w:i w:val="1"/>
          <w:iCs w:val="1"/>
          <w:color w:val="auto"/>
        </w:rPr>
        <w:t>Sarbanes-Oxley Act</w:t>
      </w:r>
      <w:r>
        <w:rPr>
          <w:rFonts w:ascii="Arial" w:cs="Arial" w:eastAsia="Arial" w:hAnsi="Arial"/>
          <w:sz w:val="15"/>
          <w:szCs w:val="15"/>
          <w:color w:val="auto"/>
        </w:rPr>
        <w:t>”), and the Commission’s published rules promulgated thereunder;</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(ii)(i) each of the Company and of the Subsidiaries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Internal Revenue Code of 1986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w:t>
      </w:r>
    </w:p>
    <w:p>
      <w:pPr>
        <w:spacing w:after="0" w:line="116" w:lineRule="exact"/>
        <w:rPr>
          <w:sz w:val="20"/>
          <w:szCs w:val="20"/>
          <w:color w:val="auto"/>
        </w:rPr>
      </w:pPr>
    </w:p>
    <w:p>
      <w:pPr>
        <w:ind w:right="60" w:firstLine="464"/>
        <w:spacing w:after="0" w:line="290" w:lineRule="auto"/>
        <w:tabs>
          <w:tab w:leader="none" w:pos="7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operations of the Company and each of the Subsidiaries are and have been conducted at all times in material compliance with all applicable financial recordkeeping and reporting requirement of the Currency and Foreign Transaction Reporting Act of 1970 (otherwise known as the Bank Secrecy Act), as amended, and the applicable anti-money laundering statutes of jurisdictions where the Company and each of the Subsidiaries conducts business, and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the Subsidiaries with respect to Anti-Money Laundering Laws is pending or, to the best knowledge of the Company or any of the Subsidiaries, threatened;</w:t>
      </w:r>
    </w:p>
    <w:p>
      <w:pPr>
        <w:spacing w:after="0" w:line="118" w:lineRule="exact"/>
        <w:rPr>
          <w:rFonts w:ascii="Arial" w:cs="Arial" w:eastAsia="Arial" w:hAnsi="Arial"/>
          <w:sz w:val="16"/>
          <w:szCs w:val="16"/>
          <w:color w:val="auto"/>
        </w:rPr>
      </w:pPr>
    </w:p>
    <w:p>
      <w:pPr>
        <w:ind w:right="100" w:firstLine="464"/>
        <w:spacing w:after="0" w:line="259" w:lineRule="auto"/>
        <w:tabs>
          <w:tab w:leader="none" w:pos="7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of the Company is aware of or has taken any action, directly or indirectly, that would result in a violation by such entities or persons of the Foreign Corrupt Practices Act of 1977, as amended, and the rules and regulations thereunder any other applicable anti-corruption laws; and</w:t>
      </w:r>
    </w:p>
    <w:p>
      <w:pPr>
        <w:spacing w:after="0" w:line="140" w:lineRule="exact"/>
        <w:rPr>
          <w:rFonts w:ascii="Arial" w:cs="Arial" w:eastAsia="Arial" w:hAnsi="Arial"/>
          <w:sz w:val="18"/>
          <w:szCs w:val="18"/>
          <w:color w:val="auto"/>
        </w:rPr>
      </w:pPr>
    </w:p>
    <w:p>
      <w:pPr>
        <w:ind w:firstLine="464"/>
        <w:spacing w:after="0" w:line="255" w:lineRule="auto"/>
        <w:tabs>
          <w:tab w:leader="none" w:pos="7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or agent of the Company is currently the subject of any sanctions administered by the Office of Foreign Assets Control of the U.S. Treasury Department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0" w:name="page21"/>
    <w:bookmarkEnd w:id="20"/>
    <w:p>
      <w:pPr>
        <w:ind w:left="-20" w:right="100" w:firstLine="464"/>
        <w:spacing w:after="0" w:line="268" w:lineRule="auto"/>
        <w:tabs>
          <w:tab w:leader="none" w:pos="61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132" w:lineRule="exact"/>
        <w:rPr>
          <w:sz w:val="20"/>
          <w:szCs w:val="20"/>
          <w:color w:val="auto"/>
        </w:rPr>
      </w:pPr>
    </w:p>
    <w:p>
      <w:pPr>
        <w:ind w:left="-20" w:right="80" w:firstLine="464"/>
        <w:spacing w:after="0" w:line="288"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6"/>
          <w:szCs w:val="16"/>
          <w:b w:val="1"/>
          <w:bCs w:val="1"/>
          <w:i w:val="1"/>
          <w:iCs w:val="1"/>
          <w:color w:val="auto"/>
        </w:rPr>
        <w:t>Adviser/Administrator Material Adverse Effect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20" w:right="20" w:firstLine="464"/>
        <w:spacing w:after="0" w:line="298"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12" w:lineRule="exact"/>
        <w:rPr>
          <w:rFonts w:ascii="Arial" w:cs="Arial" w:eastAsia="Arial" w:hAnsi="Arial"/>
          <w:sz w:val="16"/>
          <w:szCs w:val="16"/>
          <w:color w:val="auto"/>
        </w:rPr>
      </w:pPr>
    </w:p>
    <w:p>
      <w:pPr>
        <w:ind w:left="-20" w:firstLine="464"/>
        <w:spacing w:after="0" w:line="318" w:lineRule="auto"/>
        <w:tabs>
          <w:tab w:leader="none" w:pos="675"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99" w:lineRule="exact"/>
        <w:rPr>
          <w:rFonts w:ascii="Arial" w:cs="Arial" w:eastAsia="Arial" w:hAnsi="Arial"/>
          <w:sz w:val="15"/>
          <w:szCs w:val="15"/>
          <w:color w:val="auto"/>
        </w:rPr>
      </w:pPr>
    </w:p>
    <w:p>
      <w:pPr>
        <w:ind w:left="-20" w:right="120" w:firstLine="464"/>
        <w:spacing w:after="0" w:line="254"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80" w:right="239" w:bottom="1440" w:gutter="0" w:footer="0" w:header="0"/>
        </w:sectPr>
      </w:pPr>
    </w:p>
    <w:bookmarkStart w:id="21" w:name="page22"/>
    <w:bookmarkEnd w:id="21"/>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118" w:lineRule="exact"/>
        <w:rPr>
          <w:sz w:val="20"/>
          <w:szCs w:val="20"/>
          <w:color w:val="auto"/>
        </w:rPr>
      </w:pPr>
    </w:p>
    <w:p>
      <w:pPr>
        <w:ind w:firstLine="464"/>
        <w:spacing w:after="0" w:line="289"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118" w:lineRule="exact"/>
        <w:rPr>
          <w:rFonts w:ascii="Arial" w:cs="Arial" w:eastAsia="Arial" w:hAnsi="Arial"/>
          <w:sz w:val="16"/>
          <w:szCs w:val="16"/>
          <w:color w:val="auto"/>
        </w:rPr>
      </w:pPr>
    </w:p>
    <w:p>
      <w:pPr>
        <w:ind w:right="120" w:firstLine="464"/>
        <w:spacing w:after="0" w:line="253" w:lineRule="auto"/>
        <w:tabs>
          <w:tab w:leader="none" w:pos="6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47"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description of the Adviser and the Administrator contained in the Pricing Prospectus, the Prospectus and the Registration Statement is true, accurate and complete in all material respects;</w:t>
      </w:r>
    </w:p>
    <w:p>
      <w:pPr>
        <w:spacing w:after="0" w:line="131"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2" w:name="page23"/>
    <w:bookmarkEnd w:id="22"/>
    <w:p>
      <w:pPr>
        <w:jc w:val="both"/>
        <w:ind w:right="40" w:firstLine="464"/>
        <w:spacing w:after="0" w:line="256" w:lineRule="auto"/>
        <w:tabs>
          <w:tab w:leader="none" w:pos="666"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43" w:lineRule="exact"/>
        <w:rPr>
          <w:rFonts w:ascii="Arial" w:cs="Arial" w:eastAsia="Arial" w:hAnsi="Arial"/>
          <w:sz w:val="18"/>
          <w:szCs w:val="18"/>
          <w:color w:val="auto"/>
        </w:rPr>
      </w:pPr>
    </w:p>
    <w:p>
      <w:pPr>
        <w:ind w:right="60" w:firstLine="464"/>
        <w:spacing w:after="0" w:line="291" w:lineRule="auto"/>
        <w:tabs>
          <w:tab w:leader="none" w:pos="6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20" w:lineRule="exact"/>
        <w:rPr>
          <w:rFonts w:ascii="Arial" w:cs="Arial" w:eastAsia="Arial" w:hAnsi="Arial"/>
          <w:sz w:val="16"/>
          <w:szCs w:val="16"/>
          <w:color w:val="auto"/>
        </w:rPr>
      </w:pPr>
    </w:p>
    <w:p>
      <w:pPr>
        <w:jc w:val="both"/>
        <w:ind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Adviser is not aware that (i) any executive, key employee or significant group of employees of the Company, if any, the Adviser or the</w:t>
      </w:r>
    </w:p>
    <w:p>
      <w:pPr>
        <w:spacing w:after="0" w:line="38"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43" w:lineRule="exact"/>
        <w:rPr>
          <w:rFonts w:ascii="Arial" w:cs="Arial" w:eastAsia="Arial" w:hAnsi="Arial"/>
          <w:sz w:val="16"/>
          <w:szCs w:val="16"/>
          <w:color w:val="auto"/>
        </w:rPr>
      </w:pPr>
    </w:p>
    <w:p>
      <w:pPr>
        <w:ind w:right="160" w:firstLine="464"/>
        <w:spacing w:after="0" w:line="259" w:lineRule="auto"/>
        <w:tabs>
          <w:tab w:leader="none" w:pos="7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40" w:lineRule="exact"/>
        <w:rPr>
          <w:rFonts w:ascii="Arial" w:cs="Arial" w:eastAsia="Arial" w:hAnsi="Arial"/>
          <w:sz w:val="18"/>
          <w:szCs w:val="18"/>
          <w:color w:val="auto"/>
        </w:rPr>
      </w:pPr>
    </w:p>
    <w:p>
      <w:pPr>
        <w:ind w:right="100" w:firstLine="464"/>
        <w:spacing w:after="0" w:line="298"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23" w:name="page24"/>
    <w:bookmarkEnd w:id="23"/>
    <w:p>
      <w:pPr>
        <w:ind w:right="140" w:firstLine="464"/>
        <w:spacing w:after="0" w:line="259"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Adviser nor, to the knowledge of the Adviser, any director, officer, employee or affiliate of the Adviser is aware of or has taken any action, directly or indirectly, that would result in a violation by such entities or persons of the Foreign Corrupt Practices Act of 1977, as amended, and the rules and regulations thereunder;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Adviser, any director, officer or employee of the Adviser nor, to the knowledge of the Adviser, any affiliate or agent of the Adviser is currently the subject of any sanctions administered by OFAC; and the Adviser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3" w:lineRule="exact"/>
        <w:rPr>
          <w:sz w:val="20"/>
          <w:szCs w:val="20"/>
          <w:color w:val="auto"/>
        </w:rPr>
      </w:pPr>
    </w:p>
    <w:p>
      <w:pPr>
        <w:ind w:right="600" w:firstLine="464"/>
        <w:spacing w:after="0" w:line="268"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132" w:lineRule="exact"/>
        <w:rPr>
          <w:sz w:val="20"/>
          <w:szCs w:val="20"/>
          <w:color w:val="auto"/>
        </w:rPr>
      </w:pPr>
    </w:p>
    <w:p>
      <w:pPr>
        <w:ind w:right="60" w:firstLine="464"/>
        <w:spacing w:after="0" w:line="291"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20" w:lineRule="exact"/>
        <w:rPr>
          <w:rFonts w:ascii="Arial" w:cs="Arial" w:eastAsia="Arial" w:hAnsi="Arial"/>
          <w:sz w:val="16"/>
          <w:szCs w:val="16"/>
          <w:color w:val="auto"/>
        </w:rPr>
      </w:pPr>
    </w:p>
    <w:p>
      <w:pPr>
        <w:ind w:right="20" w:firstLine="464"/>
        <w:spacing w:after="0" w:line="283"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10(a)(3) of the Act;</w:t>
      </w:r>
    </w:p>
    <w:p>
      <w:pPr>
        <w:spacing w:after="0" w:line="164" w:lineRule="exact"/>
        <w:rPr>
          <w:rFonts w:ascii="Arial" w:cs="Arial" w:eastAsia="Arial" w:hAnsi="Arial"/>
          <w:sz w:val="16"/>
          <w:szCs w:val="16"/>
          <w:color w:val="auto"/>
        </w:rPr>
      </w:pPr>
    </w:p>
    <w:p>
      <w:pPr>
        <w:jc w:val="both"/>
        <w:ind w:right="20" w:firstLine="464"/>
        <w:spacing w:after="0" w:line="306"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that if, at the time of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 (i) when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4" w:name="page25"/>
    <w:bookmarkEnd w:id="24"/>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85" w:lineRule="exact"/>
        <w:rPr>
          <w:sz w:val="20"/>
          <w:szCs w:val="20"/>
          <w:color w:val="auto"/>
        </w:rPr>
      </w:pPr>
    </w:p>
    <w:p>
      <w:pPr>
        <w:ind w:firstLine="464"/>
        <w:spacing w:after="0" w:line="289"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advise you promptly, and, if requested, confirming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118"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furnish to the Joint Book-Running Managers a copy of all promotional materials (including “road show slides” or “road show scripts”) prepared by the Company or the Adviser for use in connection with the offering and sale of the Shares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140" w:lineRule="exact"/>
        <w:rPr>
          <w:rFonts w:ascii="Arial" w:cs="Arial" w:eastAsia="Arial" w:hAnsi="Arial"/>
          <w:sz w:val="18"/>
          <w:szCs w:val="18"/>
          <w:color w:val="auto"/>
        </w:rPr>
      </w:pPr>
    </w:p>
    <w:p>
      <w:pPr>
        <w:jc w:val="both"/>
        <w:ind w:firstLine="464"/>
        <w:spacing w:after="0" w:line="294" w:lineRule="auto"/>
        <w:tabs>
          <w:tab w:leader="none" w:pos="6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15"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25" w:name="page26"/>
    <w:bookmarkEnd w:id="25"/>
    <w:p>
      <w:pPr>
        <w:ind w:left="-40" w:right="180" w:firstLine="464"/>
        <w:spacing w:after="0" w:line="290" w:lineRule="auto"/>
        <w:tabs>
          <w:tab w:leader="none" w:pos="626"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118" w:lineRule="exact"/>
        <w:rPr>
          <w:rFonts w:ascii="Arial" w:cs="Arial" w:eastAsia="Arial" w:hAnsi="Arial"/>
          <w:sz w:val="16"/>
          <w:szCs w:val="16"/>
          <w:color w:val="auto"/>
        </w:rPr>
      </w:pPr>
    </w:p>
    <w:p>
      <w:pPr>
        <w:ind w:left="-40" w:right="440" w:firstLine="464"/>
        <w:spacing w:after="0" w:line="268" w:lineRule="auto"/>
        <w:tabs>
          <w:tab w:leader="none" w:pos="6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31" w:lineRule="exact"/>
        <w:rPr>
          <w:rFonts w:ascii="Arial" w:cs="Arial" w:eastAsia="Arial" w:hAnsi="Arial"/>
          <w:sz w:val="18"/>
          <w:szCs w:val="18"/>
          <w:color w:val="auto"/>
        </w:rPr>
      </w:pPr>
    </w:p>
    <w:p>
      <w:pPr>
        <w:ind w:left="-40" w:right="60" w:firstLine="464"/>
        <w:spacing w:after="0" w:line="332" w:lineRule="auto"/>
        <w:tabs>
          <w:tab w:leader="none" w:pos="6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will promptly deliver to each Underwriter and Fried, Frank, Harris, Shriver &amp; Jacobson LLP, counsel for the Underwriters, a signed copy of the Registration Statement, as initially filed and all amendments thereto, including all consents and exhibits filed therewith;</w:t>
      </w:r>
    </w:p>
    <w:p>
      <w:pPr>
        <w:spacing w:after="0" w:line="85" w:lineRule="exact"/>
        <w:rPr>
          <w:rFonts w:ascii="Arial" w:cs="Arial" w:eastAsia="Arial" w:hAnsi="Arial"/>
          <w:sz w:val="16"/>
          <w:szCs w:val="16"/>
          <w:color w:val="auto"/>
        </w:rPr>
      </w:pPr>
    </w:p>
    <w:p>
      <w:pPr>
        <w:ind w:left="-40" w:right="460" w:firstLine="464"/>
        <w:spacing w:after="0" w:line="268" w:lineRule="auto"/>
        <w:tabs>
          <w:tab w:leader="none" w:pos="6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Pricing Prospectus and the Prospectus;</w:t>
      </w:r>
    </w:p>
    <w:p>
      <w:pPr>
        <w:spacing w:after="0" w:line="131" w:lineRule="exact"/>
        <w:rPr>
          <w:rFonts w:ascii="Arial" w:cs="Arial" w:eastAsia="Arial" w:hAnsi="Arial"/>
          <w:sz w:val="18"/>
          <w:szCs w:val="18"/>
          <w:color w:val="auto"/>
        </w:rPr>
      </w:pPr>
    </w:p>
    <w:p>
      <w:pPr>
        <w:ind w:left="-40" w:right="160" w:firstLine="464"/>
        <w:spacing w:after="0" w:line="306" w:lineRule="auto"/>
        <w:tabs>
          <w:tab w:leader="none" w:pos="714"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Company will use its best efforts to maintain its status as a business development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06" w:lineRule="exact"/>
        <w:rPr>
          <w:rFonts w:ascii="Arial" w:cs="Arial" w:eastAsia="Arial" w:hAnsi="Arial"/>
          <w:sz w:val="16"/>
          <w:szCs w:val="16"/>
          <w:color w:val="auto"/>
        </w:rPr>
      </w:pPr>
    </w:p>
    <w:p>
      <w:pPr>
        <w:ind w:left="-40" w:right="20" w:firstLine="464"/>
        <w:spacing w:after="0" w:line="259" w:lineRule="auto"/>
        <w:tabs>
          <w:tab w:leader="none" w:pos="6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maintain its qualification and election as a regulated investment company under Subchapter M of the Code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discretion of the Company’s board of directors, the Company may elect not to be so treated;</w:t>
      </w:r>
    </w:p>
    <w:p>
      <w:pPr>
        <w:spacing w:after="0" w:line="140" w:lineRule="exact"/>
        <w:rPr>
          <w:rFonts w:ascii="Arial" w:cs="Arial" w:eastAsia="Arial" w:hAnsi="Arial"/>
          <w:sz w:val="18"/>
          <w:szCs w:val="18"/>
          <w:color w:val="auto"/>
        </w:rPr>
      </w:pPr>
    </w:p>
    <w:p>
      <w:pPr>
        <w:ind w:left="-40" w:firstLine="464"/>
        <w:spacing w:after="0" w:line="290" w:lineRule="auto"/>
        <w:tabs>
          <w:tab w:leader="none" w:pos="6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26" w:name="page27"/>
    <w:bookmarkEnd w:id="2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furnishing of copies of any blue sky surveys or legal investment surveys to the Underwriters and to dealers, (iv) any quotation of the Shares on the Nasdaq Global Market, (v) any filing for review of the public offering of the Shares by FINRA, including the reasonable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 (viii)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123" w:lineRule="exact"/>
        <w:rPr>
          <w:sz w:val="20"/>
          <w:szCs w:val="20"/>
          <w:color w:val="auto"/>
        </w:rPr>
      </w:pPr>
    </w:p>
    <w:p>
      <w:pPr>
        <w:ind w:firstLine="464"/>
        <w:spacing w:after="0" w:line="285"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that the Company shall not, and shall cause its Subsidiaries 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90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without the prior written consent of Morgan Stanley &amp; Co. LLC which may not be unreasonably withheld. The foregoing sentence shall not apply to (A) the registration of the Shares and the sales to the Underwriters pursuant to this Agreement, (B) bona fide gifts, provided the recipient thereof agrees in writing to be bound by the terms of the Lock-Up Agreement, (C) disposition to any trust for the direct or indirect benefit of the applicable party to a Lock-Up Agreement and/or the immediate family of such party, provided that such trust agrees in writing to be bound by the terms of the applicable Lock-Up Agreement, or (D) any issuance of shares of Common Stock pursuant to the Company’s dividend reinvestment plan. Notwithstanding the foregoing, for the purpose of allowing the Underwriters to comply with FINRA Rule 2711(f)(4), if (i) during the last 17 days of the Lock-Up Period, the Company releases earnings results or publicly announces other material news or a material event relating to the Company occurs or (ii) prior to the expiration of the Lock-Up Period, the Company announces that it will release earnings results during the 16-day period beginning on the last day of the Lock-Up Period, then in each case the Lock-Up Period will be extended until the expiration of the 18-day period beginning on the date of release of the earnings results or the public announcement regarding the material news or the occurrence of the material event, as applicable, unless Morgan Stanley &amp; Co. LLC waives, in writing, such extension; and</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use its best efforts to cause the Shares to be duly authorized for listing on the Nasdaq Global Market prior to the date the Shares are issued.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7" w:name="page28"/>
    <w:bookmarkEnd w:id="27"/>
    <w:p>
      <w:pPr>
        <w:jc w:val="both"/>
        <w:ind w:left="-40" w:right="200" w:firstLine="464"/>
        <w:spacing w:after="0" w:line="256" w:lineRule="auto"/>
        <w:tabs>
          <w:tab w:leader="none" w:pos="59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43" w:lineRule="exact"/>
        <w:rPr>
          <w:sz w:val="20"/>
          <w:szCs w:val="20"/>
          <w:color w:val="auto"/>
        </w:rPr>
      </w:pPr>
    </w:p>
    <w:p>
      <w:pPr>
        <w:ind w:left="-40" w:right="140" w:firstLine="464"/>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143" w:lineRule="exact"/>
        <w:rPr>
          <w:rFonts w:ascii="Arial" w:cs="Arial" w:eastAsia="Arial" w:hAnsi="Arial"/>
          <w:sz w:val="18"/>
          <w:szCs w:val="18"/>
          <w:color w:val="auto"/>
        </w:rPr>
      </w:pPr>
    </w:p>
    <w:p>
      <w:pPr>
        <w:jc w:val="both"/>
        <w:ind w:left="-40" w:right="100" w:firstLine="464"/>
        <w:spacing w:after="0" w:line="259" w:lineRule="auto"/>
        <w:tabs>
          <w:tab w:leader="none" w:pos="6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140" w:lineRule="exact"/>
        <w:rPr>
          <w:rFonts w:ascii="Arial" w:cs="Arial" w:eastAsia="Arial" w:hAnsi="Arial"/>
          <w:sz w:val="18"/>
          <w:szCs w:val="18"/>
          <w:color w:val="auto"/>
        </w:rPr>
      </w:pPr>
    </w:p>
    <w:p>
      <w:pPr>
        <w:ind w:left="-40" w:right="80" w:firstLine="464"/>
        <w:spacing w:after="0" w:line="298"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2" w:lineRule="exact"/>
        <w:rPr>
          <w:rFonts w:ascii="Arial" w:cs="Arial" w:eastAsia="Arial" w:hAnsi="Arial"/>
          <w:sz w:val="16"/>
          <w:szCs w:val="16"/>
          <w:color w:val="auto"/>
        </w:rPr>
      </w:pPr>
    </w:p>
    <w:p>
      <w:pPr>
        <w:ind w:left="-40" w:right="120" w:firstLine="464"/>
        <w:spacing w:after="0" w:line="259" w:lineRule="auto"/>
        <w:tabs>
          <w:tab w:leader="none" w:pos="6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Fried, Frank, Harris, Shriver &amp; Jacobson LLP, counsel for the Underwriters, dated the time of purchase or the additional time of purchase, as the case may be, with respect the sale of the Shares and other related matters as the Underwriters may require.</w:t>
      </w:r>
    </w:p>
    <w:p>
      <w:pPr>
        <w:spacing w:after="0" w:line="140" w:lineRule="exact"/>
        <w:rPr>
          <w:rFonts w:ascii="Arial" w:cs="Arial" w:eastAsia="Arial" w:hAnsi="Arial"/>
          <w:sz w:val="18"/>
          <w:szCs w:val="18"/>
          <w:color w:val="auto"/>
        </w:rPr>
      </w:pPr>
    </w:p>
    <w:p>
      <w:pPr>
        <w:ind w:left="-40" w:firstLine="464"/>
        <w:spacing w:after="0" w:line="25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44" w:lineRule="exact"/>
        <w:rPr>
          <w:rFonts w:ascii="Arial" w:cs="Arial" w:eastAsia="Arial" w:hAnsi="Arial"/>
          <w:sz w:val="18"/>
          <w:szCs w:val="18"/>
          <w:color w:val="auto"/>
        </w:rPr>
      </w:pPr>
    </w:p>
    <w:p>
      <w:pPr>
        <w:ind w:left="-40" w:right="100" w:firstLine="464"/>
        <w:spacing w:after="0" w:line="259" w:lineRule="auto"/>
        <w:tabs>
          <w:tab w:leader="none" w:pos="6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Subsidiaries or the Adviser, taken as a whole, shall occur or become known.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280" w:right="259" w:bottom="1440" w:gutter="0" w:footer="0" w:header="0"/>
        </w:sectPr>
      </w:pPr>
    </w:p>
    <w:bookmarkStart w:id="28" w:name="page29"/>
    <w:bookmarkEnd w:id="28"/>
    <w:p>
      <w:pPr>
        <w:ind w:right="22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of the Company, the Adviser and the Administrator will, at the time of purchase and, if applicable, at the additional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3(s) hereof.</w:t>
      </w:r>
    </w:p>
    <w:p>
      <w:pPr>
        <w:spacing w:after="0" w:line="171" w:lineRule="exact"/>
        <w:rPr>
          <w:rFonts w:ascii="Arial" w:cs="Arial" w:eastAsia="Arial" w:hAnsi="Arial"/>
          <w:sz w:val="18"/>
          <w:szCs w:val="18"/>
          <w:color w:val="auto"/>
        </w:rPr>
      </w:pPr>
    </w:p>
    <w:p>
      <w:pPr>
        <w:ind w:right="200" w:firstLine="464"/>
        <w:spacing w:after="0" w:line="268" w:lineRule="auto"/>
        <w:tabs>
          <w:tab w:leader="none" w:pos="6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Global Market, subject only to notice of issuance at or prior to the time of purchase and the additional time of purchase, as the case may be.</w:t>
      </w:r>
    </w:p>
    <w:p>
      <w:pPr>
        <w:spacing w:after="0" w:line="131" w:lineRule="exact"/>
        <w:rPr>
          <w:rFonts w:ascii="Arial" w:cs="Arial" w:eastAsia="Arial" w:hAnsi="Arial"/>
          <w:sz w:val="18"/>
          <w:szCs w:val="18"/>
          <w:color w:val="auto"/>
        </w:rPr>
      </w:pPr>
    </w:p>
    <w:p>
      <w:pPr>
        <w:ind w:right="480" w:firstLine="464"/>
        <w:spacing w:after="0" w:line="259" w:lineRule="auto"/>
        <w:tabs>
          <w:tab w:leader="none" w:pos="6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40" w:lineRule="exact"/>
        <w:rPr>
          <w:sz w:val="20"/>
          <w:szCs w:val="20"/>
          <w:color w:val="auto"/>
        </w:rPr>
      </w:pPr>
    </w:p>
    <w:p>
      <w:pPr>
        <w:ind w:firstLine="464"/>
        <w:spacing w:after="0" w:line="285"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2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9" w:name="page30"/>
    <w:bookmarkEnd w:id="2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40" w:lineRule="exact"/>
        <w:rPr>
          <w:sz w:val="20"/>
          <w:szCs w:val="20"/>
          <w:color w:val="auto"/>
        </w:rPr>
      </w:pPr>
    </w:p>
    <w:p>
      <w:pPr>
        <w:ind w:firstLine="464"/>
        <w:spacing w:after="0" w:line="288"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0" w:name="page31"/>
    <w:bookmarkEnd w:id="30"/>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 and Contribution</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(a)(1)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w:t>
      </w:r>
    </w:p>
    <w:p>
      <w:pPr>
        <w:spacing w:after="0" w:line="2" w:lineRule="exact"/>
        <w:rPr>
          <w:sz w:val="20"/>
          <w:szCs w:val="20"/>
          <w:color w:val="auto"/>
        </w:rPr>
      </w:pPr>
    </w:p>
    <w:p>
      <w:pPr>
        <w:ind w:right="20" w:firstLine="8"/>
        <w:spacing w:after="0" w:line="286" w:lineRule="auto"/>
        <w:tabs>
          <w:tab w:leader="none" w:pos="21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or the Prospectus or arising out of or based upon any omission or alleged omission to state a material 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20" w:lineRule="exact"/>
        <w:rPr>
          <w:rFonts w:ascii="Arial" w:cs="Arial" w:eastAsia="Arial" w:hAnsi="Arial"/>
          <w:sz w:val="16"/>
          <w:szCs w:val="16"/>
          <w:color w:val="auto"/>
        </w:rPr>
      </w:pPr>
    </w:p>
    <w:p>
      <w:pPr>
        <w:ind w:firstLine="921"/>
        <w:spacing w:after="0" w:line="288" w:lineRule="auto"/>
        <w:tabs>
          <w:tab w:leader="none" w:pos="1162"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Road Show Materials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Road Show Materials or the Prospectus or necessary to make the statements made therein not misleading or (y) any untrue statement or alleged untrue statement made by the Adviser or the Administrator in Section 4 hereof.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1" w:name="page32"/>
    <w:bookmarkEnd w:id="31"/>
    <w:p>
      <w:pPr>
        <w:ind w:left="-20" w:firstLine="921"/>
        <w:spacing w:after="0" w:line="303" w:lineRule="auto"/>
        <w:tabs>
          <w:tab w:leader="none" w:pos="1142" w:val="left"/>
        </w:tabs>
        <w:numPr>
          <w:ilvl w:val="0"/>
          <w:numId w:val="5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any action, suit or proceeding (each,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80" w:right="259" w:bottom="1440" w:gutter="0" w:footer="0" w:header="0"/>
        </w:sectPr>
      </w:pPr>
    </w:p>
    <w:bookmarkStart w:id="32" w:name="page33"/>
    <w:bookmarkEnd w:id="32"/>
    <w:p>
      <w:pPr>
        <w:ind w:firstLine="464"/>
        <w:spacing w:after="0" w:line="286"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3" w:name="page34"/>
    <w:bookmarkEnd w:id="33"/>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0" w:lineRule="exact"/>
        <w:rPr>
          <w:sz w:val="20"/>
          <w:szCs w:val="20"/>
          <w:color w:val="auto"/>
        </w:rPr>
      </w:pPr>
    </w:p>
    <w:p>
      <w:pPr>
        <w:ind w:firstLine="464"/>
        <w:spacing w:after="0" w:line="285"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9 were determined by pro rata allocation (even if the Underwriters were treated as one entity for such purpose) or by any</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4" w:name="page35"/>
    <w:bookmarkEnd w:id="3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20" w:lineRule="exact"/>
        <w:rPr>
          <w:sz w:val="20"/>
          <w:szCs w:val="20"/>
          <w:color w:val="auto"/>
        </w:rPr>
      </w:pPr>
    </w:p>
    <w:p>
      <w:pPr>
        <w:ind w:firstLine="464"/>
        <w:spacing w:after="0" w:line="287"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Pricing Prospectus or the Prospectus.</w:t>
      </w:r>
    </w:p>
    <w:p>
      <w:pPr>
        <w:spacing w:after="0" w:line="123" w:lineRule="exact"/>
        <w:rPr>
          <w:sz w:val="20"/>
          <w:szCs w:val="20"/>
          <w:color w:val="auto"/>
        </w:rPr>
      </w:pPr>
    </w:p>
    <w:p>
      <w:pPr>
        <w:ind w:right="40" w:firstLine="464"/>
        <w:spacing w:after="0" w:line="255"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w:t>
      </w:r>
      <w:r>
        <w:rPr>
          <w:rFonts w:ascii="Arial" w:cs="Arial" w:eastAsia="Arial" w:hAnsi="Arial"/>
          <w:sz w:val="18"/>
          <w:szCs w:val="18"/>
          <w:color w:val="auto"/>
        </w:rPr>
        <w:t>. The Company acknowledges that (i) the statements regarding delivery of the Firm Shares set forth in the last paragraph of the cover page and in the second and third paragraphs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42" w:lineRule="exact"/>
        <w:rPr>
          <w:rFonts w:ascii="Arial" w:cs="Arial" w:eastAsia="Arial" w:hAnsi="Arial"/>
          <w:sz w:val="18"/>
          <w:szCs w:val="18"/>
          <w:color w:val="auto"/>
        </w:rPr>
      </w:pPr>
    </w:p>
    <w:p>
      <w:pPr>
        <w:ind w:right="260" w:firstLine="464"/>
        <w:spacing w:after="0" w:line="291" w:lineRule="auto"/>
        <w:tabs>
          <w:tab w:leader="none" w:pos="71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and, if to the Underwriters, shall be sufficient in all respects if delivered or sent to Morgan Stanley &amp; Co. LLC, 1585 Broadway, New York, NY, 10036, Attention: Equity Syndicate Desk, with a copy to the Legal Department and a copy, which shall not constitute notice, to Fried, Frank, Harris, Shriver &amp; Jacobson LLP, One New York Plaza, New York, NY 10004,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facsimile no. (212) 905-1075, Attention: Arthur Penn.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5" w:name="page36"/>
    <w:bookmarkEnd w:id="35"/>
    <w:p>
      <w:pPr>
        <w:ind w:left="-20" w:firstLine="464"/>
        <w:spacing w:after="0" w:line="294"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Construction</w:t>
      </w:r>
      <w:r>
        <w:rPr>
          <w:rFonts w:ascii="Arial" w:cs="Arial" w:eastAsia="Arial" w:hAnsi="Arial"/>
          <w:sz w:val="16"/>
          <w:szCs w:val="16"/>
          <w:color w:val="auto"/>
        </w:rPr>
        <w:t>. This Agreement and any claim, counterclaim or dispute of any kind or nature whatsoever arising out of or in any way relating to this Agreement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15" w:lineRule="exact"/>
        <w:rPr>
          <w:rFonts w:ascii="Arial" w:cs="Arial" w:eastAsia="Arial" w:hAnsi="Arial"/>
          <w:sz w:val="16"/>
          <w:szCs w:val="16"/>
          <w:color w:val="auto"/>
        </w:rPr>
      </w:pPr>
    </w:p>
    <w:p>
      <w:pPr>
        <w:ind w:left="-20" w:right="80" w:firstLine="464"/>
        <w:spacing w:after="0" w:line="286"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27" w:lineRule="exact"/>
        <w:rPr>
          <w:rFonts w:ascii="Arial" w:cs="Arial" w:eastAsia="Arial" w:hAnsi="Arial"/>
          <w:sz w:val="16"/>
          <w:szCs w:val="16"/>
          <w:color w:val="auto"/>
        </w:rPr>
      </w:pPr>
    </w:p>
    <w:p>
      <w:pPr>
        <w:ind w:left="-20" w:right="220" w:firstLine="464"/>
        <w:spacing w:after="0" w:line="298"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12" w:lineRule="exact"/>
        <w:rPr>
          <w:rFonts w:ascii="Arial" w:cs="Arial" w:eastAsia="Arial" w:hAnsi="Arial"/>
          <w:sz w:val="16"/>
          <w:szCs w:val="16"/>
          <w:color w:val="auto"/>
        </w:rPr>
      </w:pPr>
    </w:p>
    <w:p>
      <w:pPr>
        <w:ind w:left="-20" w:right="280" w:firstLine="464"/>
        <w:spacing w:after="0" w:line="26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31" w:lineRule="exact"/>
        <w:rPr>
          <w:rFonts w:ascii="Arial" w:cs="Arial" w:eastAsia="Arial" w:hAnsi="Arial"/>
          <w:sz w:val="18"/>
          <w:szCs w:val="18"/>
          <w:color w:val="auto"/>
        </w:rPr>
      </w:pPr>
    </w:p>
    <w:p>
      <w:pPr>
        <w:ind w:left="-20" w:right="40" w:firstLine="464"/>
        <w:spacing w:after="0" w:line="259"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40" w:lineRule="exact"/>
        <w:rPr>
          <w:rFonts w:ascii="Arial" w:cs="Arial" w:eastAsia="Arial" w:hAnsi="Arial"/>
          <w:sz w:val="18"/>
          <w:szCs w:val="18"/>
          <w:color w:val="auto"/>
        </w:rPr>
      </w:pPr>
    </w:p>
    <w:p>
      <w:pPr>
        <w:ind w:left="-20" w:right="40" w:firstLine="464"/>
        <w:spacing w:after="0" w:line="26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Each of the Company, the Adviser and the Administrator acknowledges and agrees that (i) the sale through the Underwriters of any Shares pursuant to this Agreement, including the determination of the price of the Shares and any related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60" w:top="280" w:right="259" w:bottom="1440" w:gutter="0" w:footer="0" w:header="0"/>
        </w:sectPr>
      </w:pPr>
    </w:p>
    <w:bookmarkStart w:id="36" w:name="page37"/>
    <w:bookmarkEnd w:id="3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deemed appropriate.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7" w:name="page38"/>
    <w:bookmarkEnd w:id="37"/>
    <w:p>
      <w:pPr>
        <w:ind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ADMINISTRATION, LLC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240" w:top="280"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Pott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Kenneth Pott</w:t>
      </w:r>
    </w:p>
    <w:p>
      <w:pPr>
        <w:spacing w:after="0" w:line="15" w:lineRule="exact"/>
        <w:rPr>
          <w:sz w:val="20"/>
          <w:szCs w:val="20"/>
          <w:color w:val="auto"/>
        </w:rPr>
      </w:pPr>
    </w:p>
    <w:p>
      <w:pPr>
        <w:jc w:val="center"/>
        <w:ind w:right="7859"/>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Gilbert Dychiao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Gilbert Dychiao</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SUNTRUST ROBINSON HUMPHREY,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M.H. Williams,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John M.H. Williams, II</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Jennifer Caruso</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Allen G.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Allen G. Laufenberg</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280" w:right="1440" w:bottom="1440" w:gutter="0" w:footer="0" w:header="0"/>
        </w:sectPr>
      </w:pPr>
    </w:p>
    <w:bookmarkStart w:id="39" w:name="page40"/>
    <w:bookmarkEnd w:id="39"/>
    <w:tbl>
      <w:tblPr>
        <w:tblLayout w:type="fixed"/>
        <w:tblInd w:w="64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60" w:type="dxa"/>
            <w:vAlign w:val="bottom"/>
            <w:gridSpan w:val="4"/>
          </w:tcPr>
          <w:p>
            <w:pPr>
              <w:jc w:val="center"/>
              <w:ind w:right="3320"/>
              <w:spacing w:after="0"/>
              <w:rPr>
                <w:sz w:val="20"/>
                <w:szCs w:val="20"/>
                <w:color w:val="auto"/>
              </w:rPr>
            </w:pPr>
            <w:r>
              <w:rPr>
                <w:rFonts w:ascii="Arial" w:cs="Arial" w:eastAsia="Arial" w:hAnsi="Arial"/>
                <w:sz w:val="18"/>
                <w:szCs w:val="18"/>
                <w:b w:val="1"/>
                <w:bCs w:val="1"/>
                <w:color w:val="auto"/>
                <w:w w:val="97"/>
              </w:rPr>
              <w:t>SCHEDULE A</w:t>
            </w:r>
          </w:p>
        </w:tc>
        <w:tc>
          <w:tcPr>
            <w:tcW w:w="0" w:type="dxa"/>
            <w:vAlign w:val="bottom"/>
          </w:tcPr>
          <w:p>
            <w:pPr>
              <w:spacing w:after="0"/>
              <w:rPr>
                <w:sz w:val="1"/>
                <w:szCs w:val="1"/>
                <w:color w:val="auto"/>
              </w:rPr>
            </w:pPr>
          </w:p>
        </w:tc>
      </w:tr>
      <w:tr>
        <w:trPr>
          <w:trHeight w:val="361"/>
        </w:trPr>
        <w:tc>
          <w:tcPr>
            <w:tcW w:w="700" w:type="dxa"/>
            <w:vAlign w:val="bottom"/>
            <w:vMerge w:val="restart"/>
          </w:tcPr>
          <w:p>
            <w:pPr>
              <w:spacing w:after="0"/>
              <w:rPr>
                <w:sz w:val="20"/>
                <w:szCs w:val="20"/>
                <w:color w:val="auto"/>
              </w:rPr>
            </w:pPr>
            <w:r>
              <w:rPr>
                <w:rFonts w:ascii="Arial" w:cs="Arial" w:eastAsia="Arial" w:hAnsi="Arial"/>
                <w:sz w:val="14"/>
                <w:szCs w:val="14"/>
                <w:color w:val="auto"/>
                <w:w w:val="93"/>
              </w:rPr>
              <w:t>Underwriter</w:t>
            </w:r>
          </w:p>
        </w:tc>
        <w:tc>
          <w:tcPr>
            <w:tcW w:w="2600" w:type="dxa"/>
            <w:vAlign w:val="bottom"/>
            <w:vMerge w:val="restart"/>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66"/>
        </w:trPr>
        <w:tc>
          <w:tcPr>
            <w:tcW w:w="70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86"/>
              </w:rPr>
              <w:t>Firm Shares</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114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3,060,000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1,980,000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Stifel, Nicolaus &amp; Company, Incorporated</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3600" w:type="dxa"/>
            <w:vAlign w:val="bottom"/>
            <w:gridSpan w:val="2"/>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24,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Underwriters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This Lock-Up Letter Agreement is being delivered to you in connection with the proposed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to be entered into by and among PennantPark Investment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PennantPark Investment Advisers, LLC and PennantPark Investment Administration, LLC and you, as Representatives of the several Underwriters named therein, with respect to the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xml:space="preserve">) of Common Stock, par value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order to induce you to enter into the Underwriting Agreement, the undersigned agrees that from the date hereof until the end of a period of 90 days after the date of the final prospectus relating to the Offering the undersigned will not, without the prior written consent of Morgan Stanley &amp; Co.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w:t>
      </w:r>
    </w:p>
    <w:p>
      <w:pPr>
        <w:sectPr>
          <w:pgSz w:w="11900" w:h="16838" w:orient="portrait"/>
          <w:cols w:equalWidth="0" w:num="1">
            <w:col w:w="11420"/>
          </w:cols>
          <w:pgMar w:left="240" w:top="274" w:right="239" w:bottom="1440" w:gutter="0" w:footer="0" w:header="0"/>
        </w:sectPr>
      </w:pPr>
    </w:p>
    <w:bookmarkStart w:id="41" w:name="page42"/>
    <w:bookmarkEnd w:id="4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rights to purchase Common Stock, whether any such transaction is to be settled by delivery of Common Stock or such other securities, in cash or otherwise, or (iii) publicly announce an intention to effect any transaction specified in clause (i) 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or (c) dispositions to any trust for the direct or indirect benefit of the undersigned and/or the immediate family of the undersigned, provided that such trust agrees in writing with the Underwriters to be bound by the terms of this Lock-Up Letter Agreement.</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90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(i) the Company issues an earnings release or material news or a material event relating to the Company occurs during the last 17 days of the 90 day lock-up period, or (ii) prior to the expiration of the 90 day lock-up period, the Company announces that it will release earnings results during the 16-day period beginning on the last day of the 90 day lock-up period, the restrictions imposed by this Agreement shall continue to apply until the expiration of the 18-day period beginning on the issuance of the earnings release or the occurrence of the material news or material event.</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(i) the Company notifies you in writing that it does not intend to proceed with the Offering, (ii) 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00"/>
          </w:cols>
          <w:pgMar w:left="240" w:top="280" w:right="259" w:bottom="1440" w:gutter="0" w:footer="0" w:header="0"/>
        </w:sectPr>
      </w:pPr>
    </w:p>
    <w:bookmarkStart w:id="42" w:name="page43"/>
    <w:bookmarkEnd w:id="42"/>
    <w:p>
      <w:pPr>
        <w:ind w:left="5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List of Persons or Entities Affiliated with the Company, the Adviser and the Administrator</w:t>
      </w:r>
    </w:p>
    <w:p>
      <w:pPr>
        <w:spacing w:after="0" w:line="113"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Aviv Efrat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 Whitridge Williams, Jr.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Guy Talarico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Jose A. Briones</w:t>
      </w:r>
    </w:p>
    <w:p>
      <w:pPr>
        <w:sectPr>
          <w:pgSz w:w="11900" w:h="16838" w:orient="portrait"/>
          <w:cols w:equalWidth="0" w:num="1">
            <w:col w:w="10219"/>
          </w:cols>
          <w:pgMar w:left="240" w:top="27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Dechert LLP</w:t>
      </w:r>
    </w:p>
    <w:p>
      <w:pPr>
        <w:sectPr>
          <w:pgSz w:w="11900" w:h="16838" w:orient="portrait"/>
          <w:cols w:equalWidth="0" w:num="1">
            <w:col w:w="9019"/>
          </w:cols>
          <w:pgMar w:left="144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4" w:right="1440" w:bottom="1440" w:gutter="0" w:footer="0" w:header="0"/>
        </w:sectPr>
      </w:pPr>
    </w:p>
    <w:bookmarkStart w:id="45" w:name="page46"/>
    <w:bookmarkEnd w:id="45"/>
    <w:p>
      <w:pPr>
        <w:jc w:val="center"/>
        <w:ind w:right="35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77" w:lineRule="exact"/>
        <w:rPr>
          <w:sz w:val="20"/>
          <w:szCs w:val="20"/>
          <w:color w:val="auto"/>
        </w:rPr>
      </w:pPr>
    </w:p>
    <w:p>
      <w:pPr>
        <w:jc w:val="center"/>
        <w:ind w:right="354"/>
        <w:spacing w:after="0"/>
        <w:rPr>
          <w:sz w:val="20"/>
          <w:szCs w:val="20"/>
          <w:color w:val="auto"/>
        </w:rPr>
      </w:pPr>
      <w:r>
        <w:rPr>
          <w:rFonts w:ascii="Arial" w:cs="Arial" w:eastAsia="Arial" w:hAnsi="Arial"/>
          <w:sz w:val="18"/>
          <w:szCs w:val="18"/>
          <w:u w:val="single" w:color="auto"/>
          <w:color w:val="auto"/>
        </w:rPr>
        <w:t>Form of Certificate Required by Section 6(g)</w:t>
      </w:r>
    </w:p>
    <w:p>
      <w:pPr>
        <w:spacing w:after="0" w:line="90" w:lineRule="exact"/>
        <w:rPr>
          <w:sz w:val="20"/>
          <w:szCs w:val="20"/>
          <w:color w:val="auto"/>
        </w:rPr>
      </w:pPr>
    </w:p>
    <w:p>
      <w:pPr>
        <w:ind w:left="446" w:hanging="446"/>
        <w:spacing w:after="0"/>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90"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50" w:lineRule="exact"/>
        <w:rPr>
          <w:rFonts w:ascii="Arial" w:cs="Arial" w:eastAsia="Arial" w:hAnsi="Arial"/>
          <w:sz w:val="18"/>
          <w:szCs w:val="18"/>
          <w:color w:val="auto"/>
        </w:rPr>
      </w:pPr>
    </w:p>
    <w:p>
      <w:pPr>
        <w:ind w:left="446" w:right="580" w:hanging="446"/>
        <w:spacing w:after="0" w:line="268" w:lineRule="auto"/>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pacing w:after="0" w:line="90"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pacing w:after="0" w:line="59" w:lineRule="exact"/>
        <w:rPr>
          <w:rFonts w:ascii="Arial" w:cs="Arial" w:eastAsia="Arial" w:hAnsi="Arial"/>
          <w:sz w:val="18"/>
          <w:szCs w:val="18"/>
          <w:color w:val="auto"/>
        </w:rPr>
      </w:pPr>
    </w:p>
    <w:p>
      <w:pPr>
        <w:ind w:left="446" w:right="20" w:hanging="446"/>
        <w:spacing w:after="0" w:line="306"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estimated financial information of the Company contained in the attached Exhibit A, which is included in the Prospectus Supplement represents a good faith estimate of the financial information presented based on the most recently available records of the Company and all other information available to the Company concerning its portfolio and represents a reasonable range for each estimated financial item.</w:t>
      </w:r>
    </w:p>
    <w:p>
      <w:pPr>
        <w:spacing w:after="0" w:line="25" w:lineRule="exact"/>
        <w:rPr>
          <w:rFonts w:ascii="Arial" w:cs="Arial" w:eastAsia="Arial" w:hAnsi="Arial"/>
          <w:sz w:val="16"/>
          <w:szCs w:val="16"/>
          <w:color w:val="auto"/>
        </w:rPr>
      </w:pPr>
    </w:p>
    <w:p>
      <w:pPr>
        <w:ind w:left="446" w:hanging="446"/>
        <w:spacing w:after="0" w:line="254" w:lineRule="auto"/>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Nothing has come to my attention that caused me to believe that the information contained in the attached Exhibit A (1) is not stated on a basis substantially consistent with that of the audited consolidated financial statements of the Company for the year ended September 30, 2011 included in the Prospectus (except for any adjustments which may arise in the future as part of the audit process) or substantially consistent with how the Company expects to present its unaudited interim financial results for the three months ending December 31, 2011 and (2) does not represent our current expectations for financial information the Company expects to report as part of its quarterly report on Form 10-Q for the quarter ended December 31, 2011.</w:t>
      </w:r>
    </w:p>
    <w:p>
      <w:pPr>
        <w:sectPr>
          <w:pgSz w:w="11900" w:h="16838" w:orient="portrait"/>
          <w:cols w:equalWidth="0" w:num="1">
            <w:col w:w="10886"/>
          </w:cols>
          <w:pgMar w:left="694" w:top="274" w:right="319" w:bottom="1440" w:gutter="0" w:footer="0" w:header="0"/>
        </w:sectPr>
      </w:pPr>
    </w:p>
    <w:bookmarkStart w:id="46" w:name="page47"/>
    <w:bookmarkEnd w:id="46"/>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E</w:t>
            </w:r>
          </w:p>
        </w:tc>
        <w:tc>
          <w:tcPr>
            <w:tcW w:w="27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60" w:type="dxa"/>
            <w:vAlign w:val="bottom"/>
            <w:gridSpan w:val="4"/>
          </w:tcPr>
          <w:p>
            <w:pPr>
              <w:jc w:val="center"/>
              <w:ind w:right="2380"/>
              <w:spacing w:after="0"/>
              <w:rPr>
                <w:sz w:val="20"/>
                <w:szCs w:val="20"/>
                <w:color w:val="auto"/>
              </w:rPr>
            </w:pPr>
            <w:r>
              <w:rPr>
                <w:rFonts w:ascii="Arial" w:cs="Arial" w:eastAsia="Arial" w:hAnsi="Arial"/>
                <w:sz w:val="18"/>
                <w:szCs w:val="18"/>
                <w:color w:val="auto"/>
                <w:w w:val="91"/>
              </w:rPr>
              <w:t>Pricing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Number of Firm Shares: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w w:val="87"/>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Number of Additional Shares: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1,350,000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38</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7" w:name="page48"/>
    <w:bookmarkEnd w:id="47"/>
    <w:p>
      <w:pPr>
        <w:ind w:left="10360"/>
        <w:spacing w:after="0"/>
        <w:rPr>
          <w:sz w:val="20"/>
          <w:szCs w:val="20"/>
          <w:color w:val="auto"/>
        </w:rPr>
      </w:pPr>
      <w:r>
        <w:rPr>
          <w:rFonts w:ascii="Arial" w:cs="Arial" w:eastAsia="Arial" w:hAnsi="Arial"/>
          <w:sz w:val="16"/>
          <w:szCs w:val="16"/>
          <w:color w:val="auto"/>
        </w:rPr>
        <w:t>Exhibit 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140460" cy="283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40460" cy="283210"/>
                    </a:xfrm>
                    <a:prstGeom prst="rect">
                      <a:avLst/>
                    </a:prstGeom>
                    <a:noFill/>
                  </pic:spPr>
                </pic:pic>
              </a:graphicData>
            </a:graphic>
          </wp:anchor>
        </w:drawing>
      </w:r>
    </w:p>
    <w:p>
      <w:pPr>
        <w:spacing w:after="0" w:line="228" w:lineRule="exact"/>
        <w:rPr>
          <w:sz w:val="20"/>
          <w:szCs w:val="20"/>
          <w:color w:val="auto"/>
        </w:rPr>
      </w:pPr>
    </w:p>
    <w:p>
      <w:pPr>
        <w:ind w:left="5960"/>
        <w:spacing w:after="0"/>
        <w:tabs>
          <w:tab w:leader="none" w:pos="7820" w:val="left"/>
          <w:tab w:leader="none" w:pos="8800" w:val="left"/>
        </w:tabs>
        <w:rPr>
          <w:sz w:val="20"/>
          <w:szCs w:val="20"/>
          <w:color w:val="auto"/>
        </w:rPr>
      </w:pPr>
      <w:r>
        <w:rPr>
          <w:rFonts w:ascii="Arial" w:cs="Arial" w:eastAsia="Arial" w:hAnsi="Arial"/>
          <w:sz w:val="18"/>
          <w:szCs w:val="18"/>
          <w:color w:val="auto"/>
        </w:rPr>
        <w:t>750 E. PRATT STREET</w:t>
        <w:tab/>
        <w:t>SUITE 900</w:t>
      </w:r>
      <w:r>
        <w:rPr>
          <w:sz w:val="20"/>
          <w:szCs w:val="20"/>
          <w:color w:val="auto"/>
        </w:rPr>
        <w:tab/>
      </w:r>
      <w:r>
        <w:rPr>
          <w:rFonts w:ascii="Arial" w:cs="Arial" w:eastAsia="Arial" w:hAnsi="Arial"/>
          <w:sz w:val="16"/>
          <w:szCs w:val="16"/>
          <w:color w:val="auto"/>
        </w:rPr>
        <w:t>BALTIMORE, MD21202</w:t>
      </w:r>
    </w:p>
    <w:p>
      <w:pPr>
        <w:spacing w:after="0" w:line="15" w:lineRule="exact"/>
        <w:rPr>
          <w:sz w:val="20"/>
          <w:szCs w:val="20"/>
          <w:color w:val="auto"/>
        </w:rPr>
      </w:pPr>
    </w:p>
    <w:p>
      <w:pPr>
        <w:ind w:left="5960"/>
        <w:spacing w:after="0"/>
        <w:tabs>
          <w:tab w:leader="none" w:pos="7280" w:val="left"/>
          <w:tab w:leader="none" w:pos="8620" w:val="left"/>
        </w:tabs>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410.244.7400</w:t>
      </w:r>
      <w:r>
        <w:rPr>
          <w:rFonts w:ascii="Arial" w:cs="Arial" w:eastAsia="Arial" w:hAnsi="Arial"/>
          <w:sz w:val="18"/>
          <w:szCs w:val="18"/>
          <w:b w:val="1"/>
          <w:bCs w:val="1"/>
          <w:color w:val="auto"/>
        </w:rPr>
        <w:tab/>
        <w:t xml:space="preserve">F </w:t>
      </w:r>
      <w:r>
        <w:rPr>
          <w:rFonts w:ascii="Arial" w:cs="Arial" w:eastAsia="Arial" w:hAnsi="Arial"/>
          <w:sz w:val="18"/>
          <w:szCs w:val="18"/>
          <w:color w:val="auto"/>
        </w:rPr>
        <w:t>410.244.7742</w:t>
      </w:r>
      <w:r>
        <w:rPr>
          <w:sz w:val="20"/>
          <w:szCs w:val="20"/>
          <w:color w:val="auto"/>
        </w:rPr>
        <w:tab/>
      </w:r>
      <w:r>
        <w:rPr>
          <w:rFonts w:ascii="Arial" w:cs="Arial" w:eastAsia="Arial" w:hAnsi="Arial"/>
          <w:sz w:val="15"/>
          <w:szCs w:val="15"/>
          <w:color w:val="auto"/>
        </w:rPr>
        <w:t>www.Venable.com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24,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2620" w:type="dxa"/>
            <w:vAlign w:val="bottom"/>
            <w:gridSpan w:val="2"/>
          </w:tcPr>
          <w:p>
            <w:pPr>
              <w:spacing w:after="0"/>
              <w:rPr>
                <w:sz w:val="20"/>
                <w:szCs w:val="20"/>
                <w:color w:val="auto"/>
              </w:rPr>
            </w:pPr>
            <w:r>
              <w:rPr>
                <w:rFonts w:ascii="Arial" w:cs="Arial" w:eastAsia="Arial" w:hAnsi="Arial"/>
                <w:sz w:val="18"/>
                <w:szCs w:val="18"/>
                <w:color w:val="auto"/>
                <w:w w:val="88"/>
              </w:rPr>
              <w:t>Registration Statement on Form N-2:</w:t>
            </w:r>
          </w:p>
        </w:tc>
      </w:tr>
      <w:tr>
        <w:trPr>
          <w:trHeight w:val="184"/>
        </w:trPr>
        <w:tc>
          <w:tcPr>
            <w:tcW w:w="560" w:type="dxa"/>
            <w:vAlign w:val="bottom"/>
          </w:tcPr>
          <w:p>
            <w:pPr>
              <w:spacing w:after="0"/>
              <w:rPr>
                <w:sz w:val="15"/>
                <w:szCs w:val="15"/>
                <w:color w:val="auto"/>
              </w:rPr>
            </w:pPr>
          </w:p>
        </w:tc>
        <w:tc>
          <w:tcPr>
            <w:tcW w:w="2620" w:type="dxa"/>
            <w:vAlign w:val="bottom"/>
            <w:gridSpan w:val="2"/>
          </w:tcPr>
          <w:p>
            <w:pPr>
              <w:spacing w:after="0" w:line="184" w:lineRule="exact"/>
              <w:rPr>
                <w:sz w:val="20"/>
                <w:szCs w:val="20"/>
                <w:color w:val="auto"/>
              </w:rPr>
            </w:pPr>
            <w:r>
              <w:rPr>
                <w:rFonts w:ascii="Arial" w:cs="Arial" w:eastAsia="Arial" w:hAnsi="Arial"/>
                <w:sz w:val="18"/>
                <w:szCs w:val="18"/>
                <w:color w:val="auto"/>
              </w:rPr>
              <w:t>1933 Act File No. 333-172524</w:t>
            </w:r>
          </w:p>
        </w:tc>
      </w:tr>
      <w:tr>
        <w:trPr>
          <w:trHeight w:val="20"/>
        </w:trPr>
        <w:tc>
          <w:tcPr>
            <w:tcW w:w="5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issuance of up to 10,350,000 shares (the “Shares”) of common stock, $.00l par value per share, of the Company (including up to 1,350,000 Shares which the underwriters in the Offering (as defined herein) have the option to purchase pursuant to an overallotment option) to be issued in an underwritten public offering (the “Offering”), covered by the Registration Statement, and all amendments thereto (the “Registration Statement”), filed by the Company with the United States Securities and Exchange Commission (the “Commission”) under the Securities Act of 1933, as amended (the “1933 Act”).</w:t>
      </w:r>
    </w:p>
    <w:p>
      <w:pPr>
        <w:spacing w:after="0" w:line="12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Prospectus Supplement, dated January 24, 2012, in the form to be filed by the Company with the Commission pursuant to Rule 497 under the 1933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Amended and Restated Bylaws of the Company, certified as of the date hereof by an officer of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3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40460" cy="283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283210"/>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80" w:firstLine="464"/>
        <w:spacing w:after="0" w:line="268"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or a duly authorized committee thereof, relating to the registration and issuance of the Shares, certified as of the date hereof by an officer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firstLine="464"/>
        <w:spacing w:after="0" w:line="370"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62" w:lineRule="exact"/>
        <w:rPr>
          <w:rFonts w:ascii="Arial" w:cs="Arial" w:eastAsia="Arial" w:hAnsi="Arial"/>
          <w:sz w:val="15"/>
          <w:szCs w:val="15"/>
          <w:color w:val="auto"/>
        </w:rPr>
      </w:pPr>
    </w:p>
    <w:p>
      <w:pPr>
        <w:ind w:right="40" w:firstLine="464"/>
        <w:spacing w:after="0" w:line="254"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ectPr>
          <w:pgSz w:w="11900" w:h="16838" w:orient="portrait"/>
          <w:cols w:equalWidth="0" w:num="1">
            <w:col w:w="11280"/>
          </w:cols>
          <w:pgMar w:left="240" w:top="1023"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40460" cy="283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283210"/>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20" w:firstLine="464"/>
        <w:spacing w:after="0" w:line="332" w:lineRule="auto"/>
        <w:tabs>
          <w:tab w:leader="none" w:pos="6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issued and delivered by the Company pursuant to the Resolutions and the Registration Statement against payment of the consideration set forth therein, the Shares will be validly issued, fully paid and nonassessable.</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foregoing opinion is limited to the substantive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8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114300</wp:posOffset>
            </wp:positionV>
            <wp:extent cx="857885" cy="43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885" cy="437515"/>
                    </a:xfrm>
                    <a:prstGeom prst="rect">
                      <a:avLst/>
                    </a:prstGeom>
                    <a:noFill/>
                  </pic:spPr>
                </pic:pic>
              </a:graphicData>
            </a:graphic>
          </wp:anchor>
        </w:drawing>
      </w:r>
    </w:p>
    <w:sectPr>
      <w:pgSz w:w="11900" w:h="16838" w:orient="portrait"/>
      <w:cols w:equalWidth="0" w:num="1">
        <w:col w:w="11380"/>
      </w:cols>
      <w:pgMar w:left="240" w:top="102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bullet"/>
      <w:start w:val="1"/>
    </w:lvl>
  </w:abstractNum>
  <w:abstractNum w:abstractNumId="2">
    <w:nsid w:val="3006C83E"/>
    <w:multiLevelType w:val="hybridMultilevel"/>
    <w:lvl w:ilvl="0">
      <w:lvlJc w:val="left"/>
      <w:lvlText w:val="2"/>
      <w:numFmt w:val="bullet"/>
      <w:start w:val="1"/>
    </w:lvl>
  </w:abstractNum>
  <w:abstractNum w:abstractNumId="3">
    <w:nsid w:val="614FD4A1"/>
    <w:multiLevelType w:val="hybridMultilevel"/>
    <w:lvl w:ilvl="0">
      <w:lvlJc w:val="left"/>
      <w:lvlText w:val="(%1)"/>
      <w:numFmt w:val="lowerLetter"/>
      <w:start w:val="1"/>
    </w:lvl>
  </w:abstractNum>
  <w:abstractNum w:abstractNumId="4">
    <w:nsid w:val="419AC241"/>
    <w:multiLevelType w:val="hybridMultilevel"/>
    <w:lvl w:ilvl="0">
      <w:lvlJc w:val="left"/>
      <w:lvlText w:val="(%1)"/>
      <w:numFmt w:val="lowerLetter"/>
      <w:start w:val="5"/>
    </w:lvl>
  </w:abstractNum>
  <w:abstractNum w:abstractNumId="5">
    <w:nsid w:val="5577F8E1"/>
    <w:multiLevelType w:val="hybridMultilevel"/>
    <w:lvl w:ilvl="0">
      <w:lvlJc w:val="left"/>
      <w:lvlText w:val="(%1)"/>
      <w:numFmt w:val="lowerLetter"/>
      <w:start w:val="7"/>
    </w:lvl>
  </w:abstractNum>
  <w:abstractNum w:abstractNumId="6">
    <w:nsid w:val="440BADFC"/>
    <w:multiLevelType w:val="hybridMultilevel"/>
    <w:lvl w:ilvl="0">
      <w:lvlJc w:val="left"/>
      <w:lvlText w:val="(%1)"/>
      <w:numFmt w:val="lowerLetter"/>
      <w:start w:val="10"/>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3"/>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lowerRoman"/>
      <w:start w:val="1"/>
    </w:lvl>
  </w:abstractNum>
  <w:abstractNum w:abstractNumId="13">
    <w:nsid w:val="5E884ADC"/>
    <w:multiLevelType w:val="hybridMultilevel"/>
    <w:lvl w:ilvl="0">
      <w:lvlJc w:val="left"/>
      <w:lvlText w:val="(%1)"/>
      <w:numFmt w:val="lowerLetter"/>
      <w:start w:val="2"/>
    </w:lvl>
  </w:abstractNum>
  <w:abstractNum w:abstractNumId="14">
    <w:nsid w:val="51EAD36B"/>
    <w:multiLevelType w:val="hybridMultilevel"/>
    <w:lvl w:ilvl="0">
      <w:lvlJc w:val="left"/>
      <w:lvlText w:val="(%1)"/>
      <w:numFmt w:val="lowerLetter"/>
      <w:start w:val="6"/>
    </w:lvl>
  </w:abstractNum>
  <w:abstractNum w:abstractNumId="15">
    <w:nsid w:val="2D517796"/>
    <w:multiLevelType w:val="hybridMultilevel"/>
    <w:lvl w:ilvl="0">
      <w:lvlJc w:val="left"/>
      <w:lvlText w:val="(%1)"/>
      <w:numFmt w:val="lowerRoman"/>
      <w:start w:val="1"/>
    </w:lvl>
  </w:abstractNum>
  <w:abstractNum w:abstractNumId="16">
    <w:nsid w:val="580BD78F"/>
    <w:multiLevelType w:val="hybridMultilevel"/>
    <w:lvl w:ilvl="0">
      <w:lvlJc w:val="left"/>
      <w:lvlText w:val="(%1)"/>
      <w:numFmt w:val="lowerLetter"/>
      <w:start w:val="7"/>
    </w:lvl>
  </w:abstractNum>
  <w:abstractNum w:abstractNumId="17">
    <w:nsid w:val="153EA438"/>
    <w:multiLevelType w:val="hybridMultilevel"/>
    <w:lvl w:ilvl="0">
      <w:lvlJc w:val="left"/>
      <w:lvlText w:val="%1"/>
      <w:numFmt w:val="decimal"/>
      <w:start w:val="1"/>
    </w:lvl>
    <w:lvl w:ilvl="1">
      <w:lvlJc w:val="left"/>
      <w:lvlText w:val="(%2)"/>
      <w:numFmt w:val="lowerLetter"/>
      <w:start w:val="2"/>
    </w:lvl>
  </w:abstractNum>
  <w:abstractNum w:abstractNumId="18">
    <w:nsid w:val="3855585C"/>
    <w:multiLevelType w:val="hybridMultilevel"/>
    <w:lvl w:ilvl="0">
      <w:lvlJc w:val="left"/>
      <w:lvlText w:val="(%1)"/>
      <w:numFmt w:val="decimal"/>
      <w:start w:val="6"/>
    </w:lvl>
    <w:lvl w:ilvl="1">
      <w:lvlJc w:val="left"/>
      <w:lvlText w:val="%2"/>
      <w:numFmt w:val="lowerLetter"/>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2"/>
    </w:lvl>
  </w:abstractNum>
  <w:abstractNum w:abstractNumId="22">
    <w:nsid w:val="1D4ED43B"/>
    <w:multiLevelType w:val="hybridMultilevel"/>
    <w:lvl w:ilvl="0">
      <w:lvlJc w:val="left"/>
      <w:lvlText w:val="%1."/>
      <w:numFmt w:val="decimal"/>
      <w:start w:val="3"/>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lowerLetter"/>
      <w:start w:val="3"/>
    </w:lvl>
  </w:abstractNum>
  <w:abstractNum w:abstractNumId="25">
    <w:nsid w:val="57E4CCAF"/>
    <w:multiLevelType w:val="hybridMultilevel"/>
    <w:lvl w:ilvl="0">
      <w:lvlJc w:val="left"/>
      <w:lvlText w:val="(%1)"/>
      <w:numFmt w:val="lowerLetter"/>
      <w:start w:val="7"/>
    </w:lvl>
  </w:abstractNum>
  <w:abstractNum w:abstractNumId="26">
    <w:nsid w:val="7A6D8D3C"/>
    <w:multiLevelType w:val="hybridMultilevel"/>
    <w:lvl w:ilvl="0">
      <w:lvlJc w:val="left"/>
      <w:lvlText w:val="(%1)"/>
      <w:numFmt w:val="lowerLetter"/>
      <w:start w:val="11"/>
    </w:lvl>
  </w:abstractNum>
  <w:abstractNum w:abstractNumId="27">
    <w:nsid w:val="4B588F54"/>
    <w:multiLevelType w:val="hybridMultilevel"/>
    <w:lvl w:ilvl="0">
      <w:lvlJc w:val="left"/>
      <w:lvlText w:val="(%1)"/>
      <w:numFmt w:val="lowerLetter"/>
      <w:start w:val="16"/>
    </w:lvl>
  </w:abstractNum>
  <w:abstractNum w:abstractNumId="28">
    <w:nsid w:val="542289EC"/>
    <w:multiLevelType w:val="hybridMultilevel"/>
    <w:lvl w:ilvl="0">
      <w:lvlJc w:val="left"/>
      <w:lvlText w:val="(%1)"/>
      <w:numFmt w:val="lowerLetter"/>
      <w:start w:val="22"/>
    </w:lvl>
  </w:abstractNum>
  <w:abstractNum w:abstractNumId="29">
    <w:nsid w:val="6DE91B18"/>
    <w:multiLevelType w:val="hybridMultilevel"/>
    <w:lvl w:ilvl="0">
      <w:lvlJc w:val="left"/>
      <w:lvlText w:val="(%1)"/>
      <w:numFmt w:val="lowerLetter"/>
      <w:start w:val="26"/>
    </w:lvl>
  </w:abstractNum>
  <w:abstractNum w:abstractNumId="30">
    <w:nsid w:val="38437FDB"/>
    <w:multiLevelType w:val="hybridMultilevel"/>
    <w:lvl w:ilvl="0">
      <w:lvlJc w:val="left"/>
      <w:lvlText w:val="(%1)"/>
      <w:numFmt w:val="lowerLetter"/>
      <w:start w:val="27"/>
    </w:lvl>
  </w:abstractNum>
  <w:abstractNum w:abstractNumId="31">
    <w:nsid w:val="7644A45C"/>
    <w:multiLevelType w:val="hybridMultilevel"/>
    <w:lvl w:ilvl="0">
      <w:lvlJc w:val="left"/>
      <w:lvlText w:val="(%1)"/>
      <w:numFmt w:val="lowerLetter"/>
      <w:start w:val="34"/>
    </w:lvl>
  </w:abstractNum>
  <w:abstractNum w:abstractNumId="32">
    <w:nsid w:val="32FFF902"/>
    <w:multiLevelType w:val="hybridMultilevel"/>
    <w:lvl w:ilvl="0">
      <w:lvlJc w:val="left"/>
      <w:lvlText w:val="(%1)"/>
      <w:numFmt w:val="lowerLetter"/>
      <w:start w:val="36"/>
    </w:lvl>
  </w:abstractNum>
  <w:abstractNum w:abstractNumId="33">
    <w:nsid w:val="684A481A"/>
    <w:multiLevelType w:val="hybridMultilevel"/>
    <w:lvl w:ilvl="0">
      <w:lvlJc w:val="left"/>
      <w:lvlText w:val="%1."/>
      <w:numFmt w:val="decimal"/>
      <w:start w:val="4"/>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lowerLetter"/>
      <w:start w:val="5"/>
    </w:lvl>
  </w:abstractNum>
  <w:abstractNum w:abstractNumId="36">
    <w:nsid w:val="3DC240FB"/>
    <w:multiLevelType w:val="hybridMultilevel"/>
    <w:lvl w:ilvl="0">
      <w:lvlJc w:val="left"/>
      <w:lvlText w:val="(%1)"/>
      <w:numFmt w:val="lowerLetter"/>
      <w:start w:val="9"/>
    </w:lvl>
  </w:abstractNum>
  <w:abstractNum w:abstractNumId="37">
    <w:nsid w:val="1BA026FA"/>
    <w:multiLevelType w:val="hybridMultilevel"/>
    <w:lvl w:ilvl="0">
      <w:lvlJc w:val="left"/>
      <w:lvlText w:val="(%1)"/>
      <w:numFmt w:val="lowerLetter"/>
      <w:start w:val="15"/>
    </w:lvl>
  </w:abstractNum>
  <w:abstractNum w:abstractNumId="38">
    <w:nsid w:val="79A1DEAA"/>
    <w:multiLevelType w:val="hybridMultilevel"/>
    <w:lvl w:ilvl="0">
      <w:lvlJc w:val="left"/>
      <w:lvlText w:val="%1."/>
      <w:numFmt w:val="decimal"/>
      <w:start w:val="5"/>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4"/>
    </w:lvl>
  </w:abstractNum>
  <w:abstractNum w:abstractNumId="41">
    <w:nsid w:val="70C6A529"/>
    <w:multiLevelType w:val="hybridMultilevel"/>
    <w:lvl w:ilvl="0">
      <w:lvlJc w:val="left"/>
      <w:lvlText w:val="(%1)"/>
      <w:numFmt w:val="lowerLetter"/>
      <w:start w:val="9"/>
    </w:lvl>
  </w:abstractNum>
  <w:abstractNum w:abstractNumId="42">
    <w:nsid w:val="520EEDD1"/>
    <w:multiLevelType w:val="hybridMultilevel"/>
    <w:lvl w:ilvl="0">
      <w:lvlJc w:val="left"/>
      <w:lvlText w:val="(%1)"/>
      <w:numFmt w:val="lowerLetter"/>
      <w:start w:val="16"/>
    </w:lvl>
  </w:abstractNum>
  <w:abstractNum w:abstractNumId="43">
    <w:nsid w:val="374A3FE6"/>
    <w:multiLevelType w:val="hybridMultilevel"/>
    <w:lvl w:ilvl="0">
      <w:lvlJc w:val="left"/>
      <w:lvlText w:val="%1."/>
      <w:numFmt w:val="decimal"/>
      <w:start w:val="6"/>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lowerLetter"/>
      <w:start w:val="7"/>
    </w:lvl>
  </w:abstractNum>
  <w:abstractNum w:abstractNumId="46">
    <w:nsid w:val="649BB77C"/>
    <w:multiLevelType w:val="hybridMultilevel"/>
    <w:lvl w:ilvl="0">
      <w:lvlJc w:val="left"/>
      <w:lvlText w:val="%1."/>
      <w:numFmt w:val="decimal"/>
      <w:start w:val="7"/>
    </w:lvl>
  </w:abstractNum>
  <w:abstractNum w:abstractNumId="47">
    <w:nsid w:val="275AC794"/>
    <w:multiLevelType w:val="hybridMultilevel"/>
    <w:lvl w:ilvl="0">
      <w:lvlJc w:val="left"/>
      <w:lvlText w:val="%1."/>
      <w:numFmt w:val="decimal"/>
      <w:start w:val="8"/>
    </w:lvl>
  </w:abstractNum>
  <w:abstractNum w:abstractNumId="48">
    <w:nsid w:val="39386575"/>
    <w:multiLevelType w:val="hybridMultilevel"/>
    <w:lvl w:ilvl="0">
      <w:lvlJc w:val="left"/>
      <w:lvlText w:val="%1."/>
      <w:numFmt w:val="decimal"/>
      <w:start w:val="9"/>
    </w:lvl>
  </w:abstractNum>
  <w:abstractNum w:abstractNumId="49">
    <w:nsid w:val="1CF10FD8"/>
    <w:multiLevelType w:val="hybridMultilevel"/>
    <w:lvl w:ilvl="0">
      <w:lvlJc w:val="left"/>
      <w:lvlText w:val="(%1)"/>
      <w:numFmt w:val="lowerRoman"/>
      <w:start w:val="1"/>
    </w:lvl>
    <w:lvl w:ilvl="1">
      <w:lvlJc w:val="left"/>
      <w:lvlText w:val="(%2)"/>
      <w:numFmt w:val="decimal"/>
      <w:start w:val="2"/>
    </w:lvl>
  </w:abstractNum>
  <w:abstractNum w:abstractNumId="50">
    <w:nsid w:val="180115BE"/>
    <w:multiLevelType w:val="hybridMultilevel"/>
    <w:lvl w:ilvl="0">
      <w:lvlJc w:val="left"/>
      <w:lvlText w:val="(%1)"/>
      <w:numFmt w:val="decimal"/>
      <w:start w:val="3"/>
    </w:lvl>
  </w:abstractNum>
  <w:abstractNum w:abstractNumId="51">
    <w:nsid w:val="235BA861"/>
    <w:multiLevelType w:val="hybridMultilevel"/>
    <w:lvl w:ilvl="0">
      <w:lvlJc w:val="left"/>
      <w:lvlText w:val="(%1)"/>
      <w:numFmt w:val="lowerLetter"/>
      <w:start w:val="2"/>
    </w:lvl>
  </w:abstractNum>
  <w:abstractNum w:abstractNumId="52">
    <w:nsid w:val="47398C89"/>
    <w:multiLevelType w:val="hybridMultilevel"/>
    <w:lvl w:ilvl="0">
      <w:lvlJc w:val="left"/>
      <w:lvlText w:val="(%1)"/>
      <w:numFmt w:val="lowerLetter"/>
      <w:start w:val="3"/>
    </w:lvl>
  </w:abstractNum>
  <w:abstractNum w:abstractNumId="53">
    <w:nsid w:val="354FE9F9"/>
    <w:multiLevelType w:val="hybridMultilevel"/>
    <w:lvl w:ilvl="0">
      <w:lvlJc w:val="left"/>
      <w:lvlText w:val="(%1)"/>
      <w:numFmt w:val="lowerLetter"/>
      <w:start w:val="5"/>
    </w:lvl>
  </w:abstractNum>
  <w:abstractNum w:abstractNumId="54">
    <w:nsid w:val="15B5AF5C"/>
    <w:multiLevelType w:val="hybridMultilevel"/>
    <w:lvl w:ilvl="0">
      <w:lvlJc w:val="left"/>
      <w:lvlText w:val="%1."/>
      <w:numFmt w:val="decimal"/>
      <w:start w:val="10"/>
    </w:lvl>
  </w:abstractNum>
  <w:abstractNum w:abstractNumId="55">
    <w:nsid w:val="741226BB"/>
    <w:multiLevelType w:val="hybridMultilevel"/>
    <w:lvl w:ilvl="0">
      <w:lvlJc w:val="left"/>
      <w:lvlText w:val="%1."/>
      <w:numFmt w:val="decimal"/>
      <w:start w:val="12"/>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3"/>
    </w:lvl>
  </w:abstractNum>
  <w:abstractNum w:abstractNumId="60">
    <w:nsid w:val="7E0C57B1"/>
    <w:multiLevelType w:val="hybridMultilevel"/>
    <w:lvl w:ilvl="0">
      <w:lvlJc w:val="left"/>
      <w:lvlText w:val="%1."/>
      <w:numFmt w:val="decimal"/>
      <w:start w:val="6"/>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2019-12-09T17:26:34Z</dcterms:created>
  <dcterms:modified xsi:type="dcterms:W3CDTF">2019-12-09T17:26:34Z</dcterms:modified>
</cp:coreProperties>
</file>