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360" w:right="24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172720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344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3"/>
              </w:rPr>
              <w:t>Maryland</w:t>
            </w:r>
          </w:p>
        </w:tc>
        <w:tc>
          <w:tcPr>
            <w:tcW w:w="37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20-8250744</w:t>
            </w:r>
          </w:p>
        </w:tc>
        <w:tc>
          <w:tcPr>
            <w:tcW w:w="320" w:type="dxa"/>
            <w:vAlign w:val="bottom"/>
          </w:tcPr>
          <w:p>
            <w:pPr>
              <w:spacing w:after="0"/>
              <w:rPr>
                <w:sz w:val="18"/>
                <w:szCs w:val="18"/>
                <w:color w:val="auto"/>
              </w:rPr>
            </w:pPr>
          </w:p>
        </w:tc>
      </w:tr>
      <w:tr>
        <w:trPr>
          <w:trHeight w:val="149"/>
        </w:trPr>
        <w:tc>
          <w:tcPr>
            <w:tcW w:w="4080" w:type="dxa"/>
            <w:vAlign w:val="bottom"/>
            <w:gridSpan w:val="3"/>
          </w:tcPr>
          <w:p>
            <w:pPr>
              <w:jc w:val="center"/>
              <w:ind w:right="1700"/>
              <w:spacing w:after="0" w:line="149" w:lineRule="exact"/>
              <w:rPr>
                <w:sz w:val="20"/>
                <w:szCs w:val="20"/>
                <w:color w:val="auto"/>
              </w:rPr>
            </w:pPr>
            <w:r>
              <w:rPr>
                <w:rFonts w:ascii="Arial" w:cs="Arial" w:eastAsia="Arial" w:hAnsi="Arial"/>
                <w:sz w:val="14"/>
                <w:szCs w:val="14"/>
                <w:b w:val="1"/>
                <w:bCs w:val="1"/>
                <w:color w:val="auto"/>
                <w:w w:val="86"/>
              </w:rPr>
              <w:t>(State of incorporation</w:t>
            </w:r>
          </w:p>
        </w:tc>
        <w:tc>
          <w:tcPr>
            <w:tcW w:w="2020" w:type="dxa"/>
            <w:vAlign w:val="bottom"/>
          </w:tcPr>
          <w:p>
            <w:pPr>
              <w:spacing w:after="0"/>
              <w:rPr>
                <w:sz w:val="12"/>
                <w:szCs w:val="12"/>
                <w:color w:val="auto"/>
              </w:rPr>
            </w:pPr>
          </w:p>
        </w:tc>
        <w:tc>
          <w:tcPr>
            <w:tcW w:w="2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(I.R.S. Employer or</w:t>
            </w:r>
          </w:p>
        </w:tc>
      </w:tr>
      <w:tr>
        <w:trPr>
          <w:trHeight w:val="174"/>
        </w:trPr>
        <w:tc>
          <w:tcPr>
            <w:tcW w:w="640" w:type="dxa"/>
            <w:vAlign w:val="bottom"/>
          </w:tcPr>
          <w:p>
            <w:pPr>
              <w:spacing w:after="0"/>
              <w:rPr>
                <w:sz w:val="15"/>
                <w:szCs w:val="15"/>
                <w:color w:val="auto"/>
              </w:rPr>
            </w:pPr>
          </w:p>
        </w:tc>
        <w:tc>
          <w:tcPr>
            <w:tcW w:w="344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88"/>
              </w:rPr>
              <w:t>or organization)</w:t>
            </w:r>
          </w:p>
        </w:tc>
        <w:tc>
          <w:tcPr>
            <w:tcW w:w="20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88"/>
              </w:rPr>
              <w:t>590 Madison Avenue, 15</w:t>
            </w:r>
            <w:r>
              <w:rPr>
                <w:rFonts w:ascii="Arial" w:cs="Arial" w:eastAsia="Arial" w:hAnsi="Arial"/>
                <w:sz w:val="11"/>
                <w:szCs w:val="11"/>
                <w:b w:val="1"/>
                <w:bCs w:val="1"/>
                <w:color w:val="auto"/>
                <w:w w:val="88"/>
              </w:rPr>
              <w:t>th</w:t>
            </w:r>
            <w:r>
              <w:rPr>
                <w:rFonts w:ascii="Arial" w:cs="Arial" w:eastAsia="Arial" w:hAnsi="Arial"/>
                <w:sz w:val="18"/>
                <w:szCs w:val="18"/>
                <w:b w:val="1"/>
                <w:bCs w:val="1"/>
                <w:color w:val="auto"/>
                <w:w w:val="88"/>
              </w:rPr>
              <w:t xml:space="preserve"> Floor</w:t>
            </w: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1"/>
        </w:trPr>
        <w:tc>
          <w:tcPr>
            <w:tcW w:w="408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90"/>
              </w:rPr>
              <w:t>New York, New York</w:t>
            </w:r>
          </w:p>
        </w:tc>
        <w:tc>
          <w:tcPr>
            <w:tcW w:w="37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10022</w:t>
            </w:r>
          </w:p>
        </w:tc>
        <w:tc>
          <w:tcPr>
            <w:tcW w:w="320" w:type="dxa"/>
            <w:vAlign w:val="bottom"/>
          </w:tcPr>
          <w:p>
            <w:pPr>
              <w:spacing w:after="0"/>
              <w:rPr>
                <w:sz w:val="20"/>
                <w:szCs w:val="20"/>
                <w:color w:val="auto"/>
              </w:rPr>
            </w:pPr>
          </w:p>
        </w:tc>
      </w:tr>
      <w:tr>
        <w:trPr>
          <w:trHeight w:val="174"/>
        </w:trPr>
        <w:tc>
          <w:tcPr>
            <w:tcW w:w="4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0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640" w:type="dxa"/>
            <w:vAlign w:val="bottom"/>
          </w:tcPr>
          <w:p>
            <w:pPr>
              <w:spacing w:after="0"/>
              <w:rPr>
                <w:sz w:val="24"/>
                <w:szCs w:val="24"/>
                <w:color w:val="auto"/>
              </w:rPr>
            </w:pPr>
          </w:p>
        </w:tc>
        <w:tc>
          <w:tcPr>
            <w:tcW w:w="7480" w:type="dxa"/>
            <w:vAlign w:val="bottom"/>
            <w:gridSpan w:val="5"/>
          </w:tcPr>
          <w:p>
            <w:pPr>
              <w:ind w:left="102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40"/>
        </w:trPr>
        <w:tc>
          <w:tcPr>
            <w:tcW w:w="640" w:type="dxa"/>
            <w:vAlign w:val="bottom"/>
          </w:tcPr>
          <w:p>
            <w:pPr>
              <w:spacing w:after="0"/>
              <w:rPr>
                <w:sz w:val="24"/>
                <w:szCs w:val="24"/>
                <w:color w:val="auto"/>
              </w:rPr>
            </w:pPr>
          </w:p>
        </w:tc>
        <w:tc>
          <w:tcPr>
            <w:tcW w:w="344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84"/>
              </w:rPr>
              <w:t>Title of each class</w:t>
            </w:r>
          </w:p>
        </w:tc>
        <w:tc>
          <w:tcPr>
            <w:tcW w:w="4040" w:type="dxa"/>
            <w:vAlign w:val="bottom"/>
            <w:gridSpan w:val="3"/>
          </w:tcPr>
          <w:p>
            <w:pPr>
              <w:jc w:val="center"/>
              <w:ind w:left="1617"/>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6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to be so registered</w:t>
            </w:r>
          </w:p>
        </w:tc>
        <w:tc>
          <w:tcPr>
            <w:tcW w:w="2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each class is to be registered</w:t>
            </w:r>
          </w:p>
        </w:tc>
        <w:tc>
          <w:tcPr>
            <w:tcW w:w="320" w:type="dxa"/>
            <w:vAlign w:val="bottom"/>
          </w:tcPr>
          <w:p>
            <w:pPr>
              <w:spacing w:after="0"/>
              <w:rPr>
                <w:sz w:val="14"/>
                <w:szCs w:val="14"/>
                <w:color w:val="auto"/>
              </w:rPr>
            </w:pPr>
          </w:p>
        </w:tc>
      </w:tr>
      <w:tr>
        <w:trPr>
          <w:trHeight w:val="222"/>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Senior Notes due 2025</w:t>
            </w:r>
          </w:p>
        </w:tc>
        <w:tc>
          <w:tcPr>
            <w:tcW w:w="2020" w:type="dxa"/>
            <w:vAlign w:val="bottom"/>
          </w:tcPr>
          <w:p>
            <w:pPr>
              <w:ind w:left="1720"/>
              <w:spacing w:after="0"/>
              <w:rPr>
                <w:sz w:val="20"/>
                <w:szCs w:val="20"/>
                <w:color w:val="auto"/>
              </w:rPr>
            </w:pPr>
            <w:r>
              <w:rPr>
                <w:rFonts w:ascii="Arial" w:cs="Arial" w:eastAsia="Arial" w:hAnsi="Arial"/>
                <w:sz w:val="18"/>
                <w:szCs w:val="18"/>
                <w:b w:val="1"/>
                <w:bCs w:val="1"/>
                <w:color w:val="auto"/>
                <w:w w:val="87"/>
              </w:rPr>
              <w:t>The</w:t>
            </w: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180975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upon filing pursuant to General Instruction A.(c),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60" w:firstLine="456"/>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to become effective General Instruction A.(d), please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333-172524</w:t>
      </w:r>
    </w:p>
    <w:p>
      <w:pPr>
        <w:spacing w:after="0" w:line="17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87" w:right="359" w:bottom="1440" w:gutter="0" w:footer="0" w:header="0"/>
        </w:sectPr>
      </w:pPr>
    </w:p>
    <w:bookmarkStart w:id="1" w:name="page2"/>
    <w:bookmarkEnd w:id="1"/>
    <w:p>
      <w:pPr>
        <w:ind w:right="3160" w:firstLine="3186"/>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INFORMATION REQUIRED IN REGISTRATION STATEMENT </w:t>
      </w:r>
      <w:r>
        <w:rPr>
          <w:rFonts w:ascii="Arial" w:cs="Arial" w:eastAsia="Arial" w:hAnsi="Arial"/>
          <w:sz w:val="18"/>
          <w:szCs w:val="18"/>
          <w:u w:val="single" w:color="auto"/>
          <w:color w:val="auto"/>
        </w:rPr>
        <w:t>Item 1. Description of Registrant’s Securities to be Registered.</w:t>
      </w:r>
    </w:p>
    <w:p>
      <w:pPr>
        <w:spacing w:after="0" w:line="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securities to be registered hereby are 6.25% Senior Notes due February 1, 2025 (the “</w:t>
      </w:r>
      <w:r>
        <w:rPr>
          <w:rFonts w:ascii="Arial" w:cs="Arial" w:eastAsia="Arial" w:hAnsi="Arial"/>
          <w:sz w:val="18"/>
          <w:szCs w:val="18"/>
          <w:u w:val="single" w:color="auto"/>
          <w:color w:val="auto"/>
        </w:rPr>
        <w:t>Notes</w:t>
      </w:r>
      <w:r>
        <w:rPr>
          <w:rFonts w:ascii="Arial" w:cs="Arial" w:eastAsia="Arial" w:hAnsi="Arial"/>
          <w:sz w:val="18"/>
          <w:szCs w:val="18"/>
          <w:color w:val="auto"/>
        </w:rPr>
        <w:t>”) of PennantPark Investment Corporation,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For a description of the securities to be registered hereunder, reference is made to the information under the heading “Description of Our Debt Securities” in the Company’s prospectus dated January 6, 2012 (the “</w:t>
      </w:r>
      <w:r>
        <w:rPr>
          <w:rFonts w:ascii="Arial" w:cs="Arial" w:eastAsia="Arial" w:hAnsi="Arial"/>
          <w:sz w:val="16"/>
          <w:szCs w:val="16"/>
          <w:u w:val="single" w:color="auto"/>
          <w:color w:val="auto"/>
        </w:rPr>
        <w:t>Prospectus</w:t>
      </w:r>
      <w:r>
        <w:rPr>
          <w:rFonts w:ascii="Arial" w:cs="Arial" w:eastAsia="Arial" w:hAnsi="Arial"/>
          <w:sz w:val="16"/>
          <w:szCs w:val="16"/>
          <w:color w:val="auto"/>
        </w:rPr>
        <w:t>”) included in the Registration Statement on Form N-2 (File No. 333-172524) (as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information under the heading “Specific Terms of the Notes and the Offering” in the Company’s prospectus supplement dated January 16, 2013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as filed with the Commission on January 18, 2013 pursuant to Rule 497 under the Securities Act. The Prospectus and the Prospectus Supplement are incorporated herein by reference. Any form of prospectus or prospectus supplement to the Registration Statement that includes such descriptions and that are subsequently filed are hereby also incorporated by reference herein.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Exhibits.</w:t>
      </w:r>
    </w:p>
    <w:p>
      <w:pPr>
        <w:spacing w:after="0" w:line="209" w:lineRule="exact"/>
        <w:rPr>
          <w:sz w:val="20"/>
          <w:szCs w:val="20"/>
          <w:color w:val="auto"/>
        </w:rPr>
      </w:pPr>
    </w:p>
    <w:p>
      <w:pPr>
        <w:jc w:val="center"/>
        <w:ind w:right="10960"/>
        <w:spacing w:after="0"/>
        <w:rPr>
          <w:sz w:val="20"/>
          <w:szCs w:val="20"/>
          <w:color w:val="auto"/>
        </w:rPr>
      </w:pPr>
      <w:r>
        <w:rPr>
          <w:rFonts w:ascii="Arial" w:cs="Arial" w:eastAsia="Arial" w:hAnsi="Arial"/>
          <w:sz w:val="14"/>
          <w:szCs w:val="14"/>
          <w:color w:val="auto"/>
        </w:rPr>
        <w:t>Exhibit</w:t>
      </w:r>
    </w:p>
    <w:p>
      <w:pPr>
        <w:jc w:val="center"/>
        <w:ind w:right="1096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Base Indenture, dated as of January 22, 2013, relating to the 6.25% Senior Notes due 2025, between the Registrant and American Stock Transfer</w:t>
      </w:r>
    </w:p>
    <w:p>
      <w:pPr>
        <w:spacing w:after="0" w:line="15" w:lineRule="exact"/>
        <w:rPr>
          <w:sz w:val="20"/>
          <w:szCs w:val="20"/>
          <w:color w:val="auto"/>
        </w:rPr>
      </w:pPr>
    </w:p>
    <w:p>
      <w:pPr>
        <w:ind w:left="1080" w:right="620" w:firstLine="8"/>
        <w:spacing w:after="0" w:line="261" w:lineRule="auto"/>
        <w:tabs>
          <w:tab w:leader="none" w:pos="1261" w:val="left"/>
        </w:tabs>
        <w:numPr>
          <w:ilvl w:val="0"/>
          <w:numId w:val="1"/>
        </w:numPr>
        <w:rPr>
          <w:rFonts w:ascii="Arial" w:cs="Arial" w:eastAsia="Arial" w:hAnsi="Arial"/>
          <w:sz w:val="18"/>
          <w:szCs w:val="18"/>
          <w:color w:val="auto"/>
        </w:rPr>
      </w:pPr>
      <w:r>
        <w:rPr>
          <w:rFonts w:ascii="Arial" w:cs="Arial" w:eastAsia="Arial" w:hAnsi="Arial"/>
          <w:sz w:val="18"/>
          <w:szCs w:val="18"/>
          <w:color w:val="auto"/>
        </w:rPr>
        <w:t>Trust Company, LLC, as trustee (Incorporated by reference to Exhibit (d)(8) to the Registrant’s Post-Effective Amendment No. 4 to the Registration Statement on Form N-2/A (File No. 333-172524), filed on January 22, 2013).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4.2</w:t>
            </w:r>
          </w:p>
        </w:tc>
        <w:tc>
          <w:tcPr>
            <w:tcW w:w="10740" w:type="dxa"/>
            <w:vAlign w:val="bottom"/>
          </w:tcPr>
          <w:p>
            <w:pPr>
              <w:ind w:left="420"/>
              <w:spacing w:after="0"/>
              <w:rPr>
                <w:sz w:val="20"/>
                <w:szCs w:val="20"/>
                <w:color w:val="auto"/>
              </w:rPr>
            </w:pPr>
            <w:r>
              <w:rPr>
                <w:rFonts w:ascii="Arial" w:cs="Arial" w:eastAsia="Arial" w:hAnsi="Arial"/>
                <w:sz w:val="18"/>
                <w:szCs w:val="18"/>
                <w:color w:val="auto"/>
                <w:w w:val="89"/>
              </w:rPr>
              <w:t>First Supplemental Indenture, dated as of January 22, 2013, relating to the 6.25% Senior Notes due 2025, between the Registrant and American</w:t>
            </w:r>
          </w:p>
        </w:tc>
      </w:tr>
      <w:tr>
        <w:trPr>
          <w:trHeight w:val="216"/>
        </w:trPr>
        <w:tc>
          <w:tcPr>
            <w:tcW w:w="660" w:type="dxa"/>
            <w:vAlign w:val="bottom"/>
          </w:tcPr>
          <w:p>
            <w:pPr>
              <w:spacing w:after="0"/>
              <w:rPr>
                <w:sz w:val="18"/>
                <w:szCs w:val="18"/>
                <w:color w:val="auto"/>
              </w:rPr>
            </w:pPr>
          </w:p>
        </w:tc>
        <w:tc>
          <w:tcPr>
            <w:tcW w:w="10740" w:type="dxa"/>
            <w:vAlign w:val="bottom"/>
          </w:tcPr>
          <w:p>
            <w:pPr>
              <w:ind w:left="420"/>
              <w:spacing w:after="0"/>
              <w:rPr>
                <w:sz w:val="20"/>
                <w:szCs w:val="20"/>
                <w:color w:val="auto"/>
              </w:rPr>
            </w:pPr>
            <w:r>
              <w:rPr>
                <w:rFonts w:ascii="Arial" w:cs="Arial" w:eastAsia="Arial" w:hAnsi="Arial"/>
                <w:sz w:val="18"/>
                <w:szCs w:val="18"/>
                <w:color w:val="auto"/>
                <w:w w:val="89"/>
              </w:rPr>
              <w:t>Stock Transfer &amp; Trust Company, LLC, as trustee (Incorporated by reference to Exhibit (d)(9) to the Registrant’s Post-Effective Amendment No. 4</w:t>
            </w:r>
          </w:p>
        </w:tc>
      </w:tr>
      <w:tr>
        <w:trPr>
          <w:trHeight w:val="222"/>
        </w:trPr>
        <w:tc>
          <w:tcPr>
            <w:tcW w:w="660" w:type="dxa"/>
            <w:vAlign w:val="bottom"/>
          </w:tcPr>
          <w:p>
            <w:pPr>
              <w:spacing w:after="0"/>
              <w:rPr>
                <w:sz w:val="19"/>
                <w:szCs w:val="19"/>
                <w:color w:val="auto"/>
              </w:rPr>
            </w:pPr>
          </w:p>
        </w:tc>
        <w:tc>
          <w:tcPr>
            <w:tcW w:w="10740" w:type="dxa"/>
            <w:vAlign w:val="bottom"/>
          </w:tcPr>
          <w:p>
            <w:pPr>
              <w:ind w:left="420"/>
              <w:spacing w:after="0"/>
              <w:rPr>
                <w:sz w:val="20"/>
                <w:szCs w:val="20"/>
                <w:color w:val="auto"/>
              </w:rPr>
            </w:pPr>
            <w:r>
              <w:rPr>
                <w:rFonts w:ascii="Arial" w:cs="Arial" w:eastAsia="Arial" w:hAnsi="Arial"/>
                <w:sz w:val="18"/>
                <w:szCs w:val="18"/>
                <w:color w:val="auto"/>
              </w:rPr>
              <w:t>to the Registration Statement on Form N-2/A (File No. 333-172524), filed on January 22, 2013).</w:t>
            </w:r>
          </w:p>
        </w:tc>
      </w:tr>
      <w:tr>
        <w:trPr>
          <w:trHeight w:val="324"/>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4.3</w:t>
            </w:r>
          </w:p>
        </w:tc>
        <w:tc>
          <w:tcPr>
            <w:tcW w:w="10740" w:type="dxa"/>
            <w:vAlign w:val="bottom"/>
          </w:tcPr>
          <w:p>
            <w:pPr>
              <w:ind w:left="420"/>
              <w:spacing w:after="0"/>
              <w:rPr>
                <w:sz w:val="20"/>
                <w:szCs w:val="20"/>
                <w:color w:val="auto"/>
              </w:rPr>
            </w:pPr>
            <w:r>
              <w:rPr>
                <w:rFonts w:ascii="Arial" w:cs="Arial" w:eastAsia="Arial" w:hAnsi="Arial"/>
                <w:sz w:val="18"/>
                <w:szCs w:val="18"/>
                <w:color w:val="auto"/>
              </w:rPr>
              <w:t>Form of 6.25% Senior Notes due 2025 (included as part of Exhibit 4.2).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7520" w:type="dxa"/>
            <w:vAlign w:val="bottom"/>
            <w:gridSpan w:val="2"/>
          </w:tcPr>
          <w:p>
            <w:pPr>
              <w:ind w:left="2160"/>
              <w:spacing w:after="0"/>
              <w:rPr>
                <w:sz w:val="20"/>
                <w:szCs w:val="20"/>
                <w:color w:val="auto"/>
              </w:rPr>
            </w:pPr>
            <w:r>
              <w:rPr>
                <w:rFonts w:ascii="Arial" w:cs="Arial" w:eastAsia="Arial" w:hAnsi="Arial"/>
                <w:sz w:val="18"/>
                <w:szCs w:val="18"/>
                <w:color w:val="auto"/>
              </w:rPr>
              <w:t>PENNANTPARK INVESTMENT CORPORATION</w:t>
            </w:r>
          </w:p>
        </w:tc>
      </w:tr>
      <w:tr>
        <w:trPr>
          <w:trHeight w:val="222"/>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r>
      <w:tr>
        <w:trPr>
          <w:trHeight w:val="448"/>
        </w:trPr>
        <w:tc>
          <w:tcPr>
            <w:tcW w:w="3900" w:type="dxa"/>
            <w:vAlign w:val="bottom"/>
          </w:tcPr>
          <w:p>
            <w:pPr>
              <w:spacing w:after="0"/>
              <w:rPr>
                <w:sz w:val="20"/>
                <w:szCs w:val="20"/>
                <w:color w:val="auto"/>
              </w:rPr>
            </w:pPr>
            <w:r>
              <w:rPr>
                <w:rFonts w:ascii="Arial" w:cs="Arial" w:eastAsia="Arial" w:hAnsi="Arial"/>
                <w:sz w:val="18"/>
                <w:szCs w:val="18"/>
                <w:color w:val="auto"/>
              </w:rPr>
              <w:t>Dated: January 24, 2013</w:t>
            </w: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15"/>
        </w:trPr>
        <w:tc>
          <w:tcPr>
            <w:tcW w:w="3900" w:type="dxa"/>
            <w:vAlign w:val="bottom"/>
          </w:tcPr>
          <w:p>
            <w:pPr>
              <w:spacing w:after="0"/>
              <w:rPr>
                <w:sz w:val="18"/>
                <w:szCs w:val="18"/>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22"/>
        </w:trPr>
        <w:tc>
          <w:tcPr>
            <w:tcW w:w="3900" w:type="dxa"/>
            <w:vAlign w:val="bottom"/>
          </w:tcPr>
          <w:p>
            <w:pPr>
              <w:spacing w:after="0"/>
              <w:rPr>
                <w:sz w:val="19"/>
                <w:szCs w:val="19"/>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5" w:lineRule="exact"/>
        <w:rPr>
          <w:sz w:val="20"/>
          <w:szCs w:val="20"/>
          <w:color w:val="auto"/>
        </w:rPr>
      </w:pPr>
    </w:p>
    <w:p>
      <w:pPr>
        <w:jc w:val="center"/>
        <w:ind w:right="10960"/>
        <w:spacing w:after="0"/>
        <w:rPr>
          <w:sz w:val="20"/>
          <w:szCs w:val="20"/>
          <w:color w:val="auto"/>
        </w:rPr>
      </w:pPr>
      <w:r>
        <w:rPr>
          <w:rFonts w:ascii="Arial" w:cs="Arial" w:eastAsia="Arial" w:hAnsi="Arial"/>
          <w:sz w:val="14"/>
          <w:szCs w:val="14"/>
          <w:color w:val="auto"/>
        </w:rPr>
        <w:t>Exhibit</w:t>
      </w:r>
    </w:p>
    <w:p>
      <w:pPr>
        <w:jc w:val="center"/>
        <w:ind w:right="1096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Base Indenture, dated as of January 22, 2013, relating to the 6.25% Senior Notes due 2025, between the Registrant and American Stock Transfer</w:t>
      </w:r>
    </w:p>
    <w:p>
      <w:pPr>
        <w:spacing w:after="0" w:line="15" w:lineRule="exact"/>
        <w:rPr>
          <w:sz w:val="20"/>
          <w:szCs w:val="20"/>
          <w:color w:val="auto"/>
        </w:rPr>
      </w:pPr>
    </w:p>
    <w:p>
      <w:pPr>
        <w:ind w:left="1080" w:right="620" w:firstLine="8"/>
        <w:spacing w:after="0" w:line="261" w:lineRule="auto"/>
        <w:tabs>
          <w:tab w:leader="none" w:pos="12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Trust Company, LLC, as trustee (Incorporated by reference to Exhibit (d)(8) to the Registrant’s Post-Effective Amendment No. 4 to the Registration Statement on Form N-2/A (File No. 333-172524), filed on January 22, 2013).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4.2</w:t>
            </w:r>
          </w:p>
        </w:tc>
        <w:tc>
          <w:tcPr>
            <w:tcW w:w="10740" w:type="dxa"/>
            <w:vAlign w:val="bottom"/>
          </w:tcPr>
          <w:p>
            <w:pPr>
              <w:ind w:left="420"/>
              <w:spacing w:after="0"/>
              <w:rPr>
                <w:sz w:val="20"/>
                <w:szCs w:val="20"/>
                <w:color w:val="auto"/>
              </w:rPr>
            </w:pPr>
            <w:r>
              <w:rPr>
                <w:rFonts w:ascii="Arial" w:cs="Arial" w:eastAsia="Arial" w:hAnsi="Arial"/>
                <w:sz w:val="18"/>
                <w:szCs w:val="18"/>
                <w:color w:val="auto"/>
                <w:w w:val="89"/>
              </w:rPr>
              <w:t>First Supplemental Indenture, dated as of January 22, 2013, relating to the 6.25% Senior Notes due 2025, between the Registrant and American</w:t>
            </w:r>
          </w:p>
        </w:tc>
      </w:tr>
      <w:tr>
        <w:trPr>
          <w:trHeight w:val="216"/>
        </w:trPr>
        <w:tc>
          <w:tcPr>
            <w:tcW w:w="660" w:type="dxa"/>
            <w:vAlign w:val="bottom"/>
          </w:tcPr>
          <w:p>
            <w:pPr>
              <w:spacing w:after="0"/>
              <w:rPr>
                <w:sz w:val="18"/>
                <w:szCs w:val="18"/>
                <w:color w:val="auto"/>
              </w:rPr>
            </w:pPr>
          </w:p>
        </w:tc>
        <w:tc>
          <w:tcPr>
            <w:tcW w:w="10740" w:type="dxa"/>
            <w:vAlign w:val="bottom"/>
          </w:tcPr>
          <w:p>
            <w:pPr>
              <w:ind w:left="420"/>
              <w:spacing w:after="0"/>
              <w:rPr>
                <w:sz w:val="20"/>
                <w:szCs w:val="20"/>
                <w:color w:val="auto"/>
              </w:rPr>
            </w:pPr>
            <w:r>
              <w:rPr>
                <w:rFonts w:ascii="Arial" w:cs="Arial" w:eastAsia="Arial" w:hAnsi="Arial"/>
                <w:sz w:val="18"/>
                <w:szCs w:val="18"/>
                <w:color w:val="auto"/>
                <w:w w:val="89"/>
              </w:rPr>
              <w:t>Stock Transfer &amp; Trust Company, LLC, as trustee (Incorporated by reference to Exhibit (d)(9) to the Registrant’s Post-Effective Amendment No. 4</w:t>
            </w:r>
          </w:p>
        </w:tc>
      </w:tr>
      <w:tr>
        <w:trPr>
          <w:trHeight w:val="222"/>
        </w:trPr>
        <w:tc>
          <w:tcPr>
            <w:tcW w:w="660" w:type="dxa"/>
            <w:vAlign w:val="bottom"/>
          </w:tcPr>
          <w:p>
            <w:pPr>
              <w:spacing w:after="0"/>
              <w:rPr>
                <w:sz w:val="19"/>
                <w:szCs w:val="19"/>
                <w:color w:val="auto"/>
              </w:rPr>
            </w:pPr>
          </w:p>
        </w:tc>
        <w:tc>
          <w:tcPr>
            <w:tcW w:w="10740" w:type="dxa"/>
            <w:vAlign w:val="bottom"/>
          </w:tcPr>
          <w:p>
            <w:pPr>
              <w:ind w:left="420"/>
              <w:spacing w:after="0"/>
              <w:rPr>
                <w:sz w:val="20"/>
                <w:szCs w:val="20"/>
                <w:color w:val="auto"/>
              </w:rPr>
            </w:pPr>
            <w:r>
              <w:rPr>
                <w:rFonts w:ascii="Arial" w:cs="Arial" w:eastAsia="Arial" w:hAnsi="Arial"/>
                <w:sz w:val="18"/>
                <w:szCs w:val="18"/>
                <w:color w:val="auto"/>
              </w:rPr>
              <w:t>to the Registration Statement on Form N-2/A (File No. 333-172524), filed on January 22, 2013).</w:t>
            </w:r>
          </w:p>
        </w:tc>
      </w:tr>
      <w:tr>
        <w:trPr>
          <w:trHeight w:val="324"/>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4.3</w:t>
            </w:r>
          </w:p>
        </w:tc>
        <w:tc>
          <w:tcPr>
            <w:tcW w:w="10740" w:type="dxa"/>
            <w:vAlign w:val="bottom"/>
          </w:tcPr>
          <w:p>
            <w:pPr>
              <w:ind w:left="420"/>
              <w:spacing w:after="0"/>
              <w:rPr>
                <w:sz w:val="20"/>
                <w:szCs w:val="20"/>
                <w:color w:val="auto"/>
              </w:rPr>
            </w:pPr>
            <w:r>
              <w:rPr>
                <w:rFonts w:ascii="Arial" w:cs="Arial" w:eastAsia="Arial" w:hAnsi="Arial"/>
                <w:sz w:val="18"/>
                <w:szCs w:val="18"/>
                <w:color w:val="auto"/>
              </w:rPr>
              <w:t>Form of 6.25% Senior Notes due 2025 (included as part of Exhibit 4.2).</w:t>
            </w:r>
          </w:p>
        </w:tc>
      </w:tr>
    </w:tbl>
    <w:p>
      <w:pPr>
        <w:spacing w:after="0" w:line="1" w:lineRule="exact"/>
        <w:rPr>
          <w:sz w:val="20"/>
          <w:szCs w:val="20"/>
          <w:color w:val="auto"/>
        </w:rPr>
      </w:pP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amp;"/>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2019-12-07T15:20:22Z</dcterms:created>
  <dcterms:modified xsi:type="dcterms:W3CDTF">2019-12-07T15:20:22Z</dcterms:modified>
</cp:coreProperties>
</file>