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Corporation</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708062104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business group of UBS AG (see Item 7)</w:t>
      </w:r>
    </w:p>
    <w:p>
      <w:pPr>
        <w:spacing w:after="0" w:line="170"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2,186,522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2,512,324</w:t>
            </w:r>
          </w:p>
        </w:tc>
      </w:tr>
    </w:tbl>
    <w:p>
      <w:pPr>
        <w:spacing w:after="0" w:line="200" w:lineRule="exact"/>
        <w:rPr>
          <w:sz w:val="24"/>
          <w:szCs w:val="24"/>
          <w:color w:val="auto"/>
        </w:rPr>
      </w:pP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 With:</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2,512,324*</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AG disclaims beneficial ownership of such securities pursuant to Rule 13d-4 under the Securities Exchange Act 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business group of UBS.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2,177,222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2,503,024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2,503,024 shares*</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UBS Americas disclaims beneficial ownership of such securities pursuant to Rule 13d-4 under the Securities Exchange Act</w:t>
      </w:r>
    </w:p>
    <w:p>
      <w:pPr>
        <w:jc w:val="both"/>
        <w:ind w:right="4419"/>
        <w:spacing w:after="0" w:line="279" w:lineRule="auto"/>
        <w:rPr>
          <w:sz w:val="20"/>
          <w:szCs w:val="20"/>
          <w:color w:val="auto"/>
        </w:rPr>
      </w:pPr>
      <w:r>
        <w:rPr>
          <w:rFonts w:ascii="Courier New" w:cs="Courier New" w:eastAsia="Courier New" w:hAnsi="Courier New"/>
          <w:sz w:val="16"/>
          <w:szCs w:val="16"/>
          <w:color w:val="auto"/>
        </w:rPr>
        <w:t>of 1934. In accordance with SEC Release No. 34-395-538 (January 12, 1998), this filing reflects the securities beneficially owned by the UBS Global Asset Management</w:t>
      </w:r>
    </w:p>
    <w:p>
      <w:pPr>
        <w:sectPr>
          <w:pgSz w:w="11900" w:h="16838" w:orient="portrait"/>
          <w:cols w:equalWidth="0" w:num="1">
            <w:col w:w="10219"/>
          </w:cols>
          <w:pgMar w:left="240" w:top="136" w:right="1440" w:bottom="0" w:gutter="0" w:footer="0" w:header="0"/>
        </w:sectPr>
      </w:pPr>
    </w:p>
    <w:bookmarkStart w:id="2" w:name="page3"/>
    <w:bookmarkEnd w:id="2"/>
    <w:p>
      <w:pPr>
        <w:ind w:right="4939"/>
        <w:spacing w:after="0" w:line="237" w:lineRule="auto"/>
        <w:rPr>
          <w:sz w:val="20"/>
          <w:szCs w:val="20"/>
          <w:color w:val="auto"/>
        </w:rPr>
      </w:pPr>
      <w:r>
        <w:rPr>
          <w:rFonts w:ascii="Courier New" w:cs="Courier New" w:eastAsia="Courier New" w:hAnsi="Courier New"/>
          <w:sz w:val="18"/>
          <w:szCs w:val="18"/>
          <w:color w:val="auto"/>
        </w:rPr>
        <w:t>business group of UBS AG and its subsidiaries and affiliates on behalf of its clients (collectively, UBS). This filing does not reflect securities, if any, beneficially owned by any other division or business group of UBS.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Asset Management (Americas) Inc.</w:t>
      </w:r>
    </w:p>
    <w:p>
      <w:pPr>
        <w:spacing w:after="0" w:line="238" w:lineRule="auto"/>
        <w:rPr>
          <w:sz w:val="20"/>
          <w:szCs w:val="20"/>
          <w:color w:val="auto"/>
        </w:rPr>
      </w:pPr>
      <w:r>
        <w:rPr>
          <w:rFonts w:ascii="Courier New" w:cs="Courier New" w:eastAsia="Courier New" w:hAnsi="Courier New"/>
          <w:sz w:val="18"/>
          <w:szCs w:val="18"/>
          <w:color w:val="auto"/>
        </w:rPr>
        <w:t>36-3664388</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4" w:lineRule="exact"/>
        <w:rPr>
          <w:rFonts w:ascii="Courier New" w:cs="Courier New" w:eastAsia="Courier New" w:hAnsi="Courier New"/>
          <w:sz w:val="16"/>
          <w:szCs w:val="16"/>
          <w:color w:val="auto"/>
        </w:rPr>
      </w:pPr>
    </w:p>
    <w:p>
      <w:pPr>
        <w:ind w:right="4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 See Item 8 of attached schedule.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 Delaware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2,096,222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2,422,024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 2,422,024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UBS Global Asset Management (Americas) Inc. disclaims beneficial ownership of such securities pursuant to Rule 13d-4 under the Securities Exchange Act</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234" w:lineRule="auto"/>
        <w:rPr>
          <w:sz w:val="20"/>
          <w:szCs w:val="20"/>
          <w:color w:val="auto"/>
        </w:rPr>
      </w:pPr>
      <w:r>
        <w:rPr>
          <w:rFonts w:ascii="Courier New" w:cs="Courier New" w:eastAsia="Courier New" w:hAnsi="Courier New"/>
          <w:sz w:val="18"/>
          <w:szCs w:val="18"/>
          <w:color w:val="auto"/>
        </w:rPr>
        <w:t>or business group of UBS.</w:t>
      </w:r>
    </w:p>
    <w:p>
      <w:pPr>
        <w:spacing w:after="0"/>
        <w:rPr>
          <w:sz w:val="20"/>
          <w:szCs w:val="20"/>
          <w:color w:val="auto"/>
        </w:rPr>
      </w:pPr>
      <w:r>
        <w:rPr>
          <w:rFonts w:ascii="Courier New" w:cs="Courier New" w:eastAsia="Courier New" w:hAnsi="Courier New"/>
          <w:sz w:val="18"/>
          <w:szCs w:val="18"/>
          <w:color w:val="auto"/>
        </w:rPr>
        <w:t>Page 4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445 PARK AVENUE</w:t>
      </w:r>
    </w:p>
    <w:p>
      <w:pPr>
        <w:spacing w:after="0"/>
        <w:rPr>
          <w:sz w:val="20"/>
          <w:szCs w:val="20"/>
          <w:color w:val="auto"/>
        </w:rPr>
      </w:pPr>
      <w:r>
        <w:rPr>
          <w:rFonts w:ascii="Courier New" w:cs="Courier New" w:eastAsia="Courier New" w:hAnsi="Courier New"/>
          <w:sz w:val="18"/>
          <w:szCs w:val="18"/>
          <w:color w:val="auto"/>
        </w:rPr>
        <w:t>10TH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UBS AG, UBS Americas Inc., and UBS Global Asset Management (Americas) Inc.(UBS Global 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Inc.'s principal business office is:</w:t>
      </w:r>
    </w:p>
    <w:p>
      <w:pPr>
        <w:spacing w:after="0" w:line="238" w:lineRule="auto"/>
        <w:rPr>
          <w:sz w:val="20"/>
          <w:szCs w:val="20"/>
          <w:color w:val="auto"/>
        </w:rPr>
      </w:pPr>
      <w:r>
        <w:rPr>
          <w:rFonts w:ascii="Courier New" w:cs="Courier New" w:eastAsia="Courier New" w:hAnsi="Courier New"/>
          <w:sz w:val="18"/>
          <w:szCs w:val="18"/>
          <w:color w:val="auto"/>
        </w:rPr>
        <w:t>677 Washington Blvd.</w:t>
      </w:r>
    </w:p>
    <w:p>
      <w:pPr>
        <w:spacing w:after="0"/>
        <w:tabs>
          <w:tab w:leader="none" w:pos="1460" w:val="left"/>
        </w:tabs>
        <w:rPr>
          <w:sz w:val="20"/>
          <w:szCs w:val="20"/>
          <w:color w:val="auto"/>
        </w:rPr>
      </w:pPr>
      <w:r>
        <w:rPr>
          <w:rFonts w:ascii="Courier New" w:cs="Courier New" w:eastAsia="Courier New" w:hAnsi="Courier New"/>
          <w:sz w:val="18"/>
          <w:szCs w:val="18"/>
          <w:color w:val="auto"/>
        </w:rPr>
        <w:t>Stamford, CT</w:t>
      </w:r>
      <w:r>
        <w:rPr>
          <w:sz w:val="20"/>
          <w:szCs w:val="20"/>
          <w:color w:val="auto"/>
        </w:rPr>
        <w:tab/>
      </w:r>
      <w:r>
        <w:rPr>
          <w:rFonts w:ascii="Courier New" w:cs="Courier New" w:eastAsia="Courier New" w:hAnsi="Courier New"/>
          <w:sz w:val="16"/>
          <w:szCs w:val="16"/>
          <w:color w:val="auto"/>
        </w:rPr>
        <w:t>06901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AM's principal business office is:</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One North Wacker, Chicago, Illinois</w:t>
        <w:tab/>
        <w:t>60606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708062104</w:t>
      </w:r>
    </w:p>
    <w:p>
      <w:pPr>
        <w:spacing w:after="0" w:line="20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UBS AG is classified as a Bank as defined in section 3(a)(6) of the Act pursuant to no action relief granted by the staff of the Securities and Exchange Commission. UBS Americas Inc.</w:t>
      </w:r>
    </w:p>
    <w:p>
      <w:pPr>
        <w:spacing w:after="0" w:line="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is the parent holding company of UBS Global AM. UBS Global AM is an Investment Adviser registered under section 203 of the Investment Advisers Act of 1940.</w:t>
      </w:r>
    </w:p>
    <w:p>
      <w:pPr>
        <w:spacing w:after="0" w:line="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5-11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Accounts managed on a discretionary basis by UBS AG and UBS Global AM have the right to receive or the power to direct the receipt of dividends from, or the proceeds from the sale of, the Common Stock. To the best of our knowledge, no account holds more than 5 percent of the outstanding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In addition to UBS, UBS Americas, Inc., and UBS Global AM, the following UBS affiliates and subsidiaries are part of the UBS Global Asset Management business group included in this filing: UBS Global Asset Management (US) Inc.,</w:t>
      </w:r>
    </w:p>
    <w:p>
      <w:pPr>
        <w:spacing w:after="0" w:line="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UBS Global Asset Management Trust Company, UBS Global Asset Management International Limited, UBS Global Asset Management (Canada) Co., UBS International, Inc., UBS Global Asset Management (Australia) Ltd., UBS Global</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Asset Management (Hong Kong) Limited, UBS (Trust &amp; Banking)</w:t>
      </w:r>
    </w:p>
    <w:p>
      <w:pPr>
        <w:spacing w:after="0" w:line="4" w:lineRule="exact"/>
        <w:rPr>
          <w:sz w:val="20"/>
          <w:szCs w:val="20"/>
          <w:color w:val="auto"/>
        </w:rPr>
      </w:pPr>
    </w:p>
    <w:p>
      <w:pPr>
        <w:ind w:right="4939"/>
        <w:spacing w:after="0" w:line="268" w:lineRule="auto"/>
        <w:rPr>
          <w:sz w:val="20"/>
          <w:szCs w:val="20"/>
          <w:color w:val="auto"/>
        </w:rPr>
      </w:pPr>
      <w:r>
        <w:rPr>
          <w:rFonts w:ascii="Courier New" w:cs="Courier New" w:eastAsia="Courier New" w:hAnsi="Courier New"/>
          <w:sz w:val="16"/>
          <w:szCs w:val="16"/>
          <w:color w:val="auto"/>
        </w:rPr>
        <w:t>Limited, UBS Global Asset Management (Japan) Ltd., UBS Global Asset Management (Singapore) Ltd., UBS Global Asset Management (Taiwan) Ltd., UBS Global</w:t>
      </w:r>
    </w:p>
    <w:p>
      <w:pPr>
        <w:spacing w:after="0" w:line="1"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Asset Management (France) SA, UBS Global Asset Management (Deutschland) GmbH, UBS Global Asset Management (Italia) Sim Spa, UBS Espana S.A., UBS Global Asset Management (UK)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9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AM is a wholly-owned subsidiary of UBS Americas</w:t>
      </w:r>
    </w:p>
    <w:p>
      <w:pPr>
        <w:spacing w:after="0"/>
        <w:tabs>
          <w:tab w:leader="none" w:pos="5460" w:val="left"/>
        </w:tabs>
        <w:rPr>
          <w:sz w:val="20"/>
          <w:szCs w:val="20"/>
          <w:color w:val="auto"/>
        </w:rPr>
      </w:pPr>
      <w:r>
        <w:rPr>
          <w:rFonts w:ascii="Courier New" w:cs="Courier New" w:eastAsia="Courier New" w:hAnsi="Courier New"/>
          <w:sz w:val="18"/>
          <w:szCs w:val="18"/>
          <w:color w:val="auto"/>
        </w:rPr>
        <w:t>Inc. which is a wholly-owned subsidiary of UBS AG.</w:t>
      </w:r>
      <w:r>
        <w:rPr>
          <w:sz w:val="20"/>
          <w:szCs w:val="20"/>
          <w:color w:val="auto"/>
        </w:rPr>
        <w:tab/>
      </w:r>
      <w:r>
        <w:rPr>
          <w:rFonts w:ascii="Courier New" w:cs="Courier New" w:eastAsia="Courier New" w:hAnsi="Courier New"/>
          <w:sz w:val="16"/>
          <w:szCs w:val="16"/>
          <w:color w:val="auto"/>
        </w:rPr>
        <w:t>UBS AG is</w:t>
      </w:r>
    </w:p>
    <w:p>
      <w:pPr>
        <w:spacing w:after="0"/>
        <w:rPr>
          <w:sz w:val="20"/>
          <w:szCs w:val="20"/>
          <w:color w:val="auto"/>
        </w:rPr>
      </w:pPr>
      <w:r>
        <w:rPr>
          <w:rFonts w:ascii="Courier New" w:cs="Courier New" w:eastAsia="Courier New" w:hAnsi="Courier New"/>
          <w:sz w:val="18"/>
          <w:szCs w:val="18"/>
          <w:color w:val="auto"/>
        </w:rPr>
        <w:t>reporting direct and indirect beneficial ownership of</w:t>
      </w:r>
    </w:p>
    <w:p>
      <w:pPr>
        <w:spacing w:after="0" w:line="237" w:lineRule="auto"/>
        <w:rPr>
          <w:sz w:val="20"/>
          <w:szCs w:val="20"/>
          <w:color w:val="auto"/>
        </w:rPr>
      </w:pPr>
      <w:r>
        <w:rPr>
          <w:rFonts w:ascii="Courier New" w:cs="Courier New" w:eastAsia="Courier New" w:hAnsi="Courier New"/>
          <w:sz w:val="18"/>
          <w:szCs w:val="18"/>
          <w:color w:val="auto"/>
        </w:rPr>
        <w:t>holdings. UBS Americas Inc. is reporting indirect beneficial</w:t>
      </w:r>
    </w:p>
    <w:p>
      <w:pPr>
        <w:spacing w:after="0" w:line="238" w:lineRule="auto"/>
        <w:rPr>
          <w:sz w:val="20"/>
          <w:szCs w:val="20"/>
          <w:color w:val="auto"/>
        </w:rPr>
      </w:pPr>
      <w:r>
        <w:rPr>
          <w:rFonts w:ascii="Courier New" w:cs="Courier New" w:eastAsia="Courier New" w:hAnsi="Courier New"/>
          <w:sz w:val="18"/>
          <w:szCs w:val="18"/>
          <w:color w:val="auto"/>
        </w:rPr>
        <w:t>ownership of holdings by reason of its ownership of UBS</w:t>
      </w:r>
    </w:p>
    <w:p>
      <w:pPr>
        <w:spacing w:after="0"/>
        <w:tabs>
          <w:tab w:leader="none" w:pos="1260" w:val="left"/>
        </w:tabs>
        <w:rPr>
          <w:sz w:val="20"/>
          <w:szCs w:val="20"/>
          <w:color w:val="auto"/>
        </w:rPr>
      </w:pPr>
      <w:r>
        <w:rPr>
          <w:rFonts w:ascii="Courier New" w:cs="Courier New" w:eastAsia="Courier New" w:hAnsi="Courier New"/>
          <w:sz w:val="18"/>
          <w:szCs w:val="18"/>
          <w:color w:val="auto"/>
        </w:rPr>
        <w:t>Global AM.</w:t>
      </w:r>
      <w:r>
        <w:rPr>
          <w:sz w:val="20"/>
          <w:szCs w:val="20"/>
          <w:color w:val="auto"/>
        </w:rPr>
        <w:tab/>
      </w:r>
      <w:r>
        <w:rPr>
          <w:rFonts w:ascii="Courier New" w:cs="Courier New" w:eastAsia="Courier New" w:hAnsi="Courier New"/>
          <w:sz w:val="16"/>
          <w:szCs w:val="16"/>
          <w:color w:val="auto"/>
        </w:rPr>
        <w:t>None of the reporting persons affirms the existence</w:t>
      </w:r>
    </w:p>
    <w:p>
      <w:pPr>
        <w:spacing w:after="0" w:line="237" w:lineRule="auto"/>
        <w:rPr>
          <w:sz w:val="20"/>
          <w:szCs w:val="20"/>
          <w:color w:val="auto"/>
        </w:rPr>
      </w:pPr>
      <w:r>
        <w:rPr>
          <w:rFonts w:ascii="Courier New" w:cs="Courier New" w:eastAsia="Courier New" w:hAnsi="Courier New"/>
          <w:sz w:val="18"/>
          <w:szCs w:val="18"/>
          <w:color w:val="auto"/>
        </w:rPr>
        <w:t>of a group within the meaning of Rule 13d-5(b)1).</w:t>
      </w: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5, 2007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rPr>
          <w:sz w:val="20"/>
          <w:szCs w:val="20"/>
          <w:color w:val="auto"/>
        </w:rPr>
      </w:pPr>
      <w:r>
        <w:rPr>
          <w:rFonts w:ascii="Courier New" w:cs="Courier New" w:eastAsia="Courier New" w:hAnsi="Courier New"/>
          <w:sz w:val="18"/>
          <w:szCs w:val="18"/>
          <w:color w:val="auto"/>
        </w:rPr>
        <w:t>Page 7 of 9 pages</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AGREEMENT TO MAKE A JOINT FILING</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UBS AG, UBS Americas Inc., and UBS Global Asset Management (Americas) Inc. each agrees that this Schedule 13G (including all amendments hereto) is filed by and on behalf of each such party.</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5, 2007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541" w:right="1440"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a"/>
      <w:numFmt w:val="bullet"/>
      <w:start w:val="1"/>
    </w:lvl>
  </w:abstractNum>
  <w:abstractNum w:abstractNumId="4">
    <w:nsid w:val="6B68079A"/>
    <w:multiLevelType w:val="hybridMultilevel"/>
    <w:lvl w:ilvl="0">
      <w:lvlJc w:val="left"/>
      <w:lvlText w:val="b"/>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a"/>
      <w:numFmt w:val="bullet"/>
      <w:start w:val="1"/>
    </w:lvl>
  </w:abstractNum>
  <w:abstractNum w:abstractNumId="11">
    <w:nsid w:val="257130A3"/>
    <w:multiLevelType w:val="hybridMultilevel"/>
    <w:lvl w:ilvl="0">
      <w:lvlJc w:val="left"/>
      <w:lvlText w:val="b"/>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2019-12-15T15:59:52Z</dcterms:created>
  <dcterms:modified xsi:type="dcterms:W3CDTF">2019-12-15T15:59:52Z</dcterms:modified>
</cp:coreProperties>
</file>