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March 15, 2022</w:t>
      </w:r>
    </w:p>
    <w:p>
      <w:pPr>
        <w:spacing w:after="0" w:line="4" w:lineRule="exact"/>
        <w:rPr>
          <w:sz w:val="24"/>
          <w:szCs w:val="24"/>
          <w:color w:val="auto"/>
        </w:rPr>
      </w:pPr>
    </w:p>
    <w:p>
      <w:pPr>
        <w:ind w:left="8580"/>
        <w:spacing w:after="0"/>
        <w:rPr>
          <w:sz w:val="20"/>
          <w:szCs w:val="20"/>
          <w:color w:val="auto"/>
        </w:rPr>
      </w:pPr>
      <w:r>
        <w:rPr>
          <w:rFonts w:ascii="Arial" w:cs="Arial" w:eastAsia="Arial" w:hAnsi="Arial"/>
          <w:sz w:val="14"/>
          <w:szCs w:val="14"/>
          <w:b w:val="1"/>
          <w:bCs w:val="1"/>
          <w:color w:val="auto"/>
        </w:rPr>
        <w:t>Securities Act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w:t>
      </w:r>
    </w:p>
    <w:p>
      <w:pPr>
        <w:spacing w:after="0" w:line="8" w:lineRule="exact"/>
        <w:rPr>
          <w:sz w:val="24"/>
          <w:szCs w:val="24"/>
          <w:color w:val="auto"/>
        </w:rPr>
      </w:pPr>
    </w:p>
    <w:tbl>
      <w:tblPr>
        <w:tblLayout w:type="fixed"/>
        <w:tblInd w:w="4600" w:type="dxa"/>
        <w:tblCellMar>
          <w:top w:w="0" w:type="dxa"/>
          <w:left w:w="0" w:type="dxa"/>
          <w:bottom w:w="0" w:type="dxa"/>
          <w:right w:w="0" w:type="dxa"/>
        </w:tblCellMar>
      </w:tblPr>
      <w:tr>
        <w:trPr>
          <w:trHeight w:val="20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the Securities Act Of 1933</w:t>
            </w:r>
          </w:p>
        </w:tc>
        <w:tc>
          <w:tcPr>
            <w:tcW w:w="2400" w:type="dxa"/>
            <w:vAlign w:val="bottom"/>
          </w:tcPr>
          <w:p>
            <w:pPr>
              <w:ind w:left="2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120" w:type="dxa"/>
            <w:vAlign w:val="bottom"/>
          </w:tcPr>
          <w:p>
            <w:pPr>
              <w:spacing w:after="0"/>
              <w:rPr>
                <w:sz w:val="20"/>
                <w:szCs w:val="20"/>
                <w:color w:val="auto"/>
              </w:rPr>
            </w:pPr>
            <w:r>
              <w:rPr>
                <w:rFonts w:ascii="Arial" w:cs="Arial" w:eastAsia="Arial" w:hAnsi="Arial"/>
                <w:sz w:val="16"/>
                <w:szCs w:val="16"/>
                <w:b w:val="1"/>
                <w:bCs w:val="1"/>
                <w:color w:val="auto"/>
              </w:rPr>
              <w:t>Post-Effective Amendment</w:t>
            </w:r>
          </w:p>
        </w:tc>
        <w:tc>
          <w:tcPr>
            <w:tcW w:w="2400" w:type="dxa"/>
            <w:vAlign w:val="bottom"/>
          </w:tcPr>
          <w:p>
            <w:pPr>
              <w:ind w:left="2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Pre-Effective Amendment</w:t>
            </w:r>
          </w:p>
        </w:tc>
        <w:tc>
          <w:tcPr>
            <w:tcW w:w="2400" w:type="dxa"/>
            <w:vAlign w:val="bottom"/>
          </w:tcPr>
          <w:p>
            <w:pPr>
              <w:ind w:left="2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1691 Michigan Avenue</w:t>
      </w:r>
    </w:p>
    <w:p>
      <w:pPr>
        <w:jc w:val="center"/>
        <w:ind w:right="-119"/>
        <w:spacing w:after="0" w:line="226" w:lineRule="auto"/>
        <w:rPr>
          <w:sz w:val="20"/>
          <w:szCs w:val="20"/>
          <w:color w:val="auto"/>
        </w:rPr>
      </w:pPr>
      <w:r>
        <w:rPr>
          <w:rFonts w:ascii="Arial" w:cs="Arial" w:eastAsia="Arial" w:hAnsi="Arial"/>
          <w:sz w:val="14"/>
          <w:szCs w:val="14"/>
          <w:b w:val="1"/>
          <w:bCs w:val="1"/>
          <w:color w:val="auto"/>
        </w:rPr>
        <w:t>Miami Beach, Florida 33139</w:t>
      </w: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(212) 905-1000</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Arthur H. Penn</w:t>
      </w:r>
    </w:p>
    <w:p>
      <w:pPr>
        <w:jc w:val="center"/>
        <w:ind w:right="-119"/>
        <w:spacing w:after="0" w:line="226" w:lineRule="auto"/>
        <w:rPr>
          <w:sz w:val="20"/>
          <w:szCs w:val="20"/>
          <w:color w:val="auto"/>
        </w:rPr>
      </w:pPr>
      <w:r>
        <w:rPr>
          <w:rFonts w:ascii="Arial" w:cs="Arial" w:eastAsia="Arial" w:hAnsi="Arial"/>
          <w:sz w:val="14"/>
          <w:szCs w:val="14"/>
          <w:b w:val="1"/>
          <w:bCs w:val="1"/>
          <w:color w:val="auto"/>
        </w:rPr>
        <w:t>c/o PennantPark Investment Corporation</w:t>
      </w:r>
    </w:p>
    <w:p>
      <w:pPr>
        <w:jc w:val="center"/>
        <w:ind w:right="-119"/>
        <w:spacing w:after="0" w:line="221" w:lineRule="auto"/>
        <w:rPr>
          <w:sz w:val="20"/>
          <w:szCs w:val="20"/>
          <w:color w:val="auto"/>
        </w:rPr>
      </w:pPr>
      <w:r>
        <w:rPr>
          <w:rFonts w:ascii="Arial" w:cs="Arial" w:eastAsia="Arial" w:hAnsi="Arial"/>
          <w:sz w:val="14"/>
          <w:szCs w:val="14"/>
          <w:b w:val="1"/>
          <w:bCs w:val="1"/>
          <w:color w:val="auto"/>
        </w:rPr>
        <w:t>1691 Michigan Avenue</w:t>
      </w:r>
    </w:p>
    <w:p>
      <w:pPr>
        <w:jc w:val="center"/>
        <w:ind w:right="-119"/>
        <w:spacing w:after="0" w:line="222" w:lineRule="auto"/>
        <w:rPr>
          <w:sz w:val="20"/>
          <w:szCs w:val="20"/>
          <w:color w:val="auto"/>
        </w:rPr>
      </w:pPr>
      <w:r>
        <w:rPr>
          <w:rFonts w:ascii="Arial" w:cs="Arial" w:eastAsia="Arial" w:hAnsi="Arial"/>
          <w:sz w:val="14"/>
          <w:szCs w:val="14"/>
          <w:b w:val="1"/>
          <w:bCs w:val="1"/>
          <w:color w:val="auto"/>
        </w:rPr>
        <w:t>Miami Beach, FL 33139</w:t>
      </w:r>
    </w:p>
    <w:p>
      <w:pPr>
        <w:jc w:val="center"/>
        <w:ind w:right="-1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jc w:val="center"/>
        <w:ind w:right="-11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11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11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119"/>
        <w:spacing w:after="0" w:line="221" w:lineRule="auto"/>
        <w:rPr>
          <w:sz w:val="20"/>
          <w:szCs w:val="20"/>
          <w:color w:val="auto"/>
        </w:rPr>
      </w:pPr>
      <w:r>
        <w:rPr>
          <w:rFonts w:ascii="Arial" w:cs="Arial" w:eastAsia="Arial" w:hAnsi="Arial"/>
          <w:sz w:val="14"/>
          <w:szCs w:val="14"/>
          <w:b w:val="1"/>
          <w:bCs w:val="1"/>
          <w:color w:val="auto"/>
        </w:rPr>
        <w:t>One International Place</w:t>
      </w:r>
    </w:p>
    <w:p>
      <w:pPr>
        <w:jc w:val="center"/>
        <w:ind w:right="-119"/>
        <w:spacing w:after="0" w:line="221" w:lineRule="auto"/>
        <w:rPr>
          <w:sz w:val="20"/>
          <w:szCs w:val="20"/>
          <w:color w:val="auto"/>
        </w:rPr>
      </w:pPr>
      <w:r>
        <w:rPr>
          <w:rFonts w:ascii="Arial" w:cs="Arial" w:eastAsia="Arial" w:hAnsi="Arial"/>
          <w:sz w:val="14"/>
          <w:szCs w:val="14"/>
          <w:b w:val="1"/>
          <w:bCs w:val="1"/>
          <w:color w:val="auto"/>
        </w:rPr>
        <w:t>40</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19"/>
        <w:spacing w:after="0" w:line="222" w:lineRule="auto"/>
        <w:rPr>
          <w:sz w:val="20"/>
          <w:szCs w:val="20"/>
          <w:color w:val="auto"/>
        </w:rPr>
      </w:pPr>
      <w:r>
        <w:rPr>
          <w:rFonts w:ascii="Arial" w:cs="Arial" w:eastAsia="Arial" w:hAnsi="Arial"/>
          <w:sz w:val="14"/>
          <w:szCs w:val="14"/>
          <w:b w:val="1"/>
          <w:bCs w:val="1"/>
          <w:color w:val="auto"/>
        </w:rPr>
        <w:t>100 Oliver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Boston, MA 02110</w:t>
      </w:r>
    </w:p>
    <w:p>
      <w:pPr>
        <w:jc w:val="center"/>
        <w:ind w:right="-11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9" w:lineRule="exact"/>
        <w:rPr>
          <w:sz w:val="24"/>
          <w:szCs w:val="24"/>
          <w:color w:val="auto"/>
        </w:rPr>
      </w:pPr>
    </w:p>
    <w:p>
      <w:pPr>
        <w:ind w:left="280" w:hanging="164"/>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Check box if the only securities being registered on this Form are being offered pursuant to dividend or interest reinvestment plans.</w:t>
      </w:r>
    </w:p>
    <w:p>
      <w:pPr>
        <w:spacing w:after="0" w:line="82" w:lineRule="exact"/>
        <w:rPr>
          <w:sz w:val="24"/>
          <w:szCs w:val="24"/>
          <w:color w:val="auto"/>
        </w:rPr>
      </w:pPr>
    </w:p>
    <w:p>
      <w:pPr>
        <w:ind w:left="120" w:right="40" w:hanging="4"/>
        <w:spacing w:after="0" w:line="273" w:lineRule="auto"/>
        <w:tabs>
          <w:tab w:leader="none" w:pos="291"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39" w:lineRule="exact"/>
        <w:rPr>
          <w:sz w:val="24"/>
          <w:szCs w:val="24"/>
          <w:color w:val="auto"/>
        </w:rPr>
      </w:pPr>
    </w:p>
    <w:p>
      <w:pPr>
        <w:ind w:left="280" w:hanging="164"/>
        <w:spacing w:after="0"/>
        <w:tabs>
          <w:tab w:leader="none" w:pos="2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this Form is a registration statement pursuant to General Instruction A.2 or a post-effective amendment thereto.</w:t>
      </w:r>
    </w:p>
    <w:p>
      <w:pPr>
        <w:spacing w:after="0" w:line="82" w:lineRule="exact"/>
        <w:rPr>
          <w:rFonts w:ascii="MS PGothic" w:cs="MS PGothic" w:eastAsia="MS PGothic" w:hAnsi="MS PGothic"/>
          <w:sz w:val="14"/>
          <w:szCs w:val="14"/>
          <w:color w:val="auto"/>
        </w:rPr>
      </w:pPr>
    </w:p>
    <w:p>
      <w:pPr>
        <w:ind w:left="120" w:right="340" w:hanging="4"/>
        <w:spacing w:after="0" w:line="271" w:lineRule="auto"/>
        <w:tabs>
          <w:tab w:leader="none" w:pos="29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27" w:lineRule="exact"/>
        <w:rPr>
          <w:rFonts w:ascii="MS PGothic" w:cs="MS PGothic" w:eastAsia="MS PGothic" w:hAnsi="MS PGothic"/>
          <w:sz w:val="14"/>
          <w:szCs w:val="14"/>
          <w:color w:val="auto"/>
        </w:rPr>
      </w:pPr>
    </w:p>
    <w:p>
      <w:pPr>
        <w:ind w:left="120" w:right="200" w:hanging="4"/>
        <w:spacing w:after="0" w:line="273" w:lineRule="auto"/>
        <w:tabs>
          <w:tab w:leader="none" w:pos="29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It is proposed that this filing will become effective (check appropriate box):</w:t>
      </w:r>
    </w:p>
    <w:p>
      <w:pPr>
        <w:spacing w:after="0" w:line="73" w:lineRule="exact"/>
        <w:rPr>
          <w:sz w:val="24"/>
          <w:szCs w:val="24"/>
          <w:color w:val="auto"/>
        </w:rPr>
      </w:pPr>
    </w:p>
    <w:p>
      <w:pPr>
        <w:ind w:left="280" w:hanging="164"/>
        <w:spacing w:after="0"/>
        <w:tabs>
          <w:tab w:leader="none" w:pos="2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 of the Securities Act.</w:t>
      </w:r>
    </w:p>
    <w:p>
      <w:pPr>
        <w:spacing w:after="0" w:line="64" w:lineRule="exact"/>
        <w:rPr>
          <w:rFonts w:ascii="MS PGothic" w:cs="MS PGothic" w:eastAsia="MS PGothic" w:hAnsi="MS PGothic"/>
          <w:sz w:val="14"/>
          <w:szCs w:val="14"/>
          <w:color w:val="auto"/>
        </w:rPr>
      </w:pPr>
    </w:p>
    <w:p>
      <w:pPr>
        <w:ind w:left="1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If appropriate, check the following box:</w:t>
      </w:r>
    </w:p>
    <w:p>
      <w:pPr>
        <w:spacing w:after="0" w:line="86" w:lineRule="exact"/>
        <w:rPr>
          <w:rFonts w:ascii="MS PGothic" w:cs="MS PGothic" w:eastAsia="MS PGothic" w:hAnsi="MS PGothic"/>
          <w:sz w:val="14"/>
          <w:szCs w:val="14"/>
          <w:color w:val="auto"/>
        </w:rPr>
      </w:pPr>
    </w:p>
    <w:p>
      <w:pPr>
        <w:ind w:left="280" w:hanging="164"/>
        <w:spacing w:after="0"/>
        <w:tabs>
          <w:tab w:leader="none" w:pos="2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This post-effective amendment designates a new effective date for a previously filed post-effective amendment registration statement.</w:t>
      </w:r>
    </w:p>
    <w:p>
      <w:pPr>
        <w:spacing w:after="0" w:line="82" w:lineRule="exact"/>
        <w:rPr>
          <w:rFonts w:ascii="MS PGothic" w:cs="MS PGothic" w:eastAsia="MS PGothic" w:hAnsi="MS PGothic"/>
          <w:sz w:val="14"/>
          <w:szCs w:val="14"/>
          <w:color w:val="auto"/>
        </w:rPr>
      </w:pPr>
    </w:p>
    <w:p>
      <w:pPr>
        <w:ind w:left="280" w:hanging="164"/>
        <w:spacing w:after="0"/>
        <w:tabs>
          <w:tab w:leader="none" w:pos="2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This Form is filed to register additional securities for an offering pursuant to Rule 462(b) under the Securities Act, and the Securities Act registration statement number of the earlier</w:t>
      </w:r>
    </w:p>
    <w:p>
      <w:pPr>
        <w:spacing w:after="0" w:line="25" w:lineRule="exact"/>
        <w:rPr>
          <w:sz w:val="24"/>
          <w:szCs w:val="24"/>
          <w:color w:val="auto"/>
        </w:rPr>
      </w:pPr>
    </w:p>
    <w:p>
      <w:pPr>
        <w:ind w:left="120"/>
        <w:spacing w:after="0"/>
        <w:tabs>
          <w:tab w:leader="none" w:pos="3860" w:val="left"/>
        </w:tabs>
        <w:rPr>
          <w:sz w:val="20"/>
          <w:szCs w:val="20"/>
          <w:color w:val="auto"/>
        </w:rPr>
      </w:pPr>
      <w:r>
        <w:rPr>
          <w:rFonts w:ascii="Arial" w:cs="Arial" w:eastAsia="Arial" w:hAnsi="Arial"/>
          <w:sz w:val="14"/>
          <w:szCs w:val="14"/>
          <w:color w:val="auto"/>
        </w:rPr>
        <w:t>effective registration statement for the same offering is:</w:t>
      </w:r>
      <w:r>
        <w:rPr>
          <w:sz w:val="20"/>
          <w:szCs w:val="20"/>
          <w:color w:val="auto"/>
        </w:rPr>
        <w:tab/>
      </w:r>
      <w:r>
        <w:rPr>
          <w:rFonts w:ascii="Arial" w:cs="Arial" w:eastAsia="Arial" w:hAnsi="Arial"/>
          <w:sz w:val="14"/>
          <w:szCs w:val="14"/>
          <w:color w:val="auto"/>
        </w:rPr>
        <w:t>.</w:t>
      </w:r>
    </w:p>
    <w:p>
      <w:pPr>
        <w:spacing w:after="0" w:line="57" w:lineRule="exact"/>
        <w:rPr>
          <w:sz w:val="24"/>
          <w:szCs w:val="24"/>
          <w:color w:val="auto"/>
        </w:rPr>
      </w:pPr>
    </w:p>
    <w:p>
      <w:pPr>
        <w:ind w:left="280" w:hanging="164"/>
        <w:spacing w:after="0"/>
        <w:tabs>
          <w:tab w:leader="none" w:pos="2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This Form is a post-effective amendment filed pursuant to Rule 462(c) under the Securities Act, and the Securities Act registration statement number of the earlier effective registration</w:t>
      </w:r>
    </w:p>
    <w:p>
      <w:pPr>
        <w:spacing w:after="0" w:line="25" w:lineRule="exact"/>
        <w:rPr>
          <w:sz w:val="24"/>
          <w:szCs w:val="24"/>
          <w:color w:val="auto"/>
        </w:rPr>
      </w:pPr>
    </w:p>
    <w:p>
      <w:pPr>
        <w:ind w:left="120"/>
        <w:spacing w:after="0"/>
        <w:tabs>
          <w:tab w:leader="none" w:pos="2640" w:val="left"/>
        </w:tabs>
        <w:rPr>
          <w:sz w:val="20"/>
          <w:szCs w:val="20"/>
          <w:color w:val="auto"/>
        </w:rPr>
      </w:pPr>
      <w:r>
        <w:rPr>
          <w:rFonts w:ascii="Arial" w:cs="Arial" w:eastAsia="Arial" w:hAnsi="Arial"/>
          <w:sz w:val="14"/>
          <w:szCs w:val="14"/>
          <w:color w:val="auto"/>
        </w:rPr>
        <w:t>statement for the same offering is:</w:t>
      </w:r>
      <w:r>
        <w:rPr>
          <w:sz w:val="20"/>
          <w:szCs w:val="20"/>
          <w:color w:val="auto"/>
        </w:rPr>
        <w:tab/>
      </w:r>
      <w:r>
        <w:rPr>
          <w:rFonts w:ascii="Arial" w:cs="Arial" w:eastAsia="Arial" w:hAnsi="Arial"/>
          <w:sz w:val="14"/>
          <w:szCs w:val="14"/>
          <w:color w:val="auto"/>
        </w:rPr>
        <w:t>.</w:t>
      </w:r>
    </w:p>
    <w:p>
      <w:pPr>
        <w:spacing w:after="0" w:line="70" w:lineRule="exact"/>
        <w:rPr>
          <w:sz w:val="24"/>
          <w:szCs w:val="24"/>
          <w:color w:val="auto"/>
        </w:rPr>
      </w:pPr>
    </w:p>
    <w:p>
      <w:pPr>
        <w:ind w:left="280" w:hanging="164"/>
        <w:spacing w:after="0"/>
        <w:tabs>
          <w:tab w:leader="none" w:pos="280" w:val="left"/>
        </w:tabs>
        <w:numPr>
          <w:ilvl w:val="0"/>
          <w:numId w:val="6"/>
        </w:numPr>
        <w:rPr>
          <w:rFonts w:ascii="MS PGothic" w:cs="MS PGothic" w:eastAsia="MS PGothic" w:hAnsi="MS PGothic"/>
          <w:sz w:val="13"/>
          <w:szCs w:val="13"/>
          <w:color w:val="auto"/>
        </w:rPr>
      </w:pPr>
      <w:r>
        <w:rPr>
          <w:rFonts w:ascii="Arial" w:cs="Arial" w:eastAsia="Arial" w:hAnsi="Arial"/>
          <w:sz w:val="13"/>
          <w:szCs w:val="13"/>
          <w:color w:val="auto"/>
        </w:rPr>
        <w:t>This Form is a post-effective amendment filed pursuant to Rule 462(d) under the Securities Act, and the Securities Act registration statement number of the earlier effective registration</w:t>
      </w:r>
    </w:p>
    <w:p>
      <w:pPr>
        <w:spacing w:after="0" w:line="25" w:lineRule="exact"/>
        <w:rPr>
          <w:sz w:val="24"/>
          <w:szCs w:val="24"/>
          <w:color w:val="auto"/>
        </w:rPr>
      </w:pPr>
    </w:p>
    <w:p>
      <w:pPr>
        <w:ind w:left="120"/>
        <w:spacing w:after="0"/>
        <w:tabs>
          <w:tab w:leader="none" w:pos="2640" w:val="left"/>
        </w:tabs>
        <w:rPr>
          <w:sz w:val="20"/>
          <w:szCs w:val="20"/>
          <w:color w:val="auto"/>
        </w:rPr>
      </w:pPr>
      <w:r>
        <w:rPr>
          <w:rFonts w:ascii="Arial" w:cs="Arial" w:eastAsia="Arial" w:hAnsi="Arial"/>
          <w:sz w:val="14"/>
          <w:szCs w:val="14"/>
          <w:color w:val="auto"/>
        </w:rPr>
        <w:t>statement for the same offering is:</w:t>
      </w:r>
      <w:r>
        <w:rPr>
          <w:sz w:val="20"/>
          <w:szCs w:val="20"/>
          <w:color w:val="auto"/>
        </w:rPr>
        <w:tab/>
      </w:r>
      <w:r>
        <w:rPr>
          <w:rFonts w:ascii="Arial" w:cs="Arial" w:eastAsia="Arial" w:hAnsi="Arial"/>
          <w:sz w:val="14"/>
          <w:szCs w:val="14"/>
          <w:color w:val="auto"/>
        </w:rPr>
        <w:t>.</w:t>
      </w:r>
    </w:p>
    <w:p>
      <w:pPr>
        <w:spacing w:after="0" w:line="3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Check each box that appropriately characterizes the Registrant:</w:t>
      </w:r>
    </w:p>
    <w:p>
      <w:pPr>
        <w:spacing w:after="0" w:line="73" w:lineRule="exact"/>
        <w:rPr>
          <w:sz w:val="24"/>
          <w:szCs w:val="24"/>
          <w:color w:val="auto"/>
        </w:rPr>
      </w:pPr>
    </w:p>
    <w:p>
      <w:pPr>
        <w:ind w:left="280" w:hanging="164"/>
        <w:spacing w:after="0"/>
        <w:tabs>
          <w:tab w:leader="none" w:pos="280"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Registered Closed-End Fund (closed-end company that is registered under the Investment Company Act of 1940 (“Investment Company Act”)).</w:t>
      </w:r>
    </w:p>
    <w:p>
      <w:pPr>
        <w:spacing w:after="0" w:line="96" w:lineRule="exact"/>
        <w:rPr>
          <w:sz w:val="24"/>
          <w:szCs w:val="24"/>
          <w:color w:val="auto"/>
        </w:rPr>
      </w:pPr>
    </w:p>
    <w:p>
      <w:pPr>
        <w:ind w:left="280" w:hanging="164"/>
        <w:spacing w:after="0"/>
        <w:tabs>
          <w:tab w:leader="none" w:pos="280" w:val="left"/>
        </w:tabs>
        <w:numPr>
          <w:ilvl w:val="0"/>
          <w:numId w:val="8"/>
        </w:numPr>
        <w:rPr>
          <w:rFonts w:ascii="MS PGothic" w:cs="MS PGothic" w:eastAsia="MS PGothic" w:hAnsi="MS PGothic"/>
          <w:sz w:val="14"/>
          <w:szCs w:val="14"/>
          <w:color w:val="auto"/>
        </w:rPr>
      </w:pPr>
      <w:r>
        <w:rPr>
          <w:rFonts w:ascii="Arial" w:cs="Arial" w:eastAsia="Arial" w:hAnsi="Arial"/>
          <w:sz w:val="14"/>
          <w:szCs w:val="14"/>
          <w:color w:val="auto"/>
        </w:rPr>
        <w:t>Business Development Company (closed-end company that intends or has elected to be regulated as a business development company under the Investment Company Act).</w:t>
      </w:r>
    </w:p>
    <w:p>
      <w:pPr>
        <w:spacing w:after="0" w:line="54" w:lineRule="exact"/>
        <w:rPr>
          <w:rFonts w:ascii="MS PGothic" w:cs="MS PGothic" w:eastAsia="MS PGothic" w:hAnsi="MS PGothic"/>
          <w:sz w:val="14"/>
          <w:szCs w:val="14"/>
          <w:color w:val="auto"/>
        </w:rPr>
      </w:pPr>
    </w:p>
    <w:p>
      <w:pPr>
        <w:ind w:left="120"/>
        <w:spacing w:after="0" w:line="150" w:lineRule="exact"/>
        <w:rPr>
          <w:rFonts w:ascii="MS PGothic" w:cs="MS PGothic" w:eastAsia="MS PGothic" w:hAnsi="MS PGothic"/>
          <w:sz w:val="14"/>
          <w:szCs w:val="14"/>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Interval Fund (Registered Closed-End Fund or a Business Development Company that makes periodic repurchase offers under Rule 23c-3 under the Investment Company Act).</w:t>
      </w:r>
    </w:p>
    <w:p>
      <w:pPr>
        <w:spacing w:after="0" w:line="120" w:lineRule="exact"/>
        <w:rPr>
          <w:rFonts w:ascii="MS PGothic" w:cs="MS PGothic" w:eastAsia="MS PGothic" w:hAnsi="MS PGothic"/>
          <w:sz w:val="14"/>
          <w:szCs w:val="14"/>
          <w:color w:val="auto"/>
        </w:rPr>
      </w:pPr>
    </w:p>
    <w:p>
      <w:pPr>
        <w:ind w:left="280" w:hanging="164"/>
        <w:spacing w:after="0"/>
        <w:tabs>
          <w:tab w:leader="none" w:pos="280" w:val="left"/>
        </w:tabs>
        <w:numPr>
          <w:ilvl w:val="0"/>
          <w:numId w:val="8"/>
        </w:numPr>
        <w:rPr>
          <w:rFonts w:ascii="MS PGothic" w:cs="MS PGothic" w:eastAsia="MS PGothic" w:hAnsi="MS PGothic"/>
          <w:sz w:val="14"/>
          <w:szCs w:val="14"/>
          <w:color w:val="auto"/>
        </w:rPr>
      </w:pPr>
      <w:r>
        <w:rPr>
          <w:rFonts w:ascii="Arial" w:cs="Arial" w:eastAsia="Arial" w:hAnsi="Arial"/>
          <w:sz w:val="14"/>
          <w:szCs w:val="14"/>
          <w:color w:val="auto"/>
        </w:rPr>
        <w:t>A.2 Qualified (qualified to register securities pursuant to General Instruction A.2 of this Form).</w:t>
      </w:r>
    </w:p>
    <w:p>
      <w:pPr>
        <w:spacing w:after="0" w:line="96" w:lineRule="exact"/>
        <w:rPr>
          <w:sz w:val="24"/>
          <w:szCs w:val="2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Well-Known Seasoned Issuer (as defined by Rule 405 under the Securities Act).</w:t>
      </w:r>
    </w:p>
    <w:p>
      <w:pPr>
        <w:spacing w:after="0" w:line="82" w:lineRule="exact"/>
        <w:rPr>
          <w:rFonts w:ascii="MS PGothic" w:cs="MS PGothic" w:eastAsia="MS PGothic" w:hAnsi="MS PGothic"/>
          <w:sz w:val="14"/>
          <w:szCs w:val="1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Emerging Growth Company (as defined by Rule 12b-2 under the Securities Exchange Act of 1934 (“Exchange Act”).</w:t>
      </w:r>
    </w:p>
    <w:p>
      <w:pPr>
        <w:spacing w:after="0" w:line="82" w:lineRule="exact"/>
        <w:rPr>
          <w:rFonts w:ascii="MS PGothic" w:cs="MS PGothic" w:eastAsia="MS PGothic" w:hAnsi="MS PGothic"/>
          <w:sz w:val="14"/>
          <w:szCs w:val="14"/>
          <w:color w:val="auto"/>
        </w:rPr>
      </w:pPr>
    </w:p>
    <w:p>
      <w:pPr>
        <w:ind w:left="120" w:right="40" w:hanging="4"/>
        <w:spacing w:after="0" w:line="273" w:lineRule="auto"/>
        <w:tabs>
          <w:tab w:leader="none" w:pos="291"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38" w:lineRule="exact"/>
        <w:rPr>
          <w:rFonts w:ascii="MS PGothic" w:cs="MS PGothic" w:eastAsia="MS PGothic" w:hAnsi="MS PGothic"/>
          <w:sz w:val="14"/>
          <w:szCs w:val="1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New Registrant (registered or regulated under the Investment Company Act for less than 12 calendar months preceding this filing).</w:t>
      </w:r>
    </w:p>
    <w:p>
      <w:pPr>
        <w:spacing w:after="0" w:line="65" w:lineRule="exact"/>
        <w:rPr>
          <w:sz w:val="24"/>
          <w:szCs w:val="24"/>
          <w:color w:val="auto"/>
        </w:rPr>
      </w:pPr>
    </w:p>
    <w:p>
      <w:pPr>
        <w:ind w:left="120" w:right="12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47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CC062A"/>
        </w:rPr>
        <w:t>Subject to Completion</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PRELIMINARY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105410</wp:posOffset>
            </wp:positionV>
            <wp:extent cx="176593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Common Stock</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Preferred Stock</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Warrants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Subscription Rights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Debt Securities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Units</w:t>
      </w:r>
    </w:p>
    <w:p>
      <w:pPr>
        <w:spacing w:after="0" w:line="119" w:lineRule="exact"/>
        <w:rPr>
          <w:sz w:val="20"/>
          <w:szCs w:val="20"/>
          <w:color w:val="auto"/>
        </w:rPr>
      </w:pPr>
    </w:p>
    <w:p>
      <w:pPr>
        <w:ind w:left="120" w:right="580" w:firstLine="551"/>
        <w:spacing w:after="0" w:line="274" w:lineRule="auto"/>
        <w:rPr>
          <w:sz w:val="20"/>
          <w:szCs w:val="20"/>
          <w:color w:val="auto"/>
        </w:rPr>
      </w:pPr>
      <w:r>
        <w:rPr>
          <w:rFonts w:ascii="Arial" w:cs="Arial" w:eastAsia="Arial" w:hAnsi="Arial"/>
          <w:sz w:val="17"/>
          <w:szCs w:val="17"/>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67" w:lineRule="exact"/>
        <w:rPr>
          <w:sz w:val="20"/>
          <w:szCs w:val="20"/>
          <w:color w:val="auto"/>
        </w:rPr>
      </w:pPr>
    </w:p>
    <w:p>
      <w:pPr>
        <w:ind w:left="120" w:right="440" w:firstLine="551"/>
        <w:spacing w:after="0" w:line="261" w:lineRule="auto"/>
        <w:rPr>
          <w:sz w:val="20"/>
          <w:szCs w:val="20"/>
          <w:color w:val="auto"/>
        </w:rPr>
      </w:pPr>
      <w:r>
        <w:rPr>
          <w:rFonts w:ascii="Arial" w:cs="Arial" w:eastAsia="Arial" w:hAnsi="Arial"/>
          <w:sz w:val="17"/>
          <w:szCs w:val="17"/>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78" w:lineRule="exact"/>
        <w:rPr>
          <w:sz w:val="20"/>
          <w:szCs w:val="20"/>
          <w:color w:val="auto"/>
        </w:rPr>
      </w:pPr>
    </w:p>
    <w:p>
      <w:pPr>
        <w:ind w:left="120" w:right="640" w:firstLine="551"/>
        <w:spacing w:after="0" w:line="274" w:lineRule="auto"/>
        <w:rPr>
          <w:sz w:val="20"/>
          <w:szCs w:val="20"/>
          <w:color w:val="auto"/>
        </w:rPr>
      </w:pPr>
      <w:r>
        <w:rPr>
          <w:rFonts w:ascii="Arial" w:cs="Arial" w:eastAsia="Arial" w:hAnsi="Arial"/>
          <w:sz w:val="17"/>
          <w:szCs w:val="17"/>
          <w:color w:val="auto"/>
        </w:rPr>
        <w:t>We are managed by PennantPark Investment Advisers, LLC. PennantPark Investment Administration, LLC provides the administrative services necessary for us to operate.</w:t>
      </w:r>
    </w:p>
    <w:p>
      <w:pPr>
        <w:spacing w:after="0" w:line="67" w:lineRule="exact"/>
        <w:rPr>
          <w:sz w:val="20"/>
          <w:szCs w:val="20"/>
          <w:color w:val="auto"/>
        </w:rPr>
      </w:pPr>
    </w:p>
    <w:p>
      <w:pPr>
        <w:ind w:left="120" w:right="60" w:firstLine="551"/>
        <w:spacing w:after="0" w:line="28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1">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17">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63" w:lineRule="exact"/>
        <w:rPr>
          <w:sz w:val="20"/>
          <w:szCs w:val="20"/>
          <w:color w:val="auto"/>
        </w:rPr>
      </w:pPr>
    </w:p>
    <w:p>
      <w:pPr>
        <w:ind w:left="120" w:right="160" w:firstLine="551"/>
        <w:spacing w:after="0" w:line="274" w:lineRule="auto"/>
        <w:rPr>
          <w:sz w:val="20"/>
          <w:szCs w:val="20"/>
          <w:color w:val="auto"/>
        </w:rPr>
      </w:pPr>
      <w:r>
        <w:rPr>
          <w:rFonts w:ascii="Arial" w:cs="Arial" w:eastAsia="Arial" w:hAnsi="Arial"/>
          <w:sz w:val="17"/>
          <w:szCs w:val="17"/>
          <w:color w:val="auto"/>
        </w:rPr>
        <w:t>Our common stock is traded on The Nasdaq Global Select Market under the symbol “PNNT.” The last reported closing price for our common stock on March 14, 2022 was $7.67 per share, and our net asset value on December 31, 2021 was $10.11 per share.</w:t>
      </w:r>
    </w:p>
    <w:p>
      <w:pPr>
        <w:spacing w:after="0" w:line="67" w:lineRule="exact"/>
        <w:rPr>
          <w:sz w:val="20"/>
          <w:szCs w:val="20"/>
          <w:color w:val="auto"/>
        </w:rPr>
      </w:pPr>
    </w:p>
    <w:p>
      <w:pPr>
        <w:ind w:left="120" w:right="80" w:firstLine="551"/>
        <w:spacing w:after="0" w:line="270"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300" w:firstLine="44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This prospectus may not be used to consummate sales of securities unless accompanied by a prospectus supplement.</w:t>
      </w:r>
    </w:p>
    <w:p>
      <w:pPr>
        <w:spacing w:after="0" w:line="115" w:lineRule="exact"/>
        <w:rPr>
          <w:sz w:val="20"/>
          <w:szCs w:val="20"/>
          <w:color w:val="auto"/>
        </w:rPr>
      </w:pPr>
    </w:p>
    <w:tbl>
      <w:tblPr>
        <w:tblLayout w:type="fixed"/>
        <w:tblInd w:w="4440" w:type="dxa"/>
        <w:tblCellMar>
          <w:top w:w="0" w:type="dxa"/>
          <w:left w:w="0" w:type="dxa"/>
          <w:bottom w:w="0" w:type="dxa"/>
          <w:right w:w="0" w:type="dxa"/>
        </w:tblCellMar>
      </w:tblPr>
      <w:tr>
        <w:trPr>
          <w:trHeight w:val="220"/>
        </w:trPr>
        <w:tc>
          <w:tcPr>
            <w:tcW w:w="1600" w:type="dxa"/>
            <w:vAlign w:val="bottom"/>
          </w:tcPr>
          <w:p>
            <w:pPr>
              <w:spacing w:after="0"/>
              <w:rPr>
                <w:sz w:val="20"/>
                <w:szCs w:val="20"/>
                <w:color w:val="auto"/>
              </w:rPr>
            </w:pPr>
            <w:r>
              <w:rPr>
                <w:rFonts w:ascii="Arial" w:cs="Arial" w:eastAsia="Arial" w:hAnsi="Arial"/>
                <w:sz w:val="17"/>
                <w:szCs w:val="17"/>
                <w:b w:val="1"/>
                <w:bCs w:val="1"/>
                <w:color w:val="auto"/>
              </w:rPr>
              <w:t>Prospectus dated</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 2022</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90"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18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27"/>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FEES AND EXPENSES</w:t>
              </w:r>
            </w:hyperlink>
          </w:p>
        </w:tc>
        <w:tc>
          <w:tcPr>
            <w:tcW w:w="85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888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1"/>
          </w:tcPr>
          <w:p>
            <w:pPr>
              <w:spacing w:after="0"/>
              <w:rPr>
                <w:sz w:val="17"/>
                <w:szCs w:val="17"/>
                <w:color w:val="auto"/>
              </w:rPr>
            </w:pPr>
          </w:p>
        </w:tc>
        <w:tc>
          <w:tcPr>
            <w:tcW w:w="77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SENIOR SECURITIES</w:t>
              </w:r>
            </w:hyperlink>
          </w:p>
        </w:tc>
        <w:tc>
          <w:tcPr>
            <w:tcW w:w="894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PRICE RANGE OF COMMON STOCK</w:t>
              </w:r>
            </w:hyperlink>
          </w:p>
        </w:tc>
        <w:tc>
          <w:tcPr>
            <w:tcW w:w="77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SALES OF COMMON STOCK BELOW NET ASSET VALUE</w:t>
              </w:r>
            </w:hyperlink>
          </w:p>
        </w:tc>
        <w:tc>
          <w:tcPr>
            <w:tcW w:w="60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DISTRIBUTIONS</w:t>
              </w:r>
            </w:hyperlink>
          </w:p>
        </w:tc>
        <w:tc>
          <w:tcPr>
            <w:tcW w:w="930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PORTFOLIO COMPANIES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PORTFOLIO MANAGEMENT</w:t>
              </w:r>
            </w:hyperlink>
          </w:p>
        </w:tc>
        <w:tc>
          <w:tcPr>
            <w:tcW w:w="83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DETERMINATION OF NET ASSET VALUE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DIVIDEND REINVESTMENT PLAN</w:t>
              </w:r>
            </w:hyperlink>
          </w:p>
        </w:tc>
        <w:tc>
          <w:tcPr>
            <w:tcW w:w="540" w:type="dxa"/>
            <w:vAlign w:val="bottom"/>
            <w:tcBorders>
              <w:top w:val="single" w:sz="8" w:color="0000EE"/>
            </w:tcBorders>
            <w:gridSpan w:val="5"/>
          </w:tcPr>
          <w:p>
            <w:pPr>
              <w:spacing w:after="0"/>
              <w:rPr>
                <w:sz w:val="17"/>
                <w:szCs w:val="17"/>
                <w:color w:val="auto"/>
              </w:rPr>
            </w:pPr>
          </w:p>
        </w:tc>
        <w:tc>
          <w:tcPr>
            <w:tcW w:w="7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OUR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OUR PREFERRED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OUR WARRANTS</w:t>
              </w:r>
            </w:hyperlink>
          </w:p>
        </w:tc>
        <w:tc>
          <w:tcPr>
            <w:tcW w:w="71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OUR SUBSCRIPTION RIGHTS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OUR DEBT SECURITIES</w:t>
              </w:r>
            </w:hyperlink>
          </w:p>
        </w:tc>
        <w:tc>
          <w:tcPr>
            <w:tcW w:w="6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OUR UNITS</w:t>
              </w:r>
            </w:hyperlink>
          </w:p>
        </w:tc>
        <w:tc>
          <w:tcPr>
            <w:tcW w:w="72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BROKERAGE ALLOCATIONS AND OTHER PRACTICES</w:t>
              </w:r>
            </w:hyperlink>
          </w:p>
        </w:tc>
        <w:tc>
          <w:tcPr>
            <w:tcW w:w="6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MATERIAL U.S. FEDERAL INCOME TAX CONSIDERATIONS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PLAN OF DISTRIBUTION</w:t>
              </w:r>
            </w:hyperlink>
          </w:p>
        </w:tc>
        <w:tc>
          <w:tcPr>
            <w:tcW w:w="58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SUB-ADMINISTRATOR, CUSTODIAN, TRANSFER AGENT AND TRUSTEE</w:t>
              </w:r>
            </w:hyperlink>
          </w:p>
        </w:tc>
        <w:tc>
          <w:tcPr>
            <w:tcW w:w="4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LEGAL MATTERS</w:t>
              </w:r>
            </w:hyperlink>
          </w:p>
        </w:tc>
        <w:tc>
          <w:tcPr>
            <w:tcW w:w="92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INDEPENDENT REGISTERED PUBLIC ACCOUNTING FIRM</w:t>
              </w:r>
            </w:hyperlink>
          </w:p>
        </w:tc>
        <w:tc>
          <w:tcPr>
            <w:tcW w:w="58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INDEPENDENT AUDITOR</w:t>
              </w:r>
            </w:hyperlink>
          </w:p>
        </w:tc>
        <w:tc>
          <w:tcPr>
            <w:tcW w:w="856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INCORPORATION BY REFERENCE</w:t>
              </w:r>
            </w:hyperlink>
          </w:p>
        </w:tc>
        <w:tc>
          <w:tcPr>
            <w:tcW w:w="78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660" w:type="dxa"/>
            <w:vAlign w:val="bottom"/>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AVAILABLE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551"/>
        <w:spacing w:after="0" w:line="268" w:lineRule="auto"/>
        <w:rPr>
          <w:sz w:val="20"/>
          <w:szCs w:val="20"/>
          <w:color w:val="auto"/>
        </w:rPr>
      </w:pPr>
      <w:r>
        <w:rPr>
          <w:rFonts w:ascii="Arial" w:cs="Arial" w:eastAsia="Arial" w:hAnsi="Arial"/>
          <w:sz w:val="17"/>
          <w:szCs w:val="17"/>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 refers collectively to our consolidated subsidiary, PennantPark SBIC II LP, or SBIC II, and its general partner, PennantPark SBIC GP II, LLC; “Funding I” refers to PennantPark Investment Funding I, LLC; “Taxable Subsidiary” refers to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84"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$15 billion in 605 companies with over 200 different financial sponsors through its managed funds.</w:t>
      </w:r>
    </w:p>
    <w:p>
      <w:pPr>
        <w:spacing w:after="0" w:line="181" w:lineRule="exact"/>
        <w:rPr>
          <w:sz w:val="20"/>
          <w:szCs w:val="20"/>
          <w:color w:val="auto"/>
        </w:rPr>
      </w:pPr>
    </w:p>
    <w:p>
      <w:pPr>
        <w:ind w:left="300" w:right="26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88"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administrative and principal executive offices are located at 1691 Michigan Avenue, Miami Beach, Florida 33139. Our phone number is</w:t>
      </w:r>
    </w:p>
    <w:p>
      <w:pPr>
        <w:spacing w:after="0" w:line="46" w:lineRule="exact"/>
        <w:rPr>
          <w:sz w:val="20"/>
          <w:szCs w:val="20"/>
          <w:color w:val="auto"/>
        </w:rPr>
      </w:pPr>
    </w:p>
    <w:p>
      <w:pPr>
        <w:ind w:left="300" w:right="120" w:hanging="2"/>
        <w:spacing w:after="0" w:line="255"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expenses (as a percentage of offering price)</w:t>
            </w:r>
          </w:p>
        </w:tc>
        <w:tc>
          <w:tcPr>
            <w:tcW w:w="9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44"/>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expenses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(4)</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Management fees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2"/>
        </w:trPr>
        <w:tc>
          <w:tcPr>
            <w:tcW w:w="10100" w:type="dxa"/>
            <w:vAlign w:val="bottom"/>
          </w:tcPr>
          <w:p>
            <w:pPr>
              <w:spacing w:after="0" w:line="201" w:lineRule="exact"/>
              <w:rPr>
                <w:sz w:val="20"/>
                <w:szCs w:val="20"/>
                <w:color w:val="auto"/>
              </w:rPr>
            </w:pPr>
            <w:r>
              <w:rPr>
                <w:rFonts w:ascii="Arial" w:cs="Arial" w:eastAsia="Arial" w:hAnsi="Arial"/>
                <w:sz w:val="18"/>
                <w:szCs w:val="18"/>
                <w:color w:val="auto"/>
              </w:rPr>
              <w:t>Interest on borrowed funds</w:t>
            </w: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4.16%</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7"/>
        </w:trPr>
        <w:tc>
          <w:tcPr>
            <w:tcW w:w="10100" w:type="dxa"/>
            <w:vAlign w:val="bottom"/>
          </w:tcPr>
          <w:p>
            <w:pPr>
              <w:spacing w:after="0"/>
              <w:rPr>
                <w:sz w:val="20"/>
                <w:szCs w:val="20"/>
                <w:color w:val="auto"/>
              </w:rPr>
            </w:pPr>
            <w:r>
              <w:rPr>
                <w:rFonts w:ascii="Arial" w:cs="Arial" w:eastAsia="Arial" w:hAnsi="Arial"/>
                <w:sz w:val="18"/>
                <w:szCs w:val="18"/>
                <w:color w:val="auto"/>
              </w:rPr>
              <w:t>Acquired fund fees and expenses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23"/>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1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11.20%</w:t>
            </w:r>
            <w:r>
              <w:rPr>
                <w:rFonts w:ascii="Arial" w:cs="Arial" w:eastAsia="Arial" w:hAnsi="Arial"/>
                <w:sz w:val="15"/>
                <w:szCs w:val="15"/>
                <w:color w:val="auto"/>
                <w:w w:val="95"/>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820" w:hanging="424"/>
        <w:spacing w:after="0" w:line="25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2021.</w:t>
      </w:r>
    </w:p>
    <w:p>
      <w:pPr>
        <w:spacing w:after="0" w:line="9"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contractual management fee is calculated at an annual rate of 1.50% of our average adjusted gross assets up to 200% of the Company’s total net assets as of the immediately preceding quarter-end and 1.00% for amounts that exceed such amount as of the immediately preceding quarter-end, which for purposes of this table was December 31, 2021. See “Business—Investment Management Agreement” and “Business— Management Fees” in our most recent Annual Report on Form 10-K for more information.</w:t>
      </w:r>
    </w:p>
    <w:p>
      <w:pPr>
        <w:ind w:left="540" w:right="8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fiscal quarter ended December 31, 2021,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quarter ended December 31, 2021. For more detailed information about the incentive fee, please see “Business—Investment Management Agreement” and “Business—Management Fees” in our most recent Annual Report on Form 10-K for more information.</w:t>
      </w:r>
    </w:p>
    <w:p>
      <w:pPr>
        <w:spacing w:after="0" w:line="7" w:lineRule="exact"/>
        <w:rPr>
          <w:rFonts w:ascii="Arial" w:cs="Arial" w:eastAsia="Arial" w:hAnsi="Arial"/>
          <w:sz w:val="16"/>
          <w:szCs w:val="16"/>
          <w:color w:val="auto"/>
        </w:rPr>
      </w:pPr>
    </w:p>
    <w:p>
      <w:pPr>
        <w:ind w:left="540" w:right="18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December 31, 2021, we had $19.8 million of unused borrowing capacity, subject to maintenance of the applicable total assets to debt ratio, under the 1940 Act. As of such date, we had $445.2 million in borrowings outstanding under our $465.0 million Truist Credit Facility,</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$150.0 million in aggregate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2" w:lineRule="auto"/>
        <w:rPr>
          <w:sz w:val="20"/>
          <w:szCs w:val="20"/>
          <w:color w:val="auto"/>
        </w:rPr>
      </w:pPr>
      <w:r>
        <w:rPr>
          <w:rFonts w:ascii="Arial" w:cs="Arial" w:eastAsia="Arial" w:hAnsi="Arial"/>
          <w:sz w:val="18"/>
          <w:szCs w:val="18"/>
          <w:color w:val="auto"/>
        </w:rPr>
        <w:t>principal of 2026 Notes and $165.0 million in aggregate principal of 2026 Notes-2. As of December 31, 2021, our SBIC Fund had debenture commitments from the SBA in the amount of $63.5 million, all of which were outstanding with a weighted average interest rate of 3.2%, exclusive of the 3.4% of upfront fees. We may use proceeds of any offering of securities under any applicable registration statement to repay outstanding obligations under the Truist Credit Facility. After completing any such offering, we may continue to borrow under our Truist Credit Facility to finance our investment objectives. Annual interest expense on borrowed funds represents actual interest expense incurred for the fiscal quarter ended December 31, 2021, annualized for a full year,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4" w:lineRule="exact"/>
        <w:rPr>
          <w:sz w:val="20"/>
          <w:szCs w:val="20"/>
          <w:color w:val="auto"/>
        </w:rPr>
      </w:pPr>
    </w:p>
    <w:p>
      <w:pPr>
        <w:ind w:left="540" w:hanging="424"/>
        <w:spacing w:after="0" w:line="2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quarter ended December 31, 2021, annualized for a full year. Expenses for PSLF may fluctuate over time and may be substantially higher or lower in the future.</w:t>
      </w:r>
    </w:p>
    <w:p>
      <w:pPr>
        <w:spacing w:after="0" w:line="2" w:lineRule="exact"/>
        <w:rPr>
          <w:rFonts w:ascii="Arial" w:cs="Arial" w:eastAsia="Arial" w:hAnsi="Arial"/>
          <w:sz w:val="16"/>
          <w:szCs w:val="16"/>
          <w:color w:val="auto"/>
        </w:rPr>
      </w:pPr>
    </w:p>
    <w:p>
      <w:pPr>
        <w:ind w:left="540" w:right="240" w:hanging="424"/>
        <w:spacing w:after="0" w:line="2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6"/>
          <w:szCs w:val="16"/>
          <w:color w:val="auto"/>
        </w:rPr>
      </w:pPr>
    </w:p>
    <w:p>
      <w:pPr>
        <w:ind w:left="540" w:right="60" w:hanging="424"/>
        <w:spacing w:after="0" w:line="270"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5.26%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9.59% of average net assets attributable to common shares as set forth in the table above (other than performance-based incentive fees) and (3) a 5% annual return.</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You would pay the following expenses on a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1,000 common stock investment</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3 Years</w:t>
            </w:r>
          </w:p>
        </w:tc>
        <w:tc>
          <w:tcPr>
            <w:tcW w:w="20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 net</w:t>
            </w:r>
          </w:p>
        </w:tc>
        <w:tc>
          <w:tcPr>
            <w:tcW w:w="3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$ 126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294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448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02"/>
        </w:trPr>
        <w:tc>
          <w:tcPr>
            <w:tcW w:w="658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 thus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$ 133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314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475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2021, filed on November 17, 2021, and our Quarterly Report on Form 10-Q for the fiscal quarter ended December 31, 2021 filed on February 9,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 or any worsening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significant disruptions caused by the current COVID-19 pandemic or any worsening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and other world economic and political issues.</w:t>
      </w:r>
    </w:p>
    <w:p>
      <w:pPr>
        <w:spacing w:after="0" w:line="22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120" w:right="640" w:hanging="4"/>
        <w:spacing w:after="0" w:line="323" w:lineRule="auto"/>
        <w:tabs>
          <w:tab w:leader="none" w:pos="4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Information about our senior securities is shown in the following table as of September 30, 2021, 2020, 2019, 2018, 2017, 2016, 2015, 2014, 2013, and 2012, is from our Consolidated Financial Statements, which have been audited by an independent registered public accounting firm for those periods, and the report of RSM US, LLP, an independent registered public accounting firm, on our senior securities table as of September 30, 2021 is attached as an exhibit to the registration statement of which this prospectus is a part.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Coverage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Truist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316,545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388,252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301,636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80,520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79,393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136,864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55,226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25.14</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23.47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24.87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24.68</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25.13</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24.51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24.79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2026 Notes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540" w:right="12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daily closing price of the 2024 Notes which were traded on The Nasdaq Global Select Market under the symbol “PNNTG” prior to their redemption. The 2024 Notes were issued in increments of $25 per unit and commenced trading on September 30, 2019. On November 13, 2021, the 2024 Notes were redeemed in full.</w:t>
      </w:r>
    </w:p>
    <w:p>
      <w:pPr>
        <w:spacing w:after="0" w:line="1" w:lineRule="exact"/>
        <w:rPr>
          <w:rFonts w:ascii="Arial" w:cs="Arial" w:eastAsia="Arial" w:hAnsi="Arial"/>
          <w:sz w:val="18"/>
          <w:szCs w:val="18"/>
          <w:color w:val="auto"/>
        </w:rPr>
      </w:pPr>
    </w:p>
    <w:p>
      <w:pPr>
        <w:ind w:left="540" w:right="200" w:hanging="424"/>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2018. On March 14, 2022, the last reported closing price of our common stock was $7.67 per share.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Closing Sales Price</w:t>
            </w:r>
          </w:p>
        </w:tc>
        <w:tc>
          <w:tcPr>
            <w:tcW w:w="420" w:type="dxa"/>
            <w:vAlign w:val="bottom"/>
            <w:vMerge w:val="restart"/>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8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280" w:type="dxa"/>
            <w:vAlign w:val="bottom"/>
            <w:vMerge w:val="restart"/>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20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September 30, 2022</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Second quarter (as of March 14, 2022)</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rPr>
              <w:t>$ N/A</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$ 7.85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6.66</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6.49</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(29)</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2021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(30)</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7.37</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5.74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(40)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4.49</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(33)</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4.62</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2.85</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(47)</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(68)</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2020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3.78</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3.01</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(52)</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(62)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2.32</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(46)</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6.70</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1.95</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(75)</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(22)</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$6.93 and $6.49 on December 31, 2021 and September 30, 2021, respectively. Our NAV per share was $10.11 and $9.85 as of December 31, 2021 and September 30, 2021,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2021, we had 6 stockholders of record.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leverage available to us and our SBIC Fund,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80" w:firstLine="440"/>
        <w:spacing w:after="0" w:line="284"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w:t>
      </w:r>
    </w:p>
    <w:p>
      <w:pPr>
        <w:spacing w:after="0" w:line="4"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have 100 million shares outstanding, the sale of an additional 25 million shares at net proceeds to us of $5.00 per share (a 50% discount) would produce dilution of 10.0%. If we subsequently determined that our NAV per share increased to $11.00 on the then outstanding 125 million</w:t>
      </w:r>
    </w:p>
    <w:p>
      <w:pPr>
        <w:ind w:left="120" w:right="240"/>
        <w:spacing w:after="0" w:line="255" w:lineRule="auto"/>
        <w:rPr>
          <w:sz w:val="20"/>
          <w:szCs w:val="20"/>
          <w:color w:val="auto"/>
        </w:rPr>
      </w:pPr>
      <w:r>
        <w:rPr>
          <w:rFonts w:ascii="Arial" w:cs="Arial" w:eastAsia="Arial" w:hAnsi="Arial"/>
          <w:sz w:val="18"/>
          <w:szCs w:val="18"/>
          <w:color w:val="auto"/>
        </w:rPr>
        <w:t>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proportionate share of the offering (i.e., 3,750 shares which is 1.50% of the offering of 250,000 shares rather than their 1.00% proportionate share).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8"/>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1</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NAV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500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4,990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20" w:type="dxa"/>
            <w:vAlign w:val="bottom"/>
          </w:tcPr>
          <w:p>
            <w:pPr>
              <w:ind w:left="320"/>
              <w:spacing w:after="0"/>
              <w:rPr>
                <w:sz w:val="20"/>
                <w:szCs w:val="20"/>
                <w:color w:val="auto"/>
              </w:rPr>
            </w:pPr>
            <w:r>
              <w:rPr>
                <w:rFonts w:ascii="Arial" w:cs="Arial" w:eastAsia="Arial" w:hAnsi="Arial"/>
                <w:sz w:val="16"/>
                <w:szCs w:val="16"/>
                <w:color w:val="auto"/>
              </w:rPr>
              <w:t>Percentage (dilution)/accretion to stockholder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480"/>
              <w:spacing w:after="0"/>
              <w:rPr>
                <w:sz w:val="20"/>
                <w:szCs w:val="20"/>
                <w:color w:val="auto"/>
              </w:rPr>
            </w:pPr>
            <w:r>
              <w:rPr>
                <w:rFonts w:ascii="Arial" w:cs="Arial" w:eastAsia="Arial" w:hAnsi="Arial"/>
                <w:sz w:val="16"/>
                <w:szCs w:val="16"/>
                <w:color w:val="auto"/>
              </w:rPr>
              <w:t>A (dilution)/ accretion per share divided by</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2021 and</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2020 from ordinary income (including short-term gains), if any, totaled $32.2 million and $40.2 million, or $0.48 and $0.60 per share, respectively, based on the weighted average shares outstanding for the respective years.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December 31, 2021.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2021 Quarterly Report on Form 10-Q.</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the Truist Credit Facility. Unless otherwise noted, we held no voting board membership on any of our portfolio companies.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78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Nature of Business</w:t>
            </w:r>
          </w:p>
        </w:tc>
        <w:tc>
          <w:tcPr>
            <w:tcW w:w="3240" w:type="dxa"/>
            <w:vAlign w:val="bottom"/>
            <w:gridSpan w:val="2"/>
            <w:vMerge w:val="continue"/>
          </w:tcPr>
          <w:p>
            <w:pPr>
              <w:spacing w:after="0"/>
              <w:rPr>
                <w:sz w:val="12"/>
                <w:szCs w:val="12"/>
                <w:color w:val="auto"/>
              </w:rPr>
            </w:pPr>
          </w:p>
        </w:tc>
        <w:tc>
          <w:tcPr>
            <w:tcW w:w="1240" w:type="dxa"/>
            <w:vAlign w:val="bottom"/>
            <w:gridSpan w:val="2"/>
          </w:tcPr>
          <w:p>
            <w:pPr>
              <w:jc w:val="right"/>
              <w:ind w:right="50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7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80" w:type="dxa"/>
            <w:vAlign w:val="bottom"/>
            <w:gridSpan w:val="2"/>
          </w:tcPr>
          <w:p>
            <w:pPr>
              <w:spacing w:after="0" w:line="130" w:lineRule="exact"/>
              <w:rPr>
                <w:sz w:val="20"/>
                <w:szCs w:val="20"/>
                <w:color w:val="auto"/>
              </w:rPr>
            </w:pPr>
            <w:r>
              <w:rPr>
                <w:rFonts w:ascii="Arial" w:cs="Arial" w:eastAsia="Arial" w:hAnsi="Arial"/>
                <w:sz w:val="14"/>
                <w:szCs w:val="14"/>
                <w:color w:val="auto"/>
              </w:rPr>
              <w:t>Ad.net Acquisition, LLC</w:t>
            </w:r>
          </w:p>
        </w:tc>
        <w:tc>
          <w:tcPr>
            <w:tcW w:w="184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4"/>
              </w:rPr>
              <w:t>Media</w:t>
            </w:r>
          </w:p>
        </w:tc>
        <w:tc>
          <w:tcPr>
            <w:tcW w:w="324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0.4%</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(Ad.net Holdings, Inc.</w:t>
            </w:r>
            <w:r>
              <w:rPr>
                <w:rFonts w:ascii="Arial" w:cs="Arial" w:eastAsia="Arial" w:hAnsi="Arial"/>
                <w:sz w:val="12"/>
                <w:szCs w:val="12"/>
                <w:color w:val="auto"/>
              </w:rPr>
              <w:t>(5)</w:t>
            </w:r>
            <w:r>
              <w:rPr>
                <w:rFonts w:ascii="Arial" w:cs="Arial" w:eastAsia="Arial" w:hAnsi="Arial"/>
                <w:sz w:val="14"/>
                <w:szCs w:val="14"/>
                <w:color w:val="auto"/>
              </w:rPr>
              <w:t>)</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 05/06/2026</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1100 Glendon Avenue, Suite 1200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spacing w:after="0"/>
              <w:rPr>
                <w:sz w:val="20"/>
                <w:szCs w:val="20"/>
                <w:color w:val="auto"/>
              </w:rPr>
            </w:pPr>
            <w:r>
              <w:rPr>
                <w:rFonts w:ascii="Arial" w:cs="Arial" w:eastAsia="Arial" w:hAnsi="Arial"/>
                <w:sz w:val="14"/>
                <w:szCs w:val="14"/>
                <w:color w:val="auto"/>
              </w:rPr>
              <w:t>Los Angeles, CA 90024</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8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2"/>
              </w:rPr>
              <w:t>Consumer</w:t>
            </w:r>
          </w:p>
        </w:tc>
        <w:tc>
          <w:tcPr>
            <w:tcW w:w="32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7"/>
              </w:rPr>
              <w:t>Warrants</w:t>
            </w:r>
          </w:p>
        </w:tc>
        <w:tc>
          <w:tcPr>
            <w:tcW w:w="124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8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Products</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Business Services</w:t>
            </w:r>
          </w:p>
        </w:tc>
        <w:tc>
          <w:tcPr>
            <w:tcW w:w="32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Newco Equityholdings, LLC</w:t>
            </w:r>
          </w:p>
        </w:tc>
        <w:tc>
          <w:tcPr>
            <w:tcW w:w="18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2"/>
              </w:rPr>
              <w:t>Healthcare, Education and</w:t>
            </w:r>
          </w:p>
        </w:tc>
        <w:tc>
          <w:tcPr>
            <w:tcW w:w="32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Preferred Equity</w:t>
            </w:r>
          </w:p>
        </w:tc>
        <w:tc>
          <w:tcPr>
            <w:tcW w:w="124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8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Childcare</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77036</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Arial" w:cs="Arial" w:eastAsia="Arial" w:hAnsi="Arial"/>
                <w:sz w:val="14"/>
                <w:szCs w:val="14"/>
                <w:color w:val="auto"/>
              </w:rPr>
              <w:t>Altamira Technologies, LLC</w:t>
            </w: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Aerospace and Defense</w:t>
            </w:r>
          </w:p>
        </w:tc>
        <w:tc>
          <w:tcPr>
            <w:tcW w:w="32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07/24/2025</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spacing w:after="0"/>
              <w:rPr>
                <w:sz w:val="20"/>
                <w:szCs w:val="20"/>
                <w:color w:val="auto"/>
              </w:rPr>
            </w:pPr>
            <w:r>
              <w:rPr>
                <w:rFonts w:ascii="Arial" w:cs="Arial" w:eastAsia="Arial" w:hAnsi="Arial"/>
                <w:sz w:val="14"/>
                <w:szCs w:val="14"/>
                <w:color w:val="auto"/>
              </w:rPr>
              <w:t>McLean, VA 22102</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8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7"/>
              </w:rPr>
              <w:t>Building Materials</w:t>
            </w:r>
          </w:p>
        </w:tc>
        <w:tc>
          <w:tcPr>
            <w:tcW w:w="32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14,503</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12/21/2023</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Arial" w:cs="Arial" w:eastAsia="Arial" w:hAnsi="Arial"/>
                <w:sz w:val="14"/>
                <w:szCs w:val="14"/>
                <w:color w:val="auto"/>
              </w:rPr>
              <w:t>Any Hour Services</w:t>
            </w: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Personal, Food</w:t>
            </w:r>
          </w:p>
        </w:tc>
        <w:tc>
          <w:tcPr>
            <w:tcW w:w="32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(KL Stockton Co-Invest LP </w:t>
            </w:r>
            <w:r>
              <w:rPr>
                <w:rFonts w:ascii="Arial" w:cs="Arial" w:eastAsia="Arial" w:hAnsi="Arial"/>
                <w:sz w:val="12"/>
                <w:szCs w:val="12"/>
                <w:color w:val="auto"/>
              </w:rPr>
              <w:t>(5)</w:t>
            </w:r>
            <w:r>
              <w:rPr>
                <w:rFonts w:ascii="Arial" w:cs="Arial" w:eastAsia="Arial" w:hAnsi="Arial"/>
                <w:sz w:val="14"/>
                <w:szCs w:val="14"/>
                <w:color w:val="auto"/>
              </w:rPr>
              <w:t>)</w:t>
            </w: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L+575, 07/21/2027</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1374 130 S</w:t>
            </w: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Miscellaneous Services</w:t>
            </w:r>
          </w:p>
        </w:tc>
        <w:tc>
          <w:tcPr>
            <w:tcW w:w="3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2"/>
          </w:tcPr>
          <w:p>
            <w:pPr>
              <w:spacing w:after="0"/>
              <w:rPr>
                <w:sz w:val="20"/>
                <w:szCs w:val="20"/>
                <w:color w:val="auto"/>
              </w:rPr>
            </w:pPr>
            <w:r>
              <w:rPr>
                <w:rFonts w:ascii="Arial" w:cs="Arial" w:eastAsia="Arial" w:hAnsi="Arial"/>
                <w:sz w:val="14"/>
                <w:szCs w:val="14"/>
                <w:color w:val="auto"/>
              </w:rPr>
              <w:t>Orem, UT 84058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Apex Service Partners, LLC</w:t>
            </w:r>
          </w:p>
        </w:tc>
        <w:tc>
          <w:tcPr>
            <w:tcW w:w="18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2"/>
              </w:rPr>
              <w:t>Personal, Food</w:t>
            </w:r>
          </w:p>
        </w:tc>
        <w:tc>
          <w:tcPr>
            <w:tcW w:w="32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4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13,763</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 Jackson, Ste #3300</w:t>
            </w:r>
          </w:p>
        </w:tc>
        <w:tc>
          <w:tcPr>
            <w:tcW w:w="18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32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L+525, 07/31/2025</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Tampa, FL 33602</w:t>
            </w:r>
          </w:p>
        </w:tc>
        <w:tc>
          <w:tcPr>
            <w:tcW w:w="18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Miscellaneous Services</w:t>
            </w:r>
          </w:p>
        </w:tc>
        <w:tc>
          <w:tcPr>
            <w:tcW w:w="2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72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7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Applied Technical Services,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Environmental Services</w:t>
            </w:r>
          </w:p>
        </w:tc>
        <w:tc>
          <w:tcPr>
            <w:tcW w:w="26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0.2</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(Ironclad Holdco, LLC </w:t>
            </w:r>
            <w:r>
              <w:rPr>
                <w:rFonts w:ascii="Arial" w:cs="Arial" w:eastAsia="Arial" w:hAnsi="Arial"/>
                <w:sz w:val="12"/>
                <w:szCs w:val="12"/>
                <w:color w:val="auto"/>
              </w:rPr>
              <w:t>(5)</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L+575, 12/29/2026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1049 Triad Ct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Marietta, GA 30062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Atlas Purchaser,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258"/>
              <w:spacing w:after="0"/>
              <w:rPr>
                <w:sz w:val="20"/>
                <w:szCs w:val="20"/>
                <w:color w:val="auto"/>
              </w:rPr>
            </w:pPr>
            <w:r>
              <w:rPr>
                <w:rFonts w:ascii="Arial" w:cs="Arial" w:eastAsia="Arial" w:hAnsi="Arial"/>
                <w:sz w:val="14"/>
                <w:szCs w:val="14"/>
                <w:color w:val="auto"/>
              </w:rPr>
              <w:t>0.5%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18,556</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(Atlas Investment Aggregator, LLC </w:t>
            </w:r>
            <w:r>
              <w:rPr>
                <w:rFonts w:ascii="Arial" w:cs="Arial" w:eastAsia="Arial" w:hAnsi="Arial"/>
                <w:sz w:val="12"/>
                <w:szCs w:val="12"/>
                <w:color w:val="auto"/>
              </w:rPr>
              <w:t>(5)</w:t>
            </w:r>
            <w:r>
              <w:rPr>
                <w:rFonts w:ascii="Arial" w:cs="Arial" w:eastAsia="Arial" w:hAnsi="Arial"/>
                <w:sz w:val="14"/>
                <w:szCs w:val="14"/>
                <w:color w:val="auto"/>
              </w:rPr>
              <w:t>)</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L+900, 05/07/2029</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5 Technology Park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Westford, MA 01886</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Best Practice Associates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33,519</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(FedHC InvestCo LP</w:t>
            </w:r>
            <w:r>
              <w:rPr>
                <w:rFonts w:ascii="Arial" w:cs="Arial" w:eastAsia="Arial" w:hAnsi="Arial"/>
                <w:sz w:val="12"/>
                <w:szCs w:val="12"/>
                <w:color w:val="auto"/>
              </w:rPr>
              <w:t>(5)</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L+900, 06/29/2027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(FedHC InvestCo II LP</w:t>
            </w:r>
            <w:r>
              <w:rPr>
                <w:rFonts w:ascii="Arial" w:cs="Arial" w:eastAsia="Arial" w:hAnsi="Arial"/>
                <w:sz w:val="12"/>
                <w:szCs w:val="12"/>
                <w:color w:val="auto"/>
              </w:rPr>
              <w:t>(5)</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3100 Clarendon Blvd</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22201</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Blackhawk Industrial Distribution,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Distribution</w:t>
            </w: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Subordinated Debt,</w:t>
            </w:r>
          </w:p>
        </w:tc>
        <w:tc>
          <w:tcPr>
            <w:tcW w:w="1260" w:type="dxa"/>
            <w:vAlign w:val="bottom"/>
            <w:gridSpan w:val="2"/>
          </w:tcPr>
          <w:p>
            <w:pPr>
              <w:jc w:val="right"/>
              <w:ind w:right="258"/>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16,670</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(Cowboy Parent LLC)</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12.0% fixed (PIK 2.0%), 03/17/2025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1501 SW Expressway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Broken Arrow, OK 74012</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Bottom Line Systems,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Education and</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6,153</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L+550, 02/13/2023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Consumer</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25,189</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Products</w:t>
            </w: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L+700, 12/02/2022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Cano Health,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Education and</w:t>
            </w:r>
          </w:p>
        </w:tc>
        <w:tc>
          <w:tcPr>
            <w:tcW w:w="32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0.1%</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43,341</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9725 NW 117th Avenue, Suite 200,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33178</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Environmental Services</w:t>
            </w: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Subordinated Debt,</w:t>
            </w:r>
          </w:p>
        </w:tc>
        <w:tc>
          <w:tcPr>
            <w:tcW w:w="1260" w:type="dxa"/>
            <w:vAlign w:val="bottom"/>
            <w:gridSpan w:val="2"/>
          </w:tcPr>
          <w:p>
            <w:pPr>
              <w:jc w:val="right"/>
              <w:ind w:right="258"/>
              <w:spacing w:after="0"/>
              <w:rPr>
                <w:sz w:val="20"/>
                <w:szCs w:val="20"/>
                <w:color w:val="auto"/>
              </w:rPr>
            </w:pPr>
            <w:r>
              <w:rPr>
                <w:rFonts w:ascii="Arial" w:cs="Arial" w:eastAsia="Arial" w:hAnsi="Arial"/>
                <w:sz w:val="14"/>
                <w:szCs w:val="14"/>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40,146</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(Cascade Environmental Holdings, LLC</w:t>
            </w:r>
            <w:r>
              <w:rPr>
                <w:rFonts w:ascii="Arial" w:cs="Arial" w:eastAsia="Arial" w:hAnsi="Arial"/>
                <w:sz w:val="12"/>
                <w:szCs w:val="12"/>
                <w:color w:val="auto"/>
              </w:rPr>
              <w:t>(5)</w:t>
            </w:r>
            <w:r>
              <w:rPr>
                <w:rFonts w:ascii="Arial" w:cs="Arial" w:eastAsia="Arial" w:hAnsi="Arial"/>
                <w:sz w:val="14"/>
                <w:szCs w:val="14"/>
                <w:color w:val="auto"/>
              </w:rPr>
              <w:t>) 17270</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13.0% fixed (PIK 13.0%), 12/30/2023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Woodinville-Redmond Road</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Woodinville, WA 98072</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CF512,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32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0.8%</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9,596</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(StellPen Holdings,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L+600, 08/20/2026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960B Harvest Drive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 Bell, PA 19422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Compex Legal Services,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325 Maple Avenue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L+575, 02/09/2026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Torrance, CA 90503</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Connatix Buyer,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32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12,914</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(Connatix Parent,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L+550, 07/13/2027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666 Broadway, Floor 10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Arial" w:cs="Arial" w:eastAsia="Arial" w:hAnsi="Arial"/>
                <w:sz w:val="14"/>
                <w:szCs w:val="14"/>
                <w:color w:val="auto"/>
              </w:rPr>
              <w:t>Crane 1 Services,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Personal, Food</w:t>
            </w:r>
          </w:p>
        </w:tc>
        <w:tc>
          <w:tcPr>
            <w:tcW w:w="32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258"/>
              <w:spacing w:after="0"/>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1,934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(Crane 1 Acquisition Parent Holdings, L.P.)</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L+575, 08/16/2027</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1027 Byers Rd</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Miscellaneous Services</w:t>
            </w:r>
          </w:p>
        </w:tc>
        <w:tc>
          <w:tcPr>
            <w:tcW w:w="3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Miamisburg, OH 45342</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Crash Champions,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Auto Sector</w:t>
            </w:r>
          </w:p>
        </w:tc>
        <w:tc>
          <w:tcPr>
            <w:tcW w:w="32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0.1%</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21,532</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(Crash Champions Holdings, LLC</w:t>
            </w:r>
            <w:r>
              <w:rPr>
                <w:rFonts w:ascii="Arial" w:cs="Arial" w:eastAsia="Arial" w:hAnsi="Arial"/>
                <w:sz w:val="12"/>
                <w:szCs w:val="12"/>
                <w:color w:val="auto"/>
              </w:rPr>
              <w:t>(5)</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L+500, 08/05/2025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14330 S. Cicero Avenue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Crestwood, IL 60418</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300" w:type="dxa"/>
            <w:vAlign w:val="bottom"/>
            <w:gridSpan w:val="2"/>
          </w:tcPr>
          <w:p>
            <w:pPr>
              <w:jc w:val="center"/>
              <w:ind w:right="41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68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320" w:type="dxa"/>
            <w:vAlign w:val="bottom"/>
            <w:gridSpan w:val="2"/>
            <w:vMerge w:val="continue"/>
          </w:tcPr>
          <w:p>
            <w:pPr>
              <w:spacing w:after="0"/>
              <w:rPr>
                <w:sz w:val="12"/>
                <w:szCs w:val="12"/>
                <w:color w:val="auto"/>
              </w:rPr>
            </w:pPr>
          </w:p>
        </w:tc>
        <w:tc>
          <w:tcPr>
            <w:tcW w:w="1300" w:type="dxa"/>
            <w:vAlign w:val="bottom"/>
            <w:gridSpan w:val="2"/>
          </w:tcPr>
          <w:p>
            <w:pPr>
              <w:jc w:val="center"/>
              <w:ind w:right="41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8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00" w:type="dxa"/>
            <w:vAlign w:val="bottom"/>
            <w:gridSpan w:val="2"/>
          </w:tcPr>
          <w:p>
            <w:pPr>
              <w:jc w:val="center"/>
              <w:ind w:right="41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Data Axle, Inc.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Other Media</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1.1</w:t>
            </w:r>
          </w:p>
        </w:tc>
        <w:tc>
          <w:tcPr>
            <w:tcW w:w="480" w:type="dxa"/>
            <w:vAlign w:val="bottom"/>
            <w:tcBorders>
              <w:top w:val="single" w:sz="8" w:color="CCEEFF"/>
            </w:tcBorders>
            <w:shd w:val="clear" w:color="auto" w:fill="CCEEFF"/>
          </w:tcPr>
          <w:p>
            <w:pPr>
              <w:jc w:val="right"/>
              <w:ind w:right="29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23,893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L+925, 04/03/2024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1020 E 1st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Papillion, NE 68046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DermaRite Industries LLC</w:t>
            </w: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Manufacturing / Basic</w:t>
            </w:r>
          </w:p>
        </w:tc>
        <w:tc>
          <w:tcPr>
            <w:tcW w:w="33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6,492</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7777 West Side Avenue</w:t>
            </w: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North Bergen, NJ 07047</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Dr. Squatch, LLC</w:t>
            </w:r>
          </w:p>
        </w:tc>
        <w:tc>
          <w:tcPr>
            <w:tcW w:w="18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89"/>
              </w:rPr>
              <w:t>Personal and</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8,703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2355 Westwood Blvd. #1834</w:t>
            </w:r>
          </w:p>
        </w:tc>
        <w:tc>
          <w:tcPr>
            <w:tcW w:w="18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Non-Durable Consumer</w:t>
            </w: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L+600, 08/27/2026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 Angeles, CA 90064</w:t>
            </w:r>
          </w:p>
        </w:tc>
        <w:tc>
          <w:tcPr>
            <w:tcW w:w="18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0"/>
              </w:rPr>
              <w:t>Products</w:t>
            </w: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DRS Holdings III, Inc.</w:t>
            </w: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Consumer Products</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225 State Street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L+575, 11/03/2025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Boston MA 02109</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Duraco Specialty Tapes LLC</w:t>
            </w:r>
          </w:p>
        </w:tc>
        <w:tc>
          <w:tcPr>
            <w:tcW w:w="18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Manufacturing / Basic</w:t>
            </w:r>
          </w:p>
        </w:tc>
        <w:tc>
          <w:tcPr>
            <w:tcW w:w="33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7400 Industrial Dr.</w:t>
            </w:r>
          </w:p>
        </w:tc>
        <w:tc>
          <w:tcPr>
            <w:tcW w:w="18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L+550, 06/30/2024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Forest Park, IL 60130</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ECL Entertainment, LLC</w:t>
            </w: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Hotels, Motels,</w:t>
            </w:r>
          </w:p>
        </w:tc>
        <w:tc>
          <w:tcPr>
            <w:tcW w:w="33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Inns and Gaming</w:t>
            </w: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L+750, 03/31/2028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5629 Nashville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Franklin, KY 42134</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ECM Industries, LLC</w:t>
            </w:r>
          </w:p>
        </w:tc>
        <w:tc>
          <w:tcPr>
            <w:tcW w:w="18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Electronics</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(ECM Investors, LLC </w:t>
            </w:r>
            <w:r>
              <w:rPr>
                <w:rFonts w:ascii="Arial" w:cs="Arial" w:eastAsia="Arial" w:hAnsi="Arial"/>
                <w:sz w:val="12"/>
                <w:szCs w:val="12"/>
                <w:color w:val="auto"/>
              </w:rPr>
              <w:t>(5)</w:t>
            </w:r>
            <w:r>
              <w:rPr>
                <w:rFonts w:ascii="Arial" w:cs="Arial" w:eastAsia="Arial" w:hAnsi="Arial"/>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L+475, 12/23/2025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16250 W Woods Edge Rd</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Berlin, WI 53151</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Financial Services</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300" w:type="dxa"/>
            <w:vAlign w:val="bottom"/>
            <w:gridSpan w:val="2"/>
          </w:tcPr>
          <w:p>
            <w:pPr>
              <w:ind w:left="64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Suite 200 Austin, TX, 78738</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ENC Parent Corporation</w:t>
            </w:r>
          </w:p>
        </w:tc>
        <w:tc>
          <w:tcPr>
            <w:tcW w:w="18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Second Lien Secured Debt,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7,425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100-110 West Columbia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L+750, 08/19/2029</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Schuylkill Haven, PA 17972</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Fairbanks Morse Defense</w:t>
            </w: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Aerospace and Defense</w:t>
            </w:r>
          </w:p>
        </w:tc>
        <w:tc>
          <w:tcPr>
            <w:tcW w:w="33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701 White Avenue</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L+475, 06/17/2028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Beloit, WI 53511</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Gantech Acquisition Corp.</w:t>
            </w:r>
          </w:p>
        </w:tc>
        <w:tc>
          <w:tcPr>
            <w:tcW w:w="18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3.9%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20,177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(GCOM InvestCo LP </w:t>
            </w:r>
            <w:r>
              <w:rPr>
                <w:rFonts w:ascii="Arial" w:cs="Arial" w:eastAsia="Arial" w:hAnsi="Arial"/>
                <w:sz w:val="12"/>
                <w:szCs w:val="12"/>
                <w:color w:val="auto"/>
              </w:rPr>
              <w:t>(5)</w:t>
            </w:r>
            <w:r>
              <w:rPr>
                <w:rFonts w:ascii="Arial" w:cs="Arial" w:eastAsia="Arial" w:hAnsi="Arial"/>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L+625, 05/14/2026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9175 Guilford Road, Suite 101</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MD 21046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Graffiti Buyer, Inc.</w:t>
            </w: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Distribution</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25195 Brest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L+575, 08/10/2027</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Taylor, MI 48180</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Halo Buyer, Inc.</w:t>
            </w:r>
          </w:p>
        </w:tc>
        <w:tc>
          <w:tcPr>
            <w:tcW w:w="18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Consumer</w:t>
            </w:r>
          </w:p>
        </w:tc>
        <w:tc>
          <w:tcPr>
            <w:tcW w:w="33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Second Lien Secured Debt,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31,119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1980 Industrial Drive</w:t>
            </w:r>
          </w:p>
        </w:tc>
        <w:tc>
          <w:tcPr>
            <w:tcW w:w="18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L+825, 07/06/2026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Sterling, IL 61081</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Hancock Roofing and Construction L.L.C.</w:t>
            </w: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Insurance</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00" w:type="dxa"/>
            <w:vAlign w:val="bottom"/>
            <w:gridSpan w:val="2"/>
          </w:tcPr>
          <w:p>
            <w:pPr>
              <w:ind w:left="640"/>
              <w:spacing w:after="0"/>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(Hancock Claims Consultants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L+500, 12/31/2026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Investors, LLC </w:t>
            </w:r>
            <w:r>
              <w:rPr>
                <w:rFonts w:ascii="Arial" w:cs="Arial" w:eastAsia="Arial" w:hAnsi="Arial"/>
                <w:sz w:val="12"/>
                <w:szCs w:val="12"/>
                <w:color w:val="auto"/>
              </w:rPr>
              <w:t>(5)</w:t>
            </w:r>
            <w:r>
              <w:rPr>
                <w:rFonts w:ascii="Arial" w:cs="Arial" w:eastAsia="Arial" w:hAnsi="Arial"/>
                <w:sz w:val="14"/>
                <w:szCs w:val="14"/>
                <w:color w:val="auto"/>
              </w:rPr>
              <w: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6875 Shiloh Rd. East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Alpharetta, GA 30005</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80" w:type="dxa"/>
            <w:vAlign w:val="bottom"/>
            <w:gridSpan w:val="2"/>
          </w:tcPr>
          <w:p>
            <w:pPr>
              <w:jc w:val="right"/>
              <w:ind w:right="598"/>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68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320" w:type="dxa"/>
            <w:vAlign w:val="bottom"/>
            <w:gridSpan w:val="2"/>
            <w:vMerge w:val="continue"/>
          </w:tcPr>
          <w:p>
            <w:pPr>
              <w:spacing w:after="0"/>
              <w:rPr>
                <w:sz w:val="12"/>
                <w:szCs w:val="12"/>
                <w:color w:val="auto"/>
              </w:rPr>
            </w:pPr>
          </w:p>
        </w:tc>
        <w:tc>
          <w:tcPr>
            <w:tcW w:w="128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8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80" w:type="dxa"/>
            <w:vAlign w:val="bottom"/>
            <w:gridSpan w:val="2"/>
          </w:tcPr>
          <w:p>
            <w:pPr>
              <w:jc w:val="right"/>
              <w:ind w:right="39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Holdco Sands Intermediate, LLC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3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22,993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(OceanSound Discovery Equity, LP </w:t>
            </w:r>
            <w:r>
              <w:rPr>
                <w:rFonts w:ascii="Arial" w:cs="Arial" w:eastAsia="Arial" w:hAnsi="Arial"/>
                <w:sz w:val="12"/>
                <w:szCs w:val="12"/>
                <w:color w:val="auto"/>
              </w:rPr>
              <w:t>(5)</w:t>
            </w:r>
            <w:r>
              <w:rPr>
                <w:rFonts w:ascii="Arial" w:cs="Arial" w:eastAsia="Arial" w:hAnsi="Arial"/>
                <w:sz w:val="14"/>
                <w:szCs w:val="14"/>
                <w:color w:val="auto"/>
              </w:rPr>
              <w:t>)</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L+600, 11/23/2028</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44150 Smartronix Way, STE 200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Hollywood, MD 20636</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HW Holdco,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Media</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7,819</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4000 MacArthur, Suite 400</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L+575, 12/10/2024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Newport Beach, CA 92660</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Icon Partners V C, L.P. </w:t>
            </w:r>
            <w:r>
              <w:rPr>
                <w:rFonts w:ascii="Arial" w:cs="Arial" w:eastAsia="Arial" w:hAnsi="Arial"/>
                <w:sz w:val="12"/>
                <w:szCs w:val="12"/>
                <w:color w:val="auto"/>
              </w:rPr>
              <w:t>(5)</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8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0.1%</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233 Wilshire Boulevard, Suite 800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Monica, CA, 90401</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IDC Infusion Services, Inc.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3609 Park East Drive</w:t>
            </w: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L+600, 12/30/2026</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Beachwood, OH 44122</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IG Investments Holdings, LLC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4,646</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1224 Hammond Drive, Suite 1500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L+600, 09/22/2028</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Imagine Acquisitionco,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Business Services</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278"/>
              <w:spacing w:after="0"/>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6,238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(Imagine Topco, LP)</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L+550, 11/15/2027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8757 Red Oak Blvd,</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Charlotte, NC 28217</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Inception Fertility Ventures, LLC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 Madison Avenue, 21st Floor</w:t>
            </w:r>
          </w:p>
        </w:tc>
        <w:tc>
          <w:tcPr>
            <w:tcW w:w="18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L+550, 12/07/2023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Infolinks Media Buyco,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Media</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278"/>
              <w:spacing w:after="0"/>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(Tower Arch Infolinks Media, LP </w:t>
            </w:r>
            <w:r>
              <w:rPr>
                <w:rFonts w:ascii="Arial" w:cs="Arial" w:eastAsia="Arial" w:hAnsi="Arial"/>
                <w:sz w:val="12"/>
                <w:szCs w:val="12"/>
                <w:color w:val="auto"/>
              </w:rPr>
              <w:t>(5)</w:t>
            </w:r>
            <w:r>
              <w:rPr>
                <w:rFonts w:ascii="Arial" w:cs="Arial" w:eastAsia="Arial" w:hAnsi="Arial"/>
                <w:sz w:val="14"/>
                <w:szCs w:val="14"/>
                <w:color w:val="auto"/>
              </w:rPr>
              <w: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L+600, 11/01/2026</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45 North Broad Street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Ridgewood, NJ 07450</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Integrity Marketing Acquisition, LLC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Insurance</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23,911</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1445 Ross Avenue, 22nd Floor</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L+550, 08/27/2025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75202</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Electronics</w:t>
            </w:r>
          </w:p>
        </w:tc>
        <w:tc>
          <w:tcPr>
            <w:tcW w:w="33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Second Lien Secured Debt,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16,178</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L+850, 09/29/2024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Woodridge, IL 60517, USA</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Chemicals,</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12,367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Plastics and Rubber</w:t>
            </w: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L+700, 12/20/2023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Kinetic Purchaser,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Consumer Products</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25,346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12552 S. 125 West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L+600, 11/10/2027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Draper, UT 84020</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Environmental Services</w:t>
            </w:r>
          </w:p>
        </w:tc>
        <w:tc>
          <w:tcPr>
            <w:tcW w:w="33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8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2.6%</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Lash OpCo,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Consumer Products</w:t>
            </w:r>
          </w:p>
        </w:tc>
        <w:tc>
          <w:tcPr>
            <w:tcW w:w="33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2"/>
          </w:tcPr>
          <w:p>
            <w:pPr>
              <w:jc w:val="right"/>
              <w:ind w:right="278"/>
              <w:spacing w:after="0"/>
              <w:rPr>
                <w:sz w:val="20"/>
                <w:szCs w:val="20"/>
                <w:color w:val="auto"/>
              </w:rPr>
            </w:pPr>
            <w:r>
              <w:rPr>
                <w:rFonts w:ascii="Arial" w:cs="Arial" w:eastAsia="Arial" w:hAnsi="Arial"/>
                <w:sz w:val="14"/>
                <w:szCs w:val="14"/>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(Gauge Lash Coinvest LLC)</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L+700, 02/18/2027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1256 Main Street, Suite 256</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Southlake, TX 76092</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LAV Gear Holdings, Inc.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Leisure, Amusement,</w:t>
            </w:r>
          </w:p>
        </w:tc>
        <w:tc>
          <w:tcPr>
            <w:tcW w:w="33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3165 W Sunset Rd,</w:t>
            </w:r>
          </w:p>
        </w:tc>
        <w:tc>
          <w:tcPr>
            <w:tcW w:w="18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Motion Pictures,</w:t>
            </w:r>
          </w:p>
        </w:tc>
        <w:tc>
          <w:tcPr>
            <w:tcW w:w="3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8"/>
              </w:rPr>
              <w:t>1M L+750 (PIK 5.0%),</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89118</w:t>
            </w:r>
          </w:p>
        </w:tc>
        <w:tc>
          <w:tcPr>
            <w:tcW w:w="18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Entertainment</w:t>
            </w: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10/31/2024</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1"/>
              </w:rPr>
              <w:t>Voting</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6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200" w:type="dxa"/>
            <w:vAlign w:val="bottom"/>
            <w:gridSpan w:val="2"/>
            <w:vMerge w:val="continue"/>
          </w:tcPr>
          <w:p>
            <w:pPr>
              <w:spacing w:after="0"/>
              <w:rPr>
                <w:sz w:val="12"/>
                <w:szCs w:val="12"/>
                <w:color w:val="auto"/>
              </w:rPr>
            </w:pPr>
          </w:p>
        </w:tc>
        <w:tc>
          <w:tcPr>
            <w:tcW w:w="1400" w:type="dxa"/>
            <w:vAlign w:val="bottom"/>
            <w:gridSpan w:val="2"/>
          </w:tcPr>
          <w:p>
            <w:pPr>
              <w:jc w:val="center"/>
              <w:ind w:right="538"/>
              <w:spacing w:after="0" w:line="145" w:lineRule="exact"/>
              <w:rPr>
                <w:sz w:val="20"/>
                <w:szCs w:val="20"/>
                <w:color w:val="auto"/>
              </w:rPr>
            </w:pPr>
            <w:r>
              <w:rPr>
                <w:rFonts w:ascii="Arial" w:cs="Arial" w:eastAsia="Arial" w:hAnsi="Arial"/>
                <w:sz w:val="14"/>
                <w:szCs w:val="14"/>
                <w:b w:val="1"/>
                <w:bCs w:val="1"/>
                <w:color w:val="auto"/>
                <w:w w:val="90"/>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7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0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08"/>
        </w:trPr>
        <w:tc>
          <w:tcPr>
            <w:tcW w:w="36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Ledge Lounger,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Products</w:t>
            </w:r>
          </w:p>
        </w:tc>
        <w:tc>
          <w:tcPr>
            <w:tcW w:w="260" w:type="dxa"/>
            <w:vAlign w:val="bottom"/>
            <w:tcBorders>
              <w:top w:val="single" w:sz="8" w:color="CCEEFF"/>
            </w:tcBorders>
            <w:shd w:val="clear" w:color="auto" w:fill="CCEEFF"/>
          </w:tcPr>
          <w:p>
            <w:pPr>
              <w:spacing w:after="0"/>
              <w:rPr>
                <w:sz w:val="9"/>
                <w:szCs w:val="9"/>
                <w:color w:val="auto"/>
              </w:rPr>
            </w:pPr>
          </w:p>
        </w:tc>
        <w:tc>
          <w:tcPr>
            <w:tcW w:w="29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1.2</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11,194</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 L2 Holdings, LLC)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L+625, 11/09/2026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616 Cane Island Pkwy Suite 200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Katy, TX 77494</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Lightspeed Buyer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 and</w:t>
            </w:r>
          </w:p>
        </w:tc>
        <w:tc>
          <w:tcPr>
            <w:tcW w:w="3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0.2%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(Lightspeed Investment Holdco LLC)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L+575, 02/03/2026</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1457 East 40th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Cleveland, OH 44103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Lombart Brothers,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Education and</w:t>
            </w:r>
          </w:p>
        </w:tc>
        <w:tc>
          <w:tcPr>
            <w:tcW w:w="32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5358 Robin Hood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04/13/2023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Norfolk, VA 23513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Management Consulting &amp; Research,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13,661</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2010 Corporate Ridge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L+600, 08/16/2027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McLean, VA 22102</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Mars Acquisition Holdings Corp.</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32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(Mars Intermediate Holdings II, Inc. </w:t>
            </w:r>
            <w:r>
              <w:rPr>
                <w:rFonts w:ascii="Arial" w:cs="Arial" w:eastAsia="Arial" w:hAnsi="Arial"/>
                <w:sz w:val="12"/>
                <w:szCs w:val="12"/>
                <w:color w:val="auto"/>
              </w:rPr>
              <w:t>(5)</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 05/14/2026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25200 Telegraph Rd., 5th Floor</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Southfield, MI 48033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 04/16/2027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Meadowlark Acquirer,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2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0.8%</w:t>
            </w:r>
            <w:r>
              <w:rPr>
                <w:rFonts w:ascii="Arial" w:cs="Arial" w:eastAsia="Arial" w:hAnsi="Arial"/>
                <w:sz w:val="12"/>
                <w:szCs w:val="12"/>
                <w:color w:val="auto"/>
              </w:rPr>
              <w:t>(3)</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(Meadowlark Title, LLC </w:t>
            </w:r>
            <w:r>
              <w:rPr>
                <w:rFonts w:ascii="Arial" w:cs="Arial" w:eastAsia="Arial" w:hAnsi="Arial"/>
                <w:sz w:val="12"/>
                <w:szCs w:val="12"/>
                <w:color w:val="auto"/>
              </w:rPr>
              <w:t>(5)</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12/10/2027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888 Boylston, Ste. 1600,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Boston, MA, 02199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MeritDirect,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Media</w:t>
            </w:r>
          </w:p>
        </w:tc>
        <w:tc>
          <w:tcPr>
            <w:tcW w:w="3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6,646</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(MeritDirect Holdings, LP </w:t>
            </w:r>
            <w:r>
              <w:rPr>
                <w:rFonts w:ascii="Arial" w:cs="Arial" w:eastAsia="Arial" w:hAnsi="Arial"/>
                <w:sz w:val="12"/>
                <w:szCs w:val="12"/>
                <w:color w:val="auto"/>
              </w:rPr>
              <w:t>(5)</w:t>
            </w:r>
            <w:r>
              <w:rPr>
                <w:rFonts w:ascii="Arial" w:cs="Arial" w:eastAsia="Arial" w:hAnsi="Arial"/>
                <w:sz w:val="14"/>
                <w:szCs w:val="14"/>
                <w:color w:val="auto"/>
              </w:rPr>
              <w: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L+550, 05/23/2024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2 International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Rye Brook, NY 10573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Municipal Emergency Services, Inc.</w:t>
            </w:r>
          </w:p>
        </w:tc>
        <w:tc>
          <w:tcPr>
            <w:tcW w:w="182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9"/>
              </w:rPr>
              <w:t>Distribution</w:t>
            </w:r>
          </w:p>
        </w:tc>
        <w:tc>
          <w:tcPr>
            <w:tcW w:w="32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2.1%</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10,703</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Turnberry Ln</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L+500, 09/28/2027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Sandy Hook, CT 06482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NBH Group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 and</w:t>
            </w:r>
          </w:p>
        </w:tc>
        <w:tc>
          <w:tcPr>
            <w:tcW w:w="3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3035 S Maryland Pkwy #110</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 08/19/2026</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Las Vegas, NV 89109</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Neptune Flood Incorporated</w:t>
            </w:r>
            <w:r>
              <w:rPr>
                <w:rFonts w:ascii="Arial" w:cs="Arial" w:eastAsia="Arial" w:hAnsi="Arial"/>
                <w:sz w:val="12"/>
                <w:szCs w:val="12"/>
                <w:color w:val="auto"/>
              </w:rPr>
              <w:t>(6)</w:t>
            </w:r>
          </w:p>
        </w:tc>
        <w:tc>
          <w:tcPr>
            <w:tcW w:w="182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3"/>
              </w:rPr>
              <w:t>Financial Services</w:t>
            </w:r>
          </w:p>
        </w:tc>
        <w:tc>
          <w:tcPr>
            <w:tcW w:w="32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 6th Street S.</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L+600, 10/14/2026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Petersburg, FL 33701</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OHCP V BC COI, L.P.</w:t>
            </w:r>
            <w:r>
              <w:rPr>
                <w:rFonts w:ascii="Arial" w:cs="Arial" w:eastAsia="Arial" w:hAnsi="Arial"/>
                <w:sz w:val="12"/>
                <w:szCs w:val="12"/>
                <w:color w:val="auto"/>
              </w:rPr>
              <w:t>(5)</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Distribution</w:t>
            </w:r>
          </w:p>
        </w:tc>
        <w:tc>
          <w:tcPr>
            <w:tcW w:w="3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525 West Monroe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Chicago, IL 60661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OIS Management Services,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Education and</w:t>
            </w:r>
          </w:p>
        </w:tc>
        <w:tc>
          <w:tcPr>
            <w:tcW w:w="32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(Oral Surgery (ITC) Holdings, LLC </w:t>
            </w:r>
            <w:r>
              <w:rPr>
                <w:rFonts w:ascii="Arial" w:cs="Arial" w:eastAsia="Arial" w:hAnsi="Arial"/>
                <w:sz w:val="12"/>
                <w:szCs w:val="12"/>
                <w:color w:val="auto"/>
              </w:rPr>
              <w:t>(5)</w:t>
            </w:r>
            <w:r>
              <w:rPr>
                <w:rFonts w:ascii="Arial" w:cs="Arial" w:eastAsia="Arial" w:hAnsi="Arial"/>
                <w:sz w:val="14"/>
                <w:szCs w:val="14"/>
                <w:color w:val="auto"/>
              </w:rPr>
              <w:t>)</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Childcare</w:t>
            </w: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L+450, 07/09/2026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2600 S 56th Street A</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 NE 68506</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Arial" w:cs="Arial" w:eastAsia="Arial" w:hAnsi="Arial"/>
                <w:sz w:val="14"/>
                <w:szCs w:val="14"/>
                <w:color w:val="auto"/>
              </w:rPr>
              <w:t>One Stop Mailing, LLC</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Cargo Transport</w:t>
            </w:r>
          </w:p>
        </w:tc>
        <w:tc>
          <w:tcPr>
            <w:tcW w:w="32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9,709</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601 Regency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05/07/2027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rPr>
                <w:sz w:val="20"/>
                <w:szCs w:val="20"/>
                <w:color w:val="auto"/>
              </w:rPr>
            </w:pPr>
            <w:r>
              <w:rPr>
                <w:rFonts w:ascii="Arial" w:cs="Arial" w:eastAsia="Arial" w:hAnsi="Arial"/>
                <w:sz w:val="14"/>
                <w:szCs w:val="14"/>
                <w:color w:val="auto"/>
              </w:rPr>
              <w:t>Glendale Heights, IL 60139</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ORL Acquisition,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2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0.1%</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5,081</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 Holdco,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L+525, 09/03/2027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5555 N Beach St #4100,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Worth, TX 76137</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68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34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4" w:lineRule="exact"/>
              <w:rPr>
                <w:sz w:val="20"/>
                <w:szCs w:val="20"/>
                <w:color w:val="auto"/>
              </w:rPr>
            </w:pPr>
            <w:r>
              <w:rPr>
                <w:rFonts w:ascii="Arial" w:cs="Arial" w:eastAsia="Arial" w:hAnsi="Arial"/>
                <w:sz w:val="14"/>
                <w:szCs w:val="14"/>
                <w:b w:val="1"/>
                <w:bCs w:val="1"/>
                <w:color w:val="auto"/>
                <w:w w:val="95"/>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8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Ox Two, LLC</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Building Materials</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17,045</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22260 Haggerty Road #365</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L+600, 05/18/2026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Northville, MI 48167</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PL Acquisitionco, LLC</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Retail</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0.4%</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(Pink Lily Holdco, LLC </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L+650, 11/09/2027</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323 Mitch McConnell Way</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Bowling Green KY 42101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1.5%</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26,567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L+1,050 (PIK 11.5%), 08/07/2025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Quantic Electronics,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Aerospace and Defense</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2,657</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Four Embarcadero Center, Suite 3460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L+625, 11/19/2026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San Francisco, CA 94111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QuantiTech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Aerospace and Defense</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0.3%</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(QuantiTech InvestCo LP </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L+1,000, 02/04/2027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(QuantiTech InvestCo II LP </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360A Quality Circle Suite 100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Huntsville, AL 35806</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Media</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22,148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L+500, 09/07/2024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Aerospace and Defense</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L+575, 03/29/2025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Rancho Health MSO,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Education</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(RFMG Parent, LP)</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 12/18/2025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31720 Temecula Pkwy Suite 100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Temecula, CA 92592</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Recteq,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Consumer Products</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0.6%</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(NEPRT Parent Holdings, LLC </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01/29/2026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1061 Triad Ct., Ste. 3</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Marietta, GA 30062</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Media</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22,776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1140 Broadway, Suite 1002</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New York, NY 10001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Now Group, Inc. and Dynata,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Education</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Riverside Assessments, LLC</w:t>
            </w:r>
          </w:p>
        </w:tc>
        <w:tc>
          <w:tcPr>
            <w:tcW w:w="17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Education</w:t>
            </w:r>
          </w:p>
        </w:tc>
        <w:tc>
          <w:tcPr>
            <w:tcW w:w="33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15,320</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Pierce Pl, Suite 900W</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L+575, 03/10/2025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Itasca, IL 60143</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Sales Benchmark Index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Business Services</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0.4%</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(SBI Holdings Investments LLC)</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01/07/2025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2021 McKinney Avenue Suite 550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Dallas, TX 75201</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6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300" w:type="dxa"/>
            <w:vAlign w:val="bottom"/>
            <w:gridSpan w:val="2"/>
            <w:vMerge w:val="continue"/>
          </w:tcPr>
          <w:p>
            <w:pPr>
              <w:spacing w:after="0"/>
              <w:rPr>
                <w:sz w:val="12"/>
                <w:szCs w:val="12"/>
                <w:color w:val="auto"/>
              </w:rPr>
            </w:pPr>
          </w:p>
        </w:tc>
        <w:tc>
          <w:tcPr>
            <w:tcW w:w="130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7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6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Sargent &amp; Greenleaf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Electronics</w:t>
            </w:r>
          </w:p>
        </w:tc>
        <w:tc>
          <w:tcPr>
            <w:tcW w:w="280" w:type="dxa"/>
            <w:vAlign w:val="bottom"/>
            <w:tcBorders>
              <w:top w:val="single" w:sz="8" w:color="CCEEFF"/>
            </w:tcBorders>
            <w:shd w:val="clear" w:color="auto" w:fill="CCEEFF"/>
          </w:tcPr>
          <w:p>
            <w:pPr>
              <w:spacing w:after="0"/>
              <w:rPr>
                <w:sz w:val="9"/>
                <w:szCs w:val="9"/>
                <w:color w:val="auto"/>
              </w:rPr>
            </w:pPr>
          </w:p>
        </w:tc>
        <w:tc>
          <w:tcPr>
            <w:tcW w:w="30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00"/>
              <w:spacing w:after="0" w:line="109"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Security Drive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Nicholasville, KY 40356</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Business Services</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3M L+700 (PIK 1.0%), 07/14/2025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Sigma Defense Systems,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25,603</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(Delta InvestCo LP </w:t>
            </w:r>
            <w:r>
              <w:rPr>
                <w:rFonts w:ascii="Arial" w:cs="Arial" w:eastAsia="Arial" w:hAnsi="Arial"/>
                <w:sz w:val="12"/>
                <w:szCs w:val="12"/>
                <w:color w:val="auto"/>
              </w:rPr>
              <w:t>(5)</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L+850, 12/18/2025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1812 Macon Rd, Perry, GA 31069</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Signature Systems Holding Company</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Chemicals, Plastics and</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40"/>
              <w:spacing w:after="0"/>
              <w:rPr>
                <w:sz w:val="20"/>
                <w:szCs w:val="20"/>
                <w:color w:val="auto"/>
              </w:rPr>
            </w:pPr>
            <w:r>
              <w:rPr>
                <w:rFonts w:ascii="Arial" w:cs="Arial" w:eastAsia="Arial" w:hAnsi="Arial"/>
                <w:sz w:val="14"/>
                <w:szCs w:val="14"/>
                <w:color w:val="auto"/>
              </w:rPr>
              <w:t>1.9%</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Rubber</w:t>
            </w: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 05/03/2024</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Flower Mound, TX 75028</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Solutionreach, Inc.</w:t>
            </w:r>
          </w:p>
        </w:tc>
        <w:tc>
          <w:tcPr>
            <w:tcW w:w="18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Communications</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2600 N. Ashton Blvd.</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01/17/2024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Lehi, UT 84043</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Spear Education, LLC</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Education</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14,860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7201 E Princess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L+500, 02/26/2025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Scottsdale, AZ 85255</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Electronics</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Common Equity</w:t>
            </w:r>
          </w:p>
        </w:tc>
        <w:tc>
          <w:tcPr>
            <w:tcW w:w="13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5,619</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TAC LifePort Purchaser,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Aerospace and Defense</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40"/>
              <w:spacing w:after="0"/>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(TAC LifePort Holdings, LLC </w:t>
            </w:r>
            <w:r>
              <w:rPr>
                <w:rFonts w:ascii="Arial" w:cs="Arial" w:eastAsia="Arial" w:hAnsi="Arial"/>
                <w:sz w:val="12"/>
                <w:szCs w:val="12"/>
                <w:color w:val="auto"/>
              </w:rPr>
              <w:t>(5)</w:t>
            </w:r>
            <w:r>
              <w:rPr>
                <w:rFonts w:ascii="Arial" w:cs="Arial" w:eastAsia="Arial" w:hAnsi="Arial"/>
                <w:sz w:val="14"/>
                <w:szCs w:val="14"/>
                <w:color w:val="auto"/>
              </w:rPr>
              <w: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03/01/2026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1610 Heritage St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Woodland, WA 98674</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Aegis Technologies Group,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11,180</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4601 N. Fairfax Drive, Suite 900</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10/31/2025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22203</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The Bluebird Group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Business Services</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81 South Ninth Street, Suite 420,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L+700, 07/27/2026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Minneapolis, MN, 55402</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Vertex Companies,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(TWD Parent Holdings,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08/30/2027</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398 Libbey Industrial Pkwy,</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Weymouth, MA 02189</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TPC Canada Parent, Inc. and TPC US Parent, LLC</w:t>
            </w:r>
            <w:r>
              <w:rPr>
                <w:rFonts w:ascii="Arial" w:cs="Arial" w:eastAsia="Arial" w:hAnsi="Arial"/>
                <w:sz w:val="12"/>
                <w:szCs w:val="12"/>
                <w:color w:val="auto"/>
              </w:rPr>
              <w:t>(6)</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Food</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ind w:left="640"/>
              <w:spacing w:after="0"/>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(TPC Holding Company, LP</w:t>
            </w:r>
            <w:r>
              <w:rPr>
                <w:rFonts w:ascii="Arial" w:cs="Arial" w:eastAsia="Arial" w:hAnsi="Arial"/>
                <w:sz w:val="12"/>
                <w:szCs w:val="12"/>
                <w:color w:val="auto"/>
              </w:rPr>
              <w:t>(6)</w:t>
            </w:r>
            <w:r>
              <w:rPr>
                <w:rFonts w:ascii="Arial" w:cs="Arial" w:eastAsia="Arial" w:hAnsi="Arial"/>
                <w:sz w:val="14"/>
                <w:szCs w:val="14"/>
                <w:color w:val="auto"/>
              </w:rPr>
              <w: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L+525, 11/24/2025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151 Struthers Street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Warren, PA 16365</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Transportation</w:t>
            </w:r>
          </w:p>
        </w:tc>
        <w:tc>
          <w:tcPr>
            <w:tcW w:w="33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18,752</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L+575, 03/26/2026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Arial" w:cs="Arial" w:eastAsia="Arial" w:hAnsi="Arial"/>
                <w:sz w:val="14"/>
                <w:szCs w:val="14"/>
                <w:color w:val="auto"/>
              </w:rPr>
              <w:t>TWS Acquisition Corporation</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Education</w:t>
            </w: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3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120 N. 44th Street #230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L+625, 06/16/2025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Phoenix, AZ 85034</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34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680" w:type="dxa"/>
            <w:vAlign w:val="bottom"/>
            <w:gridSpan w:val="2"/>
            <w:vMerge w:val="continue"/>
          </w:tcPr>
          <w:p>
            <w:pPr>
              <w:spacing w:after="0"/>
              <w:rPr>
                <w:sz w:val="12"/>
                <w:szCs w:val="12"/>
                <w:color w:val="auto"/>
              </w:rPr>
            </w:pPr>
          </w:p>
        </w:tc>
        <w:tc>
          <w:tcPr>
            <w:tcW w:w="1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Nature of Business</w:t>
            </w:r>
          </w:p>
        </w:tc>
        <w:tc>
          <w:tcPr>
            <w:tcW w:w="3360" w:type="dxa"/>
            <w:vAlign w:val="bottom"/>
            <w:gridSpan w:val="2"/>
            <w:vMerge w:val="continue"/>
          </w:tcPr>
          <w:p>
            <w:pPr>
              <w:spacing w:after="0"/>
              <w:rPr>
                <w:sz w:val="12"/>
                <w:szCs w:val="12"/>
                <w:color w:val="auto"/>
              </w:rPr>
            </w:pPr>
          </w:p>
        </w:tc>
        <w:tc>
          <w:tcPr>
            <w:tcW w:w="134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8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4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Tyto Athene, LLC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00" w:type="dxa"/>
            <w:vAlign w:val="bottom"/>
            <w:tcBorders>
              <w:top w:val="single" w:sz="8" w:color="CCEEFF"/>
            </w:tcBorders>
            <w:shd w:val="clear" w:color="auto" w:fill="CCEEFF"/>
          </w:tcPr>
          <w:p>
            <w:pPr>
              <w:spacing w:after="0"/>
              <w:rPr>
                <w:sz w:val="9"/>
                <w:szCs w:val="9"/>
                <w:color w:val="auto"/>
              </w:rPr>
            </w:pPr>
          </w:p>
        </w:tc>
        <w:tc>
          <w:tcPr>
            <w:tcW w:w="31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0.2</w:t>
            </w:r>
          </w:p>
        </w:tc>
        <w:tc>
          <w:tcPr>
            <w:tcW w:w="520" w:type="dxa"/>
            <w:vAlign w:val="bottom"/>
            <w:tcBorders>
              <w:top w:val="single" w:sz="8" w:color="CCEEFF"/>
            </w:tcBorders>
            <w:shd w:val="clear" w:color="auto" w:fill="CCEEFF"/>
          </w:tcPr>
          <w:p>
            <w:pPr>
              <w:jc w:val="right"/>
              <w:ind w:right="33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5,437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(NXOF Holdings, Inc.)</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04/01/2026</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20170</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U.S. Well Services, Inc.</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Oil and Gas</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340" w:type="dxa"/>
            <w:vAlign w:val="bottom"/>
            <w:gridSpan w:val="2"/>
          </w:tcPr>
          <w:p>
            <w:pPr>
              <w:jc w:val="right"/>
              <w:ind w:right="338"/>
              <w:spacing w:after="0"/>
              <w:rPr>
                <w:sz w:val="20"/>
                <w:szCs w:val="20"/>
                <w:color w:val="auto"/>
              </w:rPr>
            </w:pPr>
            <w:r>
              <w:rPr>
                <w:rFonts w:ascii="Arial" w:cs="Arial" w:eastAsia="Arial" w:hAnsi="Arial"/>
                <w:sz w:val="14"/>
                <w:szCs w:val="14"/>
                <w:color w:val="auto"/>
              </w:rPr>
              <w:t>4.0%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Houston, TX 77056</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UniVista Insurance </w:t>
            </w:r>
            <w:r>
              <w:rPr>
                <w:rFonts w:ascii="Arial" w:cs="Arial" w:eastAsia="Arial" w:hAnsi="Arial"/>
                <w:sz w:val="12"/>
                <w:szCs w:val="12"/>
                <w:color w:val="auto"/>
              </w:rPr>
              <w:t>(5)</w:t>
            </w:r>
          </w:p>
        </w:tc>
        <w:tc>
          <w:tcPr>
            <w:tcW w:w="17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340" w:type="dxa"/>
            <w:vAlign w:val="bottom"/>
            <w:gridSpan w:val="2"/>
            <w:shd w:val="clear" w:color="auto" w:fill="CCEEFF"/>
          </w:tcPr>
          <w:p>
            <w:pPr>
              <w:jc w:val="right"/>
              <w:ind w:right="338"/>
              <w:spacing w:after="0" w:line="130"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528 NW 7th Ave,</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33136</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VT Topco, Inc.</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Business Services</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340" w:type="dxa"/>
            <w:vAlign w:val="bottom"/>
            <w:gridSpan w:val="2"/>
          </w:tcPr>
          <w:p>
            <w:pPr>
              <w:jc w:val="right"/>
              <w:ind w:right="338"/>
              <w:spacing w:after="0"/>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20,700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(Green Veracity Holdings, LP)</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L+675, 08/17/2026</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290 West Mount Pleasant Avenue, Suite 3200</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Livingston, NJ 07039</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Walker Edison Furniture Company LLC</w:t>
            </w:r>
          </w:p>
        </w:tc>
        <w:tc>
          <w:tcPr>
            <w:tcW w:w="17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Home and Office</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40" w:type="dxa"/>
            <w:vAlign w:val="bottom"/>
            <w:gridSpan w:val="2"/>
            <w:shd w:val="clear" w:color="auto" w:fill="CCEEFF"/>
          </w:tcPr>
          <w:p>
            <w:pPr>
              <w:jc w:val="right"/>
              <w:ind w:right="338"/>
              <w:spacing w:after="0" w:line="130" w:lineRule="exact"/>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28,265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(JWC-WE Holdings, L.P. </w:t>
            </w:r>
            <w:r>
              <w:rPr>
                <w:rFonts w:ascii="Arial" w:cs="Arial" w:eastAsia="Arial" w:hAnsi="Arial"/>
                <w:sz w:val="12"/>
                <w:szCs w:val="12"/>
                <w:color w:val="auto"/>
              </w:rPr>
              <w:t>(5)</w:t>
            </w:r>
            <w:r>
              <w:rPr>
                <w:rFonts w:ascii="Arial" w:cs="Arial" w:eastAsia="Arial" w:hAnsi="Arial"/>
                <w:sz w:val="14"/>
                <w:szCs w:val="14"/>
                <w:color w:val="auto"/>
              </w:rPr>
              <w:t>)</w:t>
            </w:r>
          </w:p>
        </w:tc>
        <w:tc>
          <w:tcPr>
            <w:tcW w:w="17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L+875, 03/31/2027</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Wildcat Buyerco, Inc.</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Electronics</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40" w:type="dxa"/>
            <w:vAlign w:val="bottom"/>
            <w:gridSpan w:val="2"/>
          </w:tcPr>
          <w:p>
            <w:pPr>
              <w:jc w:val="right"/>
              <w:ind w:right="338"/>
              <w:spacing w:after="0"/>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(Wildcat Parent, LP)</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L+575, 02/27/2026</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9730 Northcross Center Court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Zips Car Wash, LLC</w:t>
            </w:r>
          </w:p>
        </w:tc>
        <w:tc>
          <w:tcPr>
            <w:tcW w:w="1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5"/>
              </w:rPr>
              <w:t>Auto Sector</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40" w:type="dxa"/>
            <w:vAlign w:val="bottom"/>
            <w:gridSpan w:val="2"/>
            <w:shd w:val="clear" w:color="auto" w:fill="CCEEFF"/>
          </w:tcPr>
          <w:p>
            <w:pPr>
              <w:jc w:val="right"/>
              <w:ind w:right="53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22,955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1809 East Parker Road</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L+675, 03/01/2024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Jonesboro, AR 72404</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Companies 5% to 24% Owned</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7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Oil and Gas</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40" w:type="dxa"/>
            <w:vAlign w:val="bottom"/>
            <w:gridSpan w:val="2"/>
            <w:shd w:val="clear" w:color="auto" w:fill="CCEEFF"/>
          </w:tcPr>
          <w:p>
            <w:pPr>
              <w:jc w:val="right"/>
              <w:ind w:right="198"/>
              <w:spacing w:after="0" w:line="130" w:lineRule="exact"/>
              <w:rPr>
                <w:sz w:val="20"/>
                <w:szCs w:val="20"/>
                <w:color w:val="auto"/>
              </w:rPr>
            </w:pPr>
            <w:r>
              <w:rPr>
                <w:rFonts w:ascii="Arial" w:cs="Arial" w:eastAsia="Arial" w:hAnsi="Arial"/>
                <w:sz w:val="14"/>
                <w:szCs w:val="14"/>
                <w:color w:val="auto"/>
              </w:rPr>
              <w:t>14.4%</w:t>
            </w:r>
            <w:r>
              <w:rPr>
                <w:rFonts w:ascii="Arial" w:cs="Arial" w:eastAsia="Arial" w:hAnsi="Arial"/>
                <w:sz w:val="12"/>
                <w:szCs w:val="12"/>
                <w:color w:val="auto"/>
              </w:rPr>
              <w:t>(3)</w:t>
            </w:r>
          </w:p>
        </w:tc>
        <w:tc>
          <w:tcPr>
            <w:tcW w:w="9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10441 S. Regal Blvd. Ste. 210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74133</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Companies 25% or More Owned</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7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 and</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40" w:type="dxa"/>
            <w:vAlign w:val="bottom"/>
            <w:gridSpan w:val="2"/>
            <w:shd w:val="clear" w:color="auto" w:fill="CCEEFF"/>
          </w:tcPr>
          <w:p>
            <w:pPr>
              <w:jc w:val="right"/>
              <w:ind w:right="198"/>
              <w:spacing w:after="0" w:line="130" w:lineRule="exact"/>
              <w:rPr>
                <w:sz w:val="20"/>
                <w:szCs w:val="20"/>
                <w:color w:val="auto"/>
              </w:rPr>
            </w:pPr>
            <w:r>
              <w:rPr>
                <w:rFonts w:ascii="Arial" w:cs="Arial" w:eastAsia="Arial" w:hAnsi="Arial"/>
                <w:sz w:val="14"/>
                <w:szCs w:val="14"/>
                <w:color w:val="auto"/>
              </w:rPr>
              <w:t>81.8%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44,697</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7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L+700, 03/13/2024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Braddan, Isle of Man IM4 4LH</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MailSouth, Inc.</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Printing and Publishing</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340" w:type="dxa"/>
            <w:vAlign w:val="bottom"/>
            <w:gridSpan w:val="2"/>
          </w:tcPr>
          <w:p>
            <w:pPr>
              <w:jc w:val="right"/>
              <w:ind w:right="198"/>
              <w:spacing w:after="0"/>
              <w:rPr>
                <w:sz w:val="20"/>
                <w:szCs w:val="20"/>
                <w:color w:val="auto"/>
              </w:rPr>
            </w:pPr>
            <w:r>
              <w:rPr>
                <w:rFonts w:ascii="Arial" w:cs="Arial" w:eastAsia="Arial" w:hAnsi="Arial"/>
                <w:sz w:val="14"/>
                <w:szCs w:val="14"/>
                <w:color w:val="auto"/>
              </w:rPr>
              <w:t>51.1%</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11,506</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(MSpark, LLC)</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15.0% fixed (PIK 15.0%), 04/23/2025</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5901 Highway 52 East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gridSpan w:val="2"/>
          </w:tcPr>
          <w:p>
            <w:pPr>
              <w:spacing w:after="0"/>
              <w:rPr>
                <w:sz w:val="20"/>
                <w:szCs w:val="20"/>
                <w:color w:val="auto"/>
              </w:rPr>
            </w:pPr>
            <w:r>
              <w:rPr>
                <w:rFonts w:ascii="Arial" w:cs="Arial" w:eastAsia="Arial" w:hAnsi="Arial"/>
                <w:sz w:val="14"/>
                <w:szCs w:val="14"/>
                <w:color w:val="auto"/>
              </w:rPr>
              <w:t>Helena, AL 35080</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40" w:type="dxa"/>
            <w:vAlign w:val="bottom"/>
            <w:gridSpan w:val="2"/>
            <w:shd w:val="clear" w:color="auto" w:fill="CCEEFF"/>
          </w:tcPr>
          <w:p>
            <w:pPr>
              <w:jc w:val="right"/>
              <w:ind w:right="198"/>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51,122</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Arial" w:cs="Arial" w:eastAsia="Arial" w:hAnsi="Arial"/>
                <w:sz w:val="14"/>
                <w:szCs w:val="14"/>
                <w:color w:val="auto"/>
              </w:rPr>
              <w:t>PennantPark Senior Loan Fund, LLC</w:t>
            </w:r>
            <w:r>
              <w:rPr>
                <w:rFonts w:ascii="Arial" w:cs="Arial" w:eastAsia="Arial" w:hAnsi="Arial"/>
                <w:sz w:val="12"/>
                <w:szCs w:val="12"/>
                <w:color w:val="auto"/>
              </w:rPr>
              <w:t>(6)</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Financial Services</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Subordinated Debt,</w:t>
            </w:r>
          </w:p>
        </w:tc>
        <w:tc>
          <w:tcPr>
            <w:tcW w:w="1340" w:type="dxa"/>
            <w:vAlign w:val="bottom"/>
            <w:gridSpan w:val="2"/>
          </w:tcPr>
          <w:p>
            <w:pPr>
              <w:jc w:val="right"/>
              <w:ind w:right="198"/>
              <w:spacing w:after="0"/>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105,754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1691 Michigan Avenue, Miami Beach, FL 33139</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L+800, 07/31/2027</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PT Network Intermediate Holdings, LLC</w:t>
            </w:r>
            <w:r>
              <w:rPr>
                <w:rFonts w:ascii="Arial" w:cs="Arial" w:eastAsia="Arial" w:hAnsi="Arial"/>
                <w:sz w:val="12"/>
                <w:szCs w:val="12"/>
                <w:color w:val="auto"/>
              </w:rPr>
              <w:t>(5)</w:t>
            </w:r>
          </w:p>
        </w:tc>
        <w:tc>
          <w:tcPr>
            <w:tcW w:w="17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 and</w:t>
            </w:r>
          </w:p>
        </w:tc>
        <w:tc>
          <w:tcPr>
            <w:tcW w:w="33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Second Lien Secured Debt,</w:t>
            </w:r>
          </w:p>
        </w:tc>
        <w:tc>
          <w:tcPr>
            <w:tcW w:w="1340" w:type="dxa"/>
            <w:vAlign w:val="bottom"/>
            <w:gridSpan w:val="2"/>
            <w:shd w:val="clear" w:color="auto" w:fill="CCEEFF"/>
          </w:tcPr>
          <w:p>
            <w:pPr>
              <w:jc w:val="right"/>
              <w:ind w:right="198"/>
              <w:spacing w:after="0" w:line="130" w:lineRule="exact"/>
              <w:rPr>
                <w:sz w:val="20"/>
                <w:szCs w:val="20"/>
                <w:color w:val="auto"/>
              </w:rPr>
            </w:pPr>
            <w:r>
              <w:rPr>
                <w:rFonts w:ascii="Arial" w:cs="Arial" w:eastAsia="Arial" w:hAnsi="Arial"/>
                <w:sz w:val="14"/>
                <w:szCs w:val="14"/>
                <w:color w:val="auto"/>
              </w:rPr>
              <w:t>62.1%</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224,025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 LLC</w:t>
            </w:r>
            <w:r>
              <w:rPr>
                <w:rFonts w:ascii="Arial" w:cs="Arial" w:eastAsia="Arial" w:hAnsi="Arial"/>
                <w:sz w:val="12"/>
                <w:szCs w:val="12"/>
                <w:color w:val="auto"/>
              </w:rPr>
              <w:t>(5)</w:t>
            </w:r>
            <w:r>
              <w:rPr>
                <w:rFonts w:ascii="Arial" w:cs="Arial" w:eastAsia="Arial" w:hAnsi="Arial"/>
                <w:sz w:val="14"/>
                <w:szCs w:val="14"/>
                <w:color w:val="auto"/>
              </w:rPr>
              <w:t>)</w:t>
            </w:r>
          </w:p>
        </w:tc>
        <w:tc>
          <w:tcPr>
            <w:tcW w:w="17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L+1,000 PIK, 11/30/2024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34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00" w:type="dxa"/>
            <w:vAlign w:val="bottom"/>
            <w:gridSpan w:val="2"/>
            <w:vMerge w:val="continue"/>
          </w:tcPr>
          <w:p>
            <w:pPr>
              <w:spacing w:after="0"/>
              <w:rPr>
                <w:sz w:val="12"/>
                <w:szCs w:val="12"/>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Nature of Business</w:t>
            </w:r>
          </w:p>
        </w:tc>
        <w:tc>
          <w:tcPr>
            <w:tcW w:w="3280" w:type="dxa"/>
            <w:vAlign w:val="bottom"/>
            <w:gridSpan w:val="2"/>
            <w:vMerge w:val="continue"/>
          </w:tcPr>
          <w:p>
            <w:pPr>
              <w:spacing w:after="0"/>
              <w:rPr>
                <w:sz w:val="12"/>
                <w:szCs w:val="12"/>
                <w:color w:val="auto"/>
              </w:rPr>
            </w:pPr>
          </w:p>
        </w:tc>
        <w:tc>
          <w:tcPr>
            <w:tcW w:w="134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4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0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RAM Energy Holdings LLC</w:t>
            </w:r>
            <w:r>
              <w:rPr>
                <w:rFonts w:ascii="Arial" w:cs="Arial" w:eastAsia="Arial" w:hAnsi="Arial"/>
                <w:sz w:val="10"/>
                <w:szCs w:val="10"/>
                <w:color w:val="auto"/>
              </w:rPr>
              <w:t>(5)</w:t>
            </w:r>
          </w:p>
        </w:tc>
        <w:tc>
          <w:tcPr>
            <w:tcW w:w="1480" w:type="dxa"/>
            <w:vAlign w:val="bottom"/>
            <w:tcBorders>
              <w:top w:val="single" w:sz="8" w:color="auto"/>
            </w:tcBorders>
            <w:shd w:val="clear" w:color="auto" w:fill="CCEEFF"/>
          </w:tcPr>
          <w:p>
            <w:pPr>
              <w:ind w:left="160"/>
              <w:spacing w:after="0" w:line="109" w:lineRule="exact"/>
              <w:rPr>
                <w:sz w:val="20"/>
                <w:szCs w:val="20"/>
                <w:color w:val="auto"/>
              </w:rPr>
            </w:pPr>
            <w:r>
              <w:rPr>
                <w:rFonts w:ascii="Arial" w:cs="Arial" w:eastAsia="Arial" w:hAnsi="Arial"/>
                <w:sz w:val="12"/>
                <w:szCs w:val="12"/>
                <w:color w:val="auto"/>
              </w:rPr>
              <w:t>Energy and Utilities</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Common Equity</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100.0</w:t>
            </w:r>
          </w:p>
        </w:tc>
        <w:tc>
          <w:tcPr>
            <w:tcW w:w="520" w:type="dxa"/>
            <w:vAlign w:val="bottom"/>
            <w:tcBorders>
              <w:top w:val="single" w:sz="8" w:color="CCEEFF"/>
            </w:tcBorders>
            <w:shd w:val="clear" w:color="auto" w:fill="CCEEFF"/>
          </w:tcPr>
          <w:p>
            <w:pPr>
              <w:jc w:val="right"/>
              <w:ind w:right="19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76,461</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8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2100 South Utica Avenue, Ste. 165</w:t>
            </w: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74114</w:t>
            </w: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0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1,445,390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25"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12/31/21.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540" w:right="420" w:hanging="424"/>
        <w:spacing w:after="0" w:line="221"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90% of the Company’s total assets and non-qualifying assets represent 10% of the Company’s total assets.</w:t>
      </w:r>
    </w:p>
    <w:p>
      <w:pPr>
        <w:ind w:left="540" w:hanging="424"/>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2021: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PennantPark Senior Loan Fund, LLC (Financial Services)</w:t>
      </w:r>
    </w:p>
    <w:p>
      <w:pPr>
        <w:spacing w:after="0" w:line="117" w:lineRule="exact"/>
        <w:rPr>
          <w:sz w:val="20"/>
          <w:szCs w:val="20"/>
          <w:color w:val="auto"/>
        </w:rPr>
      </w:pPr>
    </w:p>
    <w:p>
      <w:pPr>
        <w:jc w:val="both"/>
        <w:ind w:left="1100" w:right="100"/>
        <w:spacing w:after="0" w:line="263" w:lineRule="auto"/>
        <w:rPr>
          <w:sz w:val="20"/>
          <w:szCs w:val="20"/>
          <w:color w:val="auto"/>
        </w:rPr>
      </w:pPr>
      <w:r>
        <w:rPr>
          <w:rFonts w:ascii="Arial" w:cs="Arial" w:eastAsia="Arial" w:hAnsi="Arial"/>
          <w:sz w:val="18"/>
          <w:szCs w:val="18"/>
          <w:color w:val="auto"/>
        </w:rPr>
        <w:t>PSLF is an unconsolidated joint venture between the Company and certain entities and managed accounts of the private credit investment manager of Pantheon Ventures (UK) LLP, or Pantheon, which invests primarily in middle-market and other corporate debt consistent with the Company’s strategy.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PT Network Intermediate Holdings, LLC is a provider of physical therapy, corporate wellness and occupational health services.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RAM Energy Holdings LLC (Energy and Utilities)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RAM Energy Holdings LLC is an exploration and production company focused on operations in the East Texas.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820" w:type="dxa"/>
            <w:vAlign w:val="bottom"/>
          </w:tcPr>
          <w:p>
            <w:pPr>
              <w:spacing w:after="0"/>
              <w:rPr>
                <w:sz w:val="14"/>
                <w:szCs w:val="14"/>
                <w:color w:val="auto"/>
              </w:rPr>
            </w:pPr>
          </w:p>
        </w:tc>
        <w:tc>
          <w:tcPr>
            <w:tcW w:w="28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2"/>
                <w:szCs w:val="12"/>
                <w:b w:val="1"/>
                <w:bCs w:val="1"/>
                <w:color w:val="auto"/>
              </w:rPr>
              <w:t>(1)</w:t>
            </w:r>
          </w:p>
        </w:tc>
        <w:tc>
          <w:tcPr>
            <w:tcW w:w="2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2021</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8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24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25%</w:t>
            </w:r>
          </w:p>
        </w:tc>
        <w:tc>
          <w:tcPr>
            <w:tcW w:w="58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Distribution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Auto Sector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Environmental Services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Building Materials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Home and Office Furnishings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Other Media</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Manufacturing / Basic Industries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Personal and Non-Durable Consumer Products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(1)Excludes investments in PSLF.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60"/>
          </w:cols>
          <w:pgMar w:left="320" w:top="459" w:right="11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José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8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6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to managing our investments, as of December 31, 2021,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20" w:type="dxa"/>
            <w:vAlign w:val="bottom"/>
            <w:vMerge w:val="restart"/>
          </w:tcPr>
          <w:p>
            <w:pPr>
              <w:spacing w:after="0"/>
              <w:rPr>
                <w:sz w:val="14"/>
                <w:szCs w:val="14"/>
                <w:color w:val="auto"/>
              </w:rPr>
            </w:pPr>
          </w:p>
        </w:tc>
        <w:tc>
          <w:tcPr>
            <w:tcW w:w="228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396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88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340" w:type="dxa"/>
            <w:vAlign w:val="bottom"/>
          </w:tcPr>
          <w:p>
            <w:pPr>
              <w:spacing w:after="0"/>
              <w:rPr>
                <w:sz w:val="15"/>
                <w:szCs w:val="15"/>
                <w:color w:val="auto"/>
              </w:rPr>
            </w:pPr>
          </w:p>
        </w:tc>
        <w:tc>
          <w:tcPr>
            <w:tcW w:w="36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w:t>
            </w:r>
          </w:p>
        </w:tc>
        <w:tc>
          <w:tcPr>
            <w:tcW w:w="3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company</w:t>
            </w:r>
          </w:p>
        </w:tc>
        <w:tc>
          <w:tcPr>
            <w:tcW w:w="3960" w:type="dxa"/>
            <w:vAlign w:val="bottom"/>
            <w:gridSpan w:val="2"/>
          </w:tcPr>
          <w:p>
            <w:pPr>
              <w:spacing w:after="0"/>
              <w:rPr>
                <w:sz w:val="20"/>
                <w:szCs w:val="20"/>
                <w:color w:val="auto"/>
              </w:rPr>
            </w:pPr>
            <w:r>
              <w:rPr>
                <w:rFonts w:ascii="Arial" w:cs="Arial" w:eastAsia="Arial" w:hAnsi="Arial"/>
                <w:sz w:val="16"/>
                <w:szCs w:val="16"/>
                <w:color w:val="auto"/>
              </w:rPr>
              <w:t>senior secured loans, in middle-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88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28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396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w:t>
            </w:r>
          </w:p>
        </w:tc>
        <w:tc>
          <w:tcPr>
            <w:tcW w:w="860" w:type="dxa"/>
            <w:vAlign w:val="bottom"/>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senior secured loans, in middle-market leveraged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880" w:type="dxa"/>
            <w:vAlign w:val="bottom"/>
            <w:gridSpan w:val="2"/>
          </w:tcPr>
          <w:p>
            <w:pPr>
              <w:spacing w:after="0"/>
              <w:rPr>
                <w:sz w:val="20"/>
                <w:szCs w:val="20"/>
                <w:color w:val="auto"/>
              </w:rPr>
            </w:pPr>
            <w:r>
              <w:rPr>
                <w:rFonts w:ascii="Arial" w:cs="Arial" w:eastAsia="Arial" w:hAnsi="Arial"/>
                <w:sz w:val="16"/>
                <w:szCs w:val="16"/>
                <w:color w:val="auto"/>
              </w:rPr>
              <w:t>PennantPark Senior Loan Fund, LLC</w:t>
            </w:r>
          </w:p>
        </w:tc>
        <w:tc>
          <w:tcPr>
            <w:tcW w:w="228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3960" w:type="dxa"/>
            <w:vAlign w:val="bottom"/>
            <w:gridSpan w:val="2"/>
          </w:tcPr>
          <w:p>
            <w:pPr>
              <w:spacing w:after="0"/>
              <w:rPr>
                <w:sz w:val="20"/>
                <w:szCs w:val="20"/>
                <w:color w:val="auto"/>
              </w:rPr>
            </w:pPr>
            <w:r>
              <w:rPr>
                <w:rFonts w:ascii="Arial" w:cs="Arial" w:eastAsia="Arial" w:hAnsi="Arial"/>
                <w:sz w:val="16"/>
                <w:szCs w:val="16"/>
                <w:color w:val="auto"/>
              </w:rPr>
              <w:t>Primarily invests in middle-market and other corporate</w:t>
            </w:r>
          </w:p>
        </w:tc>
        <w:tc>
          <w:tcPr>
            <w:tcW w:w="86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debt consistent with the Company’s strategy.</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88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280" w:type="dxa"/>
            <w:vAlign w:val="bottom"/>
            <w:gridSpan w:val="2"/>
          </w:tcPr>
          <w:p>
            <w:pPr>
              <w:spacing w:after="0"/>
              <w:rPr>
                <w:sz w:val="20"/>
                <w:szCs w:val="20"/>
                <w:color w:val="auto"/>
              </w:rPr>
            </w:pPr>
            <w:r>
              <w:rPr>
                <w:rFonts w:ascii="Arial" w:cs="Arial" w:eastAsia="Arial" w:hAnsi="Arial"/>
                <w:sz w:val="16"/>
                <w:szCs w:val="16"/>
                <w:color w:val="auto"/>
              </w:rPr>
              <w:t>Direct Lending</w:t>
            </w:r>
          </w:p>
        </w:tc>
        <w:tc>
          <w:tcPr>
            <w:tcW w:w="3960" w:type="dxa"/>
            <w:vAlign w:val="bottom"/>
            <w:gridSpan w:val="2"/>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Funds</w:t>
            </w:r>
          </w:p>
        </w:tc>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December 31, 2021.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9020" w:type="dxa"/>
            <w:vAlign w:val="bottom"/>
          </w:tcPr>
          <w:p>
            <w:pPr>
              <w:spacing w:after="0"/>
              <w:rPr>
                <w:sz w:val="12"/>
                <w:szCs w:val="12"/>
                <w:color w:val="auto"/>
              </w:rPr>
            </w:pPr>
          </w:p>
        </w:tc>
        <w:tc>
          <w:tcPr>
            <w:tcW w:w="20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9020" w:type="dxa"/>
            <w:vAlign w:val="bottom"/>
          </w:tcPr>
          <w:p>
            <w:pPr>
              <w:spacing w:after="0"/>
              <w:rPr>
                <w:sz w:val="12"/>
                <w:szCs w:val="12"/>
                <w:color w:val="auto"/>
              </w:rPr>
            </w:pPr>
          </w:p>
        </w:tc>
        <w:tc>
          <w:tcPr>
            <w:tcW w:w="20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71"/>
        </w:trPr>
        <w:tc>
          <w:tcPr>
            <w:tcW w:w="9020" w:type="dxa"/>
            <w:vAlign w:val="bottom"/>
          </w:tcPr>
          <w:p>
            <w:pPr>
              <w:spacing w:after="0"/>
              <w:rPr>
                <w:sz w:val="14"/>
                <w:szCs w:val="1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r>
      <w:tr>
        <w:trPr>
          <w:trHeight w:val="196"/>
        </w:trPr>
        <w:tc>
          <w:tcPr>
            <w:tcW w:w="90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Over $</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José A. Briones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500,001</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1,000,000</w:t>
            </w: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500,001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1,000,000</w:t>
            </w: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Ryan Raskopf</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500,001</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1,000,000</w:t>
            </w: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Dan Horn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500,000</w:t>
            </w: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James Stone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Steve Winograd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320" w:hanging="424"/>
        <w:spacing w:after="0" w:line="257"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7" w:lineRule="exact"/>
        <w:rPr>
          <w:sz w:val="20"/>
          <w:szCs w:val="20"/>
          <w:color w:val="auto"/>
        </w:rPr>
      </w:pPr>
    </w:p>
    <w:p>
      <w:pPr>
        <w:ind w:left="10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our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SEC recently adopted Rule 2a-5 under the 1940 Act which established requirements for determining fair value in good faith purposes of the 1940 Act. We will comply with the requirement of the rule before the required compliance date in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2640" w:hanging="4884"/>
        <w:spacing w:after="0" w:line="449" w:lineRule="auto"/>
        <w:tabs>
          <w:tab w:leader="none" w:pos="10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 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54"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2021,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March 14, 2022 was $7.67 per share. As of December 31, 2021, we had 6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2023, 2024 and 2025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9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original issue discount, or “OID”;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2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60" w:hanging="4884"/>
        <w:spacing w:after="0" w:line="490" w:lineRule="auto"/>
        <w:tabs>
          <w:tab w:leader="none" w:pos="10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80" w:right="4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120" w:right="20" w:hanging="4"/>
        <w:spacing w:after="0" w:line="252" w:lineRule="auto"/>
        <w:tabs>
          <w:tab w:leader="none" w:pos="3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 supplement the U.S. federal income tax considerations applicable to holders of our debt securities who are not “U.S. persons.”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540" w:hanging="439"/>
        <w:spacing w:after="0" w:line="286" w:lineRule="auto"/>
        <w:tabs>
          <w:tab w:leader="none" w:pos="15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6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capital gains rather than distribute such amount as dividends and accordingly cause us to bear the excise tax burden associated therewith.</w:t>
      </w:r>
    </w:p>
    <w:p>
      <w:pPr>
        <w:spacing w:after="0" w:line="23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8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 portfolio company in which we invest may face financial difficulty that requires us to work-out, modify or otherwise restructure our investment in the portfolio company. Any such restructuring could, depending 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jc w:val="both"/>
        <w:ind w:left="120" w:right="120" w:hanging="4"/>
        <w:spacing w:after="0" w:line="281" w:lineRule="auto"/>
        <w:tabs>
          <w:tab w:leader="none" w:pos="3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w:t>
      </w:r>
    </w:p>
    <w:p>
      <w:pPr>
        <w:spacing w:after="0" w:line="1" w:lineRule="exact"/>
        <w:rPr>
          <w:rFonts w:ascii="Arial" w:cs="Arial" w:eastAsia="Arial" w:hAnsi="Arial"/>
          <w:sz w:val="16"/>
          <w:szCs w:val="16"/>
          <w:color w:val="auto"/>
        </w:rPr>
      </w:pPr>
    </w:p>
    <w:p>
      <w:pPr>
        <w:ind w:left="120" w:right="40" w:hanging="4"/>
        <w:spacing w:after="0" w:line="253" w:lineRule="auto"/>
        <w:tabs>
          <w:tab w:leader="none" w:pos="3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1"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6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5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6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promulgated guidance for publicly offered RICs stating that as long as at least 20% (10% of distributions declared on or before June 30, 2022)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6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7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Distributions out of our current and accumulated earnings and profits will not be eligible for the 20% pass through deduction under Section 199A of the Code.</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6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2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their own tax advisors. Backup withholding will not be applied to payments that have been subject to the 30% (or lower applicable treaty rate) withholding tax described in this paragraph.</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9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AST serves as trustee under our 2026 Notes and 2026 Notes-2.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5"/>
          <w:szCs w:val="15"/>
          <w:color w:val="auto"/>
        </w:rPr>
        <w:t>rd</w:t>
      </w:r>
      <w:r>
        <w:rPr>
          <w:rFonts w:ascii="Arial" w:cs="Arial" w:eastAsia="Arial" w:hAnsi="Arial"/>
          <w:sz w:val="18"/>
          <w:szCs w:val="18"/>
          <w:color w:val="auto"/>
        </w:rPr>
        <w:t xml:space="preserve"> Floor, Brooklyn, NY 11219, telephone number: (800) 937-5449.</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PennantPark Investment Corporation as of September 30, 2021 and 2020 and for each of the years in the three-year period ended September 30, 2021 and the effectiveness of internal control over financial reporting as of September 30, 2021 incorporated in this Prospectus by reference from the PennantPark Investment Corporation Annual Report on Form 10-K for the year ended September 30, 2021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senior securities table of the Company included in this Prospectus and elsewhere in the Registration Statement has been included in reliance upon the report of RSM US LLP, an independent registered public accounting firm, as stated in their report filed as exhibit 99.5 to the Company’s Annual Report on Form 10-K for the year ended September 30, 2021, which is incorporated herein by reference.</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consolidated financial statements of RAM Energy Holdings LLC as of and for the years ended September 30, 2021, 2020, and 2019 incorporated by reference in this Prospectus and in the Registration Statement have been so incorporated in reliance on the reports of BDO USA, LLP, an independent auditor, incorporated herein by reference, given on the authority of said firm as experts in auditing and accounting.</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2021, filed with the SEC on November 17, 2021, including the information specifically incorporated by reference to the Form 10-K from out Definitive Proxy Statement on </w:t>
      </w:r>
      <w:hyperlink r:id="rId10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9, 2021;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our Quarterly Report on </w:t>
      </w:r>
      <w:hyperlink r:id="rId110">
        <w:r>
          <w:rPr>
            <w:rFonts w:ascii="Arial" w:cs="Arial" w:eastAsia="Arial" w:hAnsi="Arial"/>
            <w:sz w:val="17"/>
            <w:szCs w:val="17"/>
            <w:u w:val="single" w:color="auto"/>
            <w:color w:val="0000EE"/>
          </w:rPr>
          <w:t>Form 10-Q</w:t>
        </w:r>
      </w:hyperlink>
      <w:r>
        <w:rPr>
          <w:rFonts w:ascii="Arial" w:cs="Arial" w:eastAsia="Arial" w:hAnsi="Arial"/>
          <w:sz w:val="17"/>
          <w:szCs w:val="17"/>
          <w:color w:val="auto"/>
        </w:rPr>
        <w:t>, filed with the SEC for the quarterly period ended December 31, 2021 filed on February 9, 2022;</w:t>
      </w:r>
    </w:p>
    <w:p>
      <w:pPr>
        <w:spacing w:after="0" w:line="142"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1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001-33418), as filed with the SEC on April 19, 2007,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7"/>
          <w:szCs w:val="17"/>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7"/>
          <w:szCs w:val="17"/>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10120" w:type="dxa"/>
            <w:vAlign w:val="bottom"/>
            <w:gridSpan w:val="2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860" w:type="dxa"/>
            <w:vAlign w:val="bottom"/>
          </w:tcPr>
          <w:p>
            <w:pPr>
              <w:jc w:val="center"/>
              <w:ind w:right="430"/>
              <w:spacing w:after="0"/>
              <w:rPr>
                <w:sz w:val="20"/>
                <w:szCs w:val="20"/>
                <w:color w:val="auto"/>
              </w:rPr>
            </w:pPr>
            <w:r>
              <w:rPr>
                <w:rFonts w:ascii="Arial" w:cs="Arial" w:eastAsia="Arial" w:hAnsi="Arial"/>
                <w:sz w:val="18"/>
                <w:szCs w:val="18"/>
                <w:color w:val="auto"/>
                <w:w w:val="99"/>
              </w:rPr>
              <w:t>1</w:t>
            </w:r>
          </w:p>
        </w:tc>
        <w:tc>
          <w:tcPr>
            <w:tcW w:w="90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i w:val="1"/>
                <w:iCs w:val="1"/>
                <w:color w:val="auto"/>
              </w:rPr>
              <w:t>Financial Statements</w:t>
            </w:r>
          </w:p>
        </w:tc>
      </w:tr>
      <w:tr>
        <w:trPr>
          <w:trHeight w:val="283"/>
        </w:trPr>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20" w:type="dxa"/>
            <w:vAlign w:val="bottom"/>
            <w:gridSpan w:val="22"/>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The consolidated financial statements included in the Company’s quarterly report on </w:t>
            </w:r>
            <w:hyperlink r:id="rId110">
              <w:r>
                <w:rPr>
                  <w:rFonts w:ascii="Arial" w:cs="Arial" w:eastAsia="Arial" w:hAnsi="Arial"/>
                  <w:sz w:val="18"/>
                  <w:szCs w:val="18"/>
                  <w:color w:val="0000EE"/>
                  <w:w w:val="98"/>
                </w:rPr>
                <w:t>Form 10-Q</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for the quarter ended</w:t>
            </w:r>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w w:val="93"/>
              </w:rPr>
              <w:t>December 31, 2021 have been incorporated by reference in this registration statement in “Part A—Information Required in a</w:t>
            </w:r>
          </w:p>
        </w:tc>
      </w:tr>
      <w:tr>
        <w:trPr>
          <w:trHeight w:val="230"/>
        </w:trPr>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rPr>
              <w:t>Prospectus.”</w:t>
            </w:r>
          </w:p>
        </w:tc>
      </w:tr>
      <w:tr>
        <w:trPr>
          <w:trHeight w:val="323"/>
        </w:trPr>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w w:val="90"/>
              </w:rPr>
              <w:t>The consolidated financial statements as of September 30, 2021 and September 30, 2020 and for each of the three years in the</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w w:val="89"/>
              </w:rPr>
              <w:t>period ended September 30, 2021 and management’s assessment of the effectiveness of internal control over financial reporting</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w w:val="91"/>
              </w:rPr>
              <w:t>(which is included in Management’s Report on Internal Control over Financial Reporting) as of September 30, 2021 have been</w:t>
            </w:r>
          </w:p>
        </w:tc>
      </w:tr>
      <w:tr>
        <w:trPr>
          <w:trHeight w:val="230"/>
        </w:trPr>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rPr>
              <w:t>incorporated by reference in this registration statement in “Part A—Information Required in a Prospectus.”</w:t>
            </w:r>
          </w:p>
        </w:tc>
      </w:tr>
      <w:tr>
        <w:trPr>
          <w:trHeight w:val="338"/>
        </w:trPr>
        <w:tc>
          <w:tcPr>
            <w:tcW w:w="860" w:type="dxa"/>
            <w:vAlign w:val="bottom"/>
          </w:tcPr>
          <w:p>
            <w:pPr>
              <w:jc w:val="center"/>
              <w:ind w:right="430"/>
              <w:spacing w:after="0"/>
              <w:rPr>
                <w:sz w:val="20"/>
                <w:szCs w:val="20"/>
                <w:color w:val="auto"/>
              </w:rPr>
            </w:pPr>
            <w:r>
              <w:rPr>
                <w:rFonts w:ascii="Arial" w:cs="Arial" w:eastAsia="Arial" w:hAnsi="Arial"/>
                <w:sz w:val="18"/>
                <w:szCs w:val="18"/>
                <w:color w:val="auto"/>
                <w:w w:val="99"/>
              </w:rPr>
              <w:t>2</w:t>
            </w:r>
          </w:p>
        </w:tc>
        <w:tc>
          <w:tcPr>
            <w:tcW w:w="90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Arial" w:cs="Arial" w:eastAsia="Arial" w:hAnsi="Arial"/>
                <w:sz w:val="18"/>
                <w:szCs w:val="18"/>
                <w:color w:val="auto"/>
              </w:rPr>
              <w:t>Exhibits</w:t>
            </w:r>
          </w:p>
        </w:tc>
      </w:tr>
      <w:tr>
        <w:trPr>
          <w:trHeight w:val="283"/>
        </w:trPr>
        <w:tc>
          <w:tcPr>
            <w:tcW w:w="860" w:type="dxa"/>
            <w:vAlign w:val="bottom"/>
          </w:tcPr>
          <w:p>
            <w:pPr>
              <w:jc w:val="center"/>
              <w:ind w:right="410"/>
              <w:spacing w:after="0"/>
              <w:rPr>
                <w:sz w:val="20"/>
                <w:szCs w:val="20"/>
                <w:color w:val="auto"/>
              </w:rPr>
            </w:pPr>
            <w:r>
              <w:rPr>
                <w:rFonts w:ascii="Arial" w:cs="Arial" w:eastAsia="Arial" w:hAnsi="Arial"/>
                <w:sz w:val="18"/>
                <w:szCs w:val="18"/>
                <w:color w:val="auto"/>
                <w:w w:val="90"/>
              </w:rPr>
              <w:t>(a)</w:t>
            </w:r>
          </w:p>
        </w:tc>
        <w:tc>
          <w:tcPr>
            <w:tcW w:w="900" w:type="dxa"/>
            <w:vAlign w:val="bottom"/>
          </w:tcPr>
          <w:p>
            <w:pPr>
              <w:spacing w:after="0"/>
              <w:rPr>
                <w:sz w:val="24"/>
                <w:szCs w:val="24"/>
                <w:color w:val="auto"/>
              </w:rPr>
            </w:pPr>
          </w:p>
        </w:tc>
        <w:tc>
          <w:tcPr>
            <w:tcW w:w="8680" w:type="dxa"/>
            <w:vAlign w:val="bottom"/>
            <w:tcBorders>
              <w:bottom w:val="single" w:sz="8" w:color="0000EE"/>
            </w:tcBorders>
            <w:gridSpan w:val="14"/>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Articles of Amendment and Restatement of the Registrant (Incorporated by reference to Exhibit 99(a) to the Registrant’s</w:t>
              </w:r>
            </w:hyperlink>
          </w:p>
        </w:tc>
        <w:tc>
          <w:tcPr>
            <w:tcW w:w="54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20" w:type="dxa"/>
            <w:vAlign w:val="bottom"/>
            <w:gridSpan w:val="22"/>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Pre-Effective Amendment No. 3 to the Registration Statement on Form N-2/A (File No. 333-140092), filed on April 5, 2007).</w:t>
              </w:r>
            </w:hyperlink>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tcPr>
          <w:p>
            <w:pPr>
              <w:jc w:val="center"/>
              <w:ind w:right="430"/>
              <w:spacing w:after="0"/>
              <w:rPr>
                <w:sz w:val="20"/>
                <w:szCs w:val="20"/>
                <w:color w:val="auto"/>
              </w:rPr>
            </w:pPr>
            <w:r>
              <w:rPr>
                <w:rFonts w:ascii="Arial" w:cs="Arial" w:eastAsia="Arial" w:hAnsi="Arial"/>
                <w:sz w:val="18"/>
                <w:szCs w:val="18"/>
                <w:color w:val="auto"/>
                <w:w w:val="99"/>
              </w:rPr>
              <w:t>(b)</w:t>
            </w:r>
          </w:p>
        </w:tc>
        <w:tc>
          <w:tcPr>
            <w:tcW w:w="90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Second Amended and Restated Bylaws of the Registrant (Incorporated by reference to Exhibit 3.2 to the Registrant’s Quarterly</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20" w:type="dxa"/>
            <w:vAlign w:val="bottom"/>
            <w:gridSpan w:val="2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Report on Form 10-Q (File No. 814-00736), filed on May 11, 2020).</w:t>
              </w:r>
            </w:hyperlink>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(d)(1)</w:t>
            </w:r>
          </w:p>
        </w:tc>
        <w:tc>
          <w:tcPr>
            <w:tcW w:w="900" w:type="dxa"/>
            <w:vAlign w:val="bottom"/>
          </w:tcPr>
          <w:p>
            <w:pPr>
              <w:spacing w:after="0"/>
              <w:rPr>
                <w:sz w:val="24"/>
                <w:szCs w:val="24"/>
                <w:color w:val="auto"/>
              </w:rPr>
            </w:pPr>
          </w:p>
        </w:tc>
        <w:tc>
          <w:tcPr>
            <w:tcW w:w="9220" w:type="dxa"/>
            <w:vAlign w:val="bottom"/>
            <w:gridSpan w:val="22"/>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Form of Share Certificate (Incorporated by reference to Exhibit 99.(d)(1) to the Registrant’s Registration Statement on Form</w:t>
              </w:r>
            </w:hyperlink>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N-2 (File No. 333-150033), filed on April 2, 2008).</w:t>
              </w:r>
            </w:hyperlink>
          </w:p>
        </w:tc>
        <w:tc>
          <w:tcPr>
            <w:tcW w:w="5240" w:type="dxa"/>
            <w:vAlign w:val="bottom"/>
            <w:tcBorders>
              <w:top w:val="single" w:sz="8" w:color="0000EE"/>
            </w:tcBorders>
            <w:gridSpan w:val="13"/>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(d)(2)</w:t>
            </w:r>
          </w:p>
        </w:tc>
        <w:tc>
          <w:tcPr>
            <w:tcW w:w="900" w:type="dxa"/>
            <w:vAlign w:val="bottom"/>
          </w:tcPr>
          <w:p>
            <w:pPr>
              <w:spacing w:after="0"/>
              <w:rPr>
                <w:sz w:val="24"/>
                <w:szCs w:val="24"/>
                <w:color w:val="auto"/>
              </w:rPr>
            </w:pPr>
          </w:p>
        </w:tc>
        <w:tc>
          <w:tcPr>
            <w:tcW w:w="9220" w:type="dxa"/>
            <w:vAlign w:val="bottom"/>
            <w:tcBorders>
              <w:bottom w:val="single" w:sz="8" w:color="0000EE"/>
            </w:tcBorders>
            <w:gridSpan w:val="2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Subscription Certificate (Incorporated by reference to Exhibit 99.(d)(2) to the Registrant’s Pre-Effective Amendment to</w:t>
              </w:r>
            </w:hyperlink>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the Registration Statement on Form N-2/A (File No. 333-150033), filed on May 30, 2008).</w:t>
              </w:r>
            </w:hyperlink>
          </w:p>
        </w:tc>
        <w:tc>
          <w:tcPr>
            <w:tcW w:w="2680" w:type="dxa"/>
            <w:vAlign w:val="bottom"/>
            <w:gridSpan w:val="13"/>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(d)(3)</w:t>
            </w:r>
          </w:p>
        </w:tc>
        <w:tc>
          <w:tcPr>
            <w:tcW w:w="900" w:type="dxa"/>
            <w:vAlign w:val="bottom"/>
          </w:tcPr>
          <w:p>
            <w:pPr>
              <w:spacing w:after="0"/>
              <w:rPr>
                <w:sz w:val="24"/>
                <w:szCs w:val="24"/>
                <w:color w:val="auto"/>
              </w:rPr>
            </w:pPr>
          </w:p>
        </w:tc>
        <w:tc>
          <w:tcPr>
            <w:tcW w:w="9220" w:type="dxa"/>
            <w:vAlign w:val="bottom"/>
            <w:gridSpan w:val="22"/>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Form of Subscription Agent Agreement (Incorporated by reference to Exhibit 99.(d)(4) to the Registrant’s Pre-Effective</w:t>
              </w:r>
            </w:hyperlink>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Amendment to the Registration Statement on Form N-2/A (File No. 333-150033), filed on May 30, 2008).</w:t>
              </w:r>
            </w:hyperlink>
          </w:p>
        </w:tc>
        <w:tc>
          <w:tcPr>
            <w:tcW w:w="960" w:type="dxa"/>
            <w:vAlign w:val="bottom"/>
            <w:tcBorders>
              <w:top w:val="single" w:sz="8" w:color="0000EE"/>
            </w:tcBorders>
            <w:gridSpan w:val="2"/>
          </w:tcPr>
          <w:p>
            <w:pPr>
              <w:spacing w:after="0"/>
              <w:rPr>
                <w:sz w:val="17"/>
                <w:szCs w:val="17"/>
                <w:color w:val="auto"/>
              </w:rPr>
            </w:pPr>
          </w:p>
        </w:tc>
        <w:tc>
          <w:tcPr>
            <w:tcW w:w="600" w:type="dxa"/>
            <w:vAlign w:val="bottom"/>
            <w:gridSpan w:val="9"/>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(d)(4)</w:t>
            </w:r>
          </w:p>
        </w:tc>
        <w:tc>
          <w:tcPr>
            <w:tcW w:w="90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Warrant Agreement (Incorporated by reference to Exhibit 99.(d)(5) to the Registrant’s Pre-Effective Amendment to the</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20" w:type="dxa"/>
            <w:vAlign w:val="bottom"/>
            <w:gridSpan w:val="2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Registration Statement on Form N-2/A (File No. 333-150033), filed on May 30, 2008).</w:t>
              </w:r>
            </w:hyperlink>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(d)(5)*</w:t>
            </w:r>
          </w:p>
        </w:tc>
        <w:tc>
          <w:tcPr>
            <w:tcW w:w="900" w:type="dxa"/>
            <w:vAlign w:val="bottom"/>
          </w:tcPr>
          <w:p>
            <w:pPr>
              <w:spacing w:after="0"/>
              <w:rPr>
                <w:sz w:val="24"/>
                <w:szCs w:val="24"/>
                <w:color w:val="auto"/>
              </w:rPr>
            </w:pPr>
          </w:p>
        </w:tc>
        <w:tc>
          <w:tcPr>
            <w:tcW w:w="6260" w:type="dxa"/>
            <w:vAlign w:val="bottom"/>
            <w:tcBorders>
              <w:top w:val="single" w:sz="8" w:color="0000EE"/>
            </w:tcBorders>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Form T-1 Statement of Eligibility with respect to the Form of Indenture.</w:t>
              </w:r>
            </w:hyperlink>
          </w:p>
        </w:tc>
        <w:tc>
          <w:tcPr>
            <w:tcW w:w="2960" w:type="dxa"/>
            <w:vAlign w:val="bottom"/>
            <w:gridSpan w:val="15"/>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(d)(6)</w:t>
            </w:r>
          </w:p>
        </w:tc>
        <w:tc>
          <w:tcPr>
            <w:tcW w:w="90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Articles Supplementary (Incorporated by reference to Exhibit 2(d)(7) to the Registrant’s Pre-Effective Amendment to</w:t>
              </w:r>
            </w:hyperlink>
          </w:p>
        </w:tc>
        <w:tc>
          <w:tcPr>
            <w:tcW w:w="12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the Registration Statement on Form N-2/A (File No. 333-172524), filed August 22, 2011).</w:t>
              </w:r>
            </w:hyperlink>
          </w:p>
        </w:tc>
        <w:tc>
          <w:tcPr>
            <w:tcW w:w="2720" w:type="dxa"/>
            <w:vAlign w:val="bottom"/>
            <w:gridSpan w:val="14"/>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(d)(7)</w:t>
            </w:r>
          </w:p>
        </w:tc>
        <w:tc>
          <w:tcPr>
            <w:tcW w:w="900" w:type="dxa"/>
            <w:vAlign w:val="bottom"/>
          </w:tcPr>
          <w:p>
            <w:pPr>
              <w:spacing w:after="0"/>
              <w:rPr>
                <w:sz w:val="24"/>
                <w:szCs w:val="24"/>
                <w:color w:val="auto"/>
              </w:rPr>
            </w:pPr>
          </w:p>
        </w:tc>
        <w:tc>
          <w:tcPr>
            <w:tcW w:w="9220" w:type="dxa"/>
            <w:vAlign w:val="bottom"/>
            <w:gridSpan w:val="22"/>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Base Indenture, dated as of January 22, 2013, relating to the 6.25% Senior Notes due 2025, between the Registrant and</w:t>
              </w:r>
            </w:hyperlink>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5180" w:type="dxa"/>
            <w:vAlign w:val="bottom"/>
            <w:gridSpan w:val="10"/>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American Stock Transfer &amp; Trust Company, LLC, as trustee (Incorporated by reference to Exhibit 99.(d)(8) to the Registrant’s</w:t>
              </w:r>
            </w:hyperlink>
          </w:p>
        </w:tc>
        <w:tc>
          <w:tcPr>
            <w:tcW w:w="6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20" w:type="dxa"/>
            <w:vAlign w:val="bottom"/>
            <w:gridSpan w:val="22"/>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Post-Effective Amendment No. 4 to the Registration Statement on Form N-2/A (File No. 333-172524), filed on January 22,</w:t>
              </w:r>
            </w:hyperlink>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360" w:type="dxa"/>
            <w:vAlign w:val="bottom"/>
            <w:gridSpan w:val="2"/>
          </w:tcPr>
          <w:p>
            <w:pPr>
              <w:ind w:left="900"/>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2013).</w:t>
              </w:r>
            </w:hyperlink>
          </w:p>
        </w:tc>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7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Arial" w:cs="Arial" w:eastAsia="Arial" w:hAnsi="Arial"/>
                <w:sz w:val="18"/>
                <w:szCs w:val="18"/>
                <w:color w:val="auto"/>
              </w:rPr>
              <w:t>(d)(8)</w:t>
            </w:r>
          </w:p>
        </w:tc>
        <w:tc>
          <w:tcPr>
            <w:tcW w:w="900" w:type="dxa"/>
            <w:vAlign w:val="bottom"/>
          </w:tcPr>
          <w:p>
            <w:pPr>
              <w:spacing w:after="0"/>
              <w:rPr>
                <w:sz w:val="24"/>
                <w:szCs w:val="24"/>
                <w:color w:val="auto"/>
              </w:rPr>
            </w:pPr>
          </w:p>
        </w:tc>
        <w:tc>
          <w:tcPr>
            <w:tcW w:w="9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Third Supplemental Indenture, dated as of September 27, 2019, by and between the Registrant and American Stock Transfer &amp;</w:t>
              </w:r>
            </w:hyperlink>
          </w:p>
        </w:tc>
        <w:tc>
          <w:tcPr>
            <w:tcW w:w="4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1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Trust Company, LLC, as trustee (Incorporated by reference to Exhibit 4.1 to the Registrant’s Current Report on Form 8-K (File</w:t>
              </w:r>
            </w:hyperlink>
          </w:p>
        </w:tc>
        <w:tc>
          <w:tcPr>
            <w:tcW w:w="8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20" w:type="dxa"/>
            <w:vAlign w:val="bottom"/>
            <w:gridSpan w:val="2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No. 814-00736), filed on September 27, 2019).</w:t>
              </w:r>
            </w:hyperlink>
          </w:p>
        </w:tc>
      </w:tr>
      <w:tr>
        <w:trPr>
          <w:trHeight w:val="385"/>
        </w:trPr>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5800" w:type="dxa"/>
            <w:vAlign w:val="bottom"/>
            <w:gridSpan w:val="20"/>
          </w:tcPr>
          <w:p>
            <w:pPr>
              <w:ind w:left="18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100"/>
          </w:cols>
          <w:pgMar w:left="320" w:top="459" w:right="47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93"/>
        </w:trPr>
        <w:tc>
          <w:tcPr>
            <w:tcW w:w="1360" w:type="dxa"/>
            <w:vAlign w:val="bottom"/>
          </w:tcPr>
          <w:p>
            <w:pPr>
              <w:ind w:left="180"/>
              <w:spacing w:after="0"/>
              <w:rPr>
                <w:sz w:val="20"/>
                <w:szCs w:val="20"/>
                <w:color w:val="auto"/>
              </w:rPr>
            </w:pPr>
            <w:r>
              <w:rPr>
                <w:rFonts w:ascii="Arial" w:cs="Arial" w:eastAsia="Arial" w:hAnsi="Arial"/>
                <w:sz w:val="18"/>
                <w:szCs w:val="18"/>
                <w:color w:val="auto"/>
              </w:rPr>
              <w:t>(d)(9)</w:t>
            </w:r>
          </w:p>
        </w:tc>
        <w:tc>
          <w:tcPr>
            <w:tcW w:w="520" w:type="dxa"/>
            <w:vAlign w:val="bottom"/>
          </w:tcPr>
          <w:p>
            <w:pPr>
              <w:spacing w:after="0"/>
              <w:rPr>
                <w:sz w:val="24"/>
                <w:szCs w:val="24"/>
                <w:color w:val="auto"/>
              </w:rPr>
            </w:pPr>
          </w:p>
        </w:tc>
        <w:tc>
          <w:tcPr>
            <w:tcW w:w="9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Fourth Supplemental Indenture, dated as of April 21, 2021, by and between the Company and American Stock Transfer &amp; Trust</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Company, LLC, as trustee (Incorporated by reference to Exhibit 4.1 to the Registrant’s Form 8-K (File No. 814-00736), filed</w:t>
              </w:r>
            </w:hyperlink>
          </w:p>
        </w:tc>
        <w:tc>
          <w:tcPr>
            <w:tcW w:w="24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April 22, 2021).</w:t>
              </w:r>
            </w:hyperlink>
          </w:p>
        </w:tc>
        <w:tc>
          <w:tcPr>
            <w:tcW w:w="8080" w:type="dxa"/>
            <w:vAlign w:val="bottom"/>
            <w:gridSpan w:val="26"/>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(d)(10)</w:t>
            </w:r>
          </w:p>
        </w:tc>
        <w:tc>
          <w:tcPr>
            <w:tcW w:w="520" w:type="dxa"/>
            <w:vAlign w:val="bottom"/>
          </w:tcPr>
          <w:p>
            <w:pPr>
              <w:spacing w:after="0"/>
              <w:rPr>
                <w:sz w:val="24"/>
                <w:szCs w:val="24"/>
                <w:color w:val="auto"/>
              </w:rPr>
            </w:pPr>
          </w:p>
        </w:tc>
        <w:tc>
          <w:tcPr>
            <w:tcW w:w="9240" w:type="dxa"/>
            <w:vAlign w:val="bottom"/>
            <w:gridSpan w:val="28"/>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4.50% Notes due 2026 (included as part of Exhibit (d)(9)).</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(d)(11)</w:t>
            </w:r>
          </w:p>
        </w:tc>
        <w:tc>
          <w:tcPr>
            <w:tcW w:w="520" w:type="dxa"/>
            <w:vAlign w:val="bottom"/>
          </w:tcPr>
          <w:p>
            <w:pPr>
              <w:spacing w:after="0"/>
              <w:rPr>
                <w:sz w:val="24"/>
                <w:szCs w:val="24"/>
                <w:color w:val="auto"/>
              </w:rPr>
            </w:pPr>
          </w:p>
        </w:tc>
        <w:tc>
          <w:tcPr>
            <w:tcW w:w="8920" w:type="dxa"/>
            <w:vAlign w:val="bottom"/>
            <w:tcBorders>
              <w:bottom w:val="single" w:sz="8" w:color="0000EE"/>
            </w:tcBorders>
            <w:gridSpan w:val="17"/>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Fifth Supplemental Indenture, dated as of October 21, 2021, by and between the Company and American Stock Transfer &amp;</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Trust Company, LLC, as trustee (Incorporated by reference to Exhibit 4.1 to the Registrant’s Form 8-K (File No. 814-00736),</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filed on October 21, 2021).</w:t>
              </w:r>
            </w:hyperlink>
          </w:p>
        </w:tc>
        <w:tc>
          <w:tcPr>
            <w:tcW w:w="7020" w:type="dxa"/>
            <w:vAlign w:val="bottom"/>
            <w:tcBorders>
              <w:top w:val="single" w:sz="8" w:color="0000EE"/>
            </w:tcBorders>
            <w:gridSpan w:val="1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(d)(12)</w:t>
            </w:r>
          </w:p>
        </w:tc>
        <w:tc>
          <w:tcPr>
            <w:tcW w:w="520" w:type="dxa"/>
            <w:vAlign w:val="bottom"/>
          </w:tcPr>
          <w:p>
            <w:pPr>
              <w:spacing w:after="0"/>
              <w:rPr>
                <w:sz w:val="24"/>
                <w:szCs w:val="24"/>
                <w:color w:val="auto"/>
              </w:rPr>
            </w:pPr>
          </w:p>
        </w:tc>
        <w:tc>
          <w:tcPr>
            <w:tcW w:w="9240" w:type="dxa"/>
            <w:vAlign w:val="bottom"/>
            <w:gridSpan w:val="28"/>
          </w:tcPr>
          <w:p>
            <w:pPr>
              <w:spacing w:after="0"/>
              <w:rPr>
                <w:rFonts w:ascii="Arial" w:cs="Arial" w:eastAsia="Arial" w:hAnsi="Arial"/>
                <w:sz w:val="18"/>
                <w:szCs w:val="18"/>
                <w:color w:val="0000EE"/>
              </w:rPr>
            </w:pPr>
            <w:hyperlink r:id="rId124">
              <w:r>
                <w:rPr>
                  <w:rFonts w:ascii="Arial" w:cs="Arial" w:eastAsia="Arial" w:hAnsi="Arial"/>
                  <w:sz w:val="18"/>
                  <w:szCs w:val="18"/>
                  <w:color w:val="0000EE"/>
                </w:rPr>
                <w:t>Form of 4.00% Notes due 2026 (included as part of Exhibit (d)(11)).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(e)</w:t>
            </w:r>
          </w:p>
        </w:tc>
        <w:tc>
          <w:tcPr>
            <w:tcW w:w="520" w:type="dxa"/>
            <w:vAlign w:val="bottom"/>
          </w:tcPr>
          <w:p>
            <w:pPr>
              <w:spacing w:after="0"/>
              <w:rPr>
                <w:sz w:val="24"/>
                <w:szCs w:val="24"/>
                <w:color w:val="auto"/>
              </w:rPr>
            </w:pPr>
          </w:p>
        </w:tc>
        <w:tc>
          <w:tcPr>
            <w:tcW w:w="9000" w:type="dxa"/>
            <w:vAlign w:val="bottom"/>
            <w:tcBorders>
              <w:bottom w:val="single" w:sz="8" w:color="0000EE"/>
            </w:tcBorders>
            <w:gridSpan w:val="21"/>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Dividend Reinvestment Plan (Incorporated by reference to Exhibit 99.(E) to the Registrant’s Registration Statement on Form</w:t>
              </w:r>
            </w:hyperlink>
          </w:p>
        </w:tc>
        <w:tc>
          <w:tcPr>
            <w:tcW w:w="24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N-2 (File No. 333-150033), filed on April 2, 2008).</w:t>
              </w:r>
            </w:hyperlink>
          </w:p>
        </w:tc>
        <w:tc>
          <w:tcPr>
            <w:tcW w:w="5540" w:type="dxa"/>
            <w:vAlign w:val="bottom"/>
            <w:gridSpan w:val="24"/>
          </w:tcPr>
          <w:p>
            <w:pPr>
              <w:spacing w:after="0"/>
              <w:rPr>
                <w:sz w:val="17"/>
                <w:szCs w:val="17"/>
                <w:color w:val="auto"/>
              </w:rPr>
            </w:pPr>
          </w:p>
        </w:tc>
      </w:tr>
      <w:tr>
        <w:trPr>
          <w:trHeight w:val="304"/>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(g)</w:t>
            </w:r>
          </w:p>
        </w:tc>
        <w:tc>
          <w:tcPr>
            <w:tcW w:w="520" w:type="dxa"/>
            <w:vAlign w:val="bottom"/>
          </w:tcPr>
          <w:p>
            <w:pPr>
              <w:spacing w:after="0"/>
              <w:rPr>
                <w:sz w:val="24"/>
                <w:szCs w:val="24"/>
                <w:color w:val="auto"/>
              </w:rPr>
            </w:pPr>
          </w:p>
        </w:tc>
        <w:tc>
          <w:tcPr>
            <w:tcW w:w="9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Third Amended and Restated Investment Advisory Management Agreement, dated as of April 12, 2019, between the Registrant</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and PennantPark Investment Advisers, LLC (Incorporated by reference to Exhibit 99.(G)(3) to the Registrant’s Pre-Effective</w:t>
              </w:r>
            </w:hyperlink>
          </w:p>
        </w:tc>
        <w:tc>
          <w:tcPr>
            <w:tcW w:w="26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Amendment No. 1 to the Registration Statement on Form N-2/A (File No. 333-230014), filed on April 12, 2019).</w:t>
              </w:r>
            </w:hyperlink>
          </w:p>
        </w:tc>
        <w:tc>
          <w:tcPr>
            <w:tcW w:w="1040" w:type="dxa"/>
            <w:vAlign w:val="bottom"/>
            <w:gridSpan w:val="17"/>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(h)(1)</w:t>
            </w:r>
          </w:p>
        </w:tc>
        <w:tc>
          <w:tcPr>
            <w:tcW w:w="520" w:type="dxa"/>
            <w:vAlign w:val="bottom"/>
          </w:tcPr>
          <w:p>
            <w:pPr>
              <w:spacing w:after="0"/>
              <w:rPr>
                <w:sz w:val="24"/>
                <w:szCs w:val="24"/>
                <w:color w:val="auto"/>
              </w:rPr>
            </w:pPr>
          </w:p>
        </w:tc>
        <w:tc>
          <w:tcPr>
            <w:tcW w:w="9240" w:type="dxa"/>
            <w:vAlign w:val="bottom"/>
            <w:gridSpan w:val="28"/>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Form of Underwriting Agreement for equity (Incorporated by reference to Exhibit 99.(H)(1) to the Registrant’s Post-Effective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Amendment No. 4 to the Registration Statement on Form N-2/A (File No. 333-150033), filed on February 22, 2010).</w:t>
              </w:r>
            </w:hyperlink>
          </w:p>
        </w:tc>
        <w:tc>
          <w:tcPr>
            <w:tcW w:w="640" w:type="dxa"/>
            <w:vAlign w:val="bottom"/>
            <w:tcBorders>
              <w:top w:val="single" w:sz="8" w:color="0000EE"/>
            </w:tcBorders>
            <w:gridSpan w:val="11"/>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(h)(2)</w:t>
            </w:r>
          </w:p>
        </w:tc>
        <w:tc>
          <w:tcPr>
            <w:tcW w:w="520" w:type="dxa"/>
            <w:vAlign w:val="bottom"/>
          </w:tcPr>
          <w:p>
            <w:pPr>
              <w:spacing w:after="0"/>
              <w:rPr>
                <w:sz w:val="24"/>
                <w:szCs w:val="24"/>
                <w:color w:val="auto"/>
              </w:rPr>
            </w:pPr>
          </w:p>
        </w:tc>
        <w:tc>
          <w:tcPr>
            <w:tcW w:w="8860" w:type="dxa"/>
            <w:vAlign w:val="bottom"/>
            <w:tcBorders>
              <w:bottom w:val="single" w:sz="8" w:color="0000EE"/>
            </w:tcBorders>
            <w:gridSpan w:val="15"/>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Form of Underwriting Agreement for debt (Incorporated by reference to Exhibit 99.(H)(2) to the Registrant’s Pre-Effective</w:t>
              </w:r>
            </w:hyperlink>
          </w:p>
        </w:tc>
        <w:tc>
          <w:tcPr>
            <w:tcW w:w="38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Amendment to the Registration Statement on Form N-2/A (File No. 333-150033), filed on May 30, 2008).</w:t>
              </w:r>
            </w:hyperlink>
          </w:p>
        </w:tc>
        <w:tc>
          <w:tcPr>
            <w:tcW w:w="1580" w:type="dxa"/>
            <w:vAlign w:val="bottom"/>
            <w:gridSpan w:val="18"/>
          </w:tcPr>
          <w:p>
            <w:pPr>
              <w:spacing w:after="0"/>
              <w:rPr>
                <w:sz w:val="17"/>
                <w:szCs w:val="17"/>
                <w:color w:val="auto"/>
              </w:rPr>
            </w:pPr>
          </w:p>
        </w:tc>
      </w:tr>
      <w:tr>
        <w:trPr>
          <w:trHeight w:val="304"/>
        </w:trPr>
        <w:tc>
          <w:tcPr>
            <w:tcW w:w="1360" w:type="dxa"/>
            <w:vAlign w:val="bottom"/>
          </w:tcPr>
          <w:p>
            <w:pPr>
              <w:jc w:val="right"/>
              <w:ind w:right="870"/>
              <w:spacing w:after="0"/>
              <w:rPr>
                <w:sz w:val="20"/>
                <w:szCs w:val="20"/>
                <w:color w:val="auto"/>
              </w:rPr>
            </w:pPr>
            <w:r>
              <w:rPr>
                <w:rFonts w:ascii="Arial" w:cs="Arial" w:eastAsia="Arial" w:hAnsi="Arial"/>
                <w:sz w:val="18"/>
                <w:szCs w:val="18"/>
                <w:color w:val="auto"/>
              </w:rPr>
              <w:t>(j)</w:t>
            </w:r>
          </w:p>
        </w:tc>
        <w:tc>
          <w:tcPr>
            <w:tcW w:w="520" w:type="dxa"/>
            <w:vAlign w:val="bottom"/>
          </w:tcPr>
          <w:p>
            <w:pPr>
              <w:spacing w:after="0"/>
              <w:rPr>
                <w:sz w:val="24"/>
                <w:szCs w:val="24"/>
                <w:color w:val="auto"/>
              </w:rPr>
            </w:pPr>
          </w:p>
        </w:tc>
        <w:tc>
          <w:tcPr>
            <w:tcW w:w="9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Custodian Agreement between the Registrant and PFPC Trust Company (Incorporated by reference to Exhibit 99.(J)(1) to the</w:t>
              </w:r>
            </w:hyperlink>
          </w:p>
        </w:tc>
        <w:tc>
          <w:tcPr>
            <w:tcW w:w="2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Registrant’s Registration Statement on Form N-2 (File No. 333-150033), filed on April 2, 2008).</w:t>
              </w:r>
            </w:hyperlink>
          </w:p>
        </w:tc>
        <w:tc>
          <w:tcPr>
            <w:tcW w:w="2280" w:type="dxa"/>
            <w:vAlign w:val="bottom"/>
            <w:gridSpan w:val="19"/>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(k)(1)</w:t>
            </w:r>
          </w:p>
        </w:tc>
        <w:tc>
          <w:tcPr>
            <w:tcW w:w="520" w:type="dxa"/>
            <w:vAlign w:val="bottom"/>
          </w:tcPr>
          <w:p>
            <w:pPr>
              <w:spacing w:after="0"/>
              <w:rPr>
                <w:sz w:val="24"/>
                <w:szCs w:val="24"/>
                <w:color w:val="auto"/>
              </w:rPr>
            </w:pPr>
          </w:p>
        </w:tc>
        <w:tc>
          <w:tcPr>
            <w:tcW w:w="9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Administration Agreement between the Registrant and PennantPark Investment Administration, LLC (Incorporated by reference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to Exhibit 99.(K)(1) to the Registrant’s Registration Statement on Form N-2 (File No. 333-150033), filed on April 2, 2008).</w:t>
              </w:r>
            </w:hyperlink>
          </w:p>
        </w:tc>
        <w:tc>
          <w:tcPr>
            <w:tcW w:w="340" w:type="dxa"/>
            <w:vAlign w:val="bottom"/>
            <w:gridSpan w:val="12"/>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(k)(2)</w:t>
            </w:r>
          </w:p>
        </w:tc>
        <w:tc>
          <w:tcPr>
            <w:tcW w:w="520" w:type="dxa"/>
            <w:vAlign w:val="bottom"/>
          </w:tcPr>
          <w:p>
            <w:pPr>
              <w:spacing w:after="0"/>
              <w:rPr>
                <w:sz w:val="24"/>
                <w:szCs w:val="24"/>
                <w:color w:val="auto"/>
              </w:rPr>
            </w:pPr>
          </w:p>
        </w:tc>
        <w:tc>
          <w:tcPr>
            <w:tcW w:w="9080" w:type="dxa"/>
            <w:vAlign w:val="bottom"/>
            <w:tcBorders>
              <w:bottom w:val="single" w:sz="8" w:color="0000EE"/>
            </w:tcBorders>
            <w:gridSpan w:val="25"/>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Stock Transfer Agency Agreement between the Registrant and American Stock Transfer and Trust Company (Incorporated by</w:t>
              </w:r>
            </w:hyperlink>
          </w:p>
        </w:tc>
        <w:tc>
          <w:tcPr>
            <w:tcW w:w="1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reference to Exhibit 99.(K)(2) to the Registrant’s Registration Statement on Form N-2 (File No. 333-150033), filed on April 2,</w:t>
              </w:r>
            </w:hyperlink>
          </w:p>
        </w:tc>
        <w:tc>
          <w:tcPr>
            <w:tcW w:w="1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0" w:type="dxa"/>
            <w:vAlign w:val="bottom"/>
            <w:gridSpan w:val="2"/>
          </w:tcPr>
          <w:p>
            <w:pPr>
              <w:ind w:left="520"/>
              <w:spacing w:after="0" w:line="196" w:lineRule="exact"/>
              <w:rPr>
                <w:rFonts w:ascii="Arial" w:cs="Arial" w:eastAsia="Arial" w:hAnsi="Arial"/>
                <w:sz w:val="18"/>
                <w:szCs w:val="18"/>
                <w:color w:val="0000EE"/>
                <w:w w:val="86"/>
              </w:rPr>
            </w:pPr>
            <w:hyperlink r:id="rId131">
              <w:r>
                <w:rPr>
                  <w:rFonts w:ascii="Arial" w:cs="Arial" w:eastAsia="Arial" w:hAnsi="Arial"/>
                  <w:sz w:val="18"/>
                  <w:szCs w:val="18"/>
                  <w:color w:val="0000EE"/>
                  <w:w w:val="86"/>
                </w:rPr>
                <w:t>2008).</w:t>
              </w:r>
            </w:hyperlink>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(k)(3)</w:t>
            </w:r>
          </w:p>
        </w:tc>
        <w:tc>
          <w:tcPr>
            <w:tcW w:w="520" w:type="dxa"/>
            <w:vAlign w:val="bottom"/>
          </w:tcPr>
          <w:p>
            <w:pPr>
              <w:spacing w:after="0"/>
              <w:rPr>
                <w:sz w:val="24"/>
                <w:szCs w:val="24"/>
                <w:color w:val="auto"/>
              </w:rPr>
            </w:pPr>
          </w:p>
        </w:tc>
        <w:tc>
          <w:tcPr>
            <w:tcW w:w="9240" w:type="dxa"/>
            <w:vAlign w:val="bottom"/>
            <w:gridSpan w:val="28"/>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Trademark License Agreement (Incorporated by reference to Exhibit 99.(K)(3) to the Registrant’s Registration Statement on</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Form N-2 (File No. 333-150033), filed on April 2, 2008).</w:t>
              </w:r>
            </w:hyperlink>
          </w:p>
        </w:tc>
        <w:tc>
          <w:tcPr>
            <w:tcW w:w="4800" w:type="dxa"/>
            <w:vAlign w:val="bottom"/>
            <w:tcBorders>
              <w:top w:val="single" w:sz="8" w:color="0000EE"/>
            </w:tcBorders>
            <w:gridSpan w:val="13"/>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(k)(4)</w:t>
            </w:r>
          </w:p>
        </w:tc>
        <w:tc>
          <w:tcPr>
            <w:tcW w:w="520" w:type="dxa"/>
            <w:vAlign w:val="bottom"/>
          </w:tcPr>
          <w:p>
            <w:pPr>
              <w:spacing w:after="0"/>
              <w:rPr>
                <w:sz w:val="24"/>
                <w:szCs w:val="24"/>
                <w:color w:val="auto"/>
              </w:rPr>
            </w:pPr>
          </w:p>
        </w:tc>
        <w:tc>
          <w:tcPr>
            <w:tcW w:w="9240" w:type="dxa"/>
            <w:vAlign w:val="bottom"/>
            <w:gridSpan w:val="28"/>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First Omnibus Amendment to Second Amended and Restated Senior Secured Revolving Credit Agreement and Second</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60" w:type="dxa"/>
            <w:vAlign w:val="bottom"/>
            <w:gridSpan w:val="8"/>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Amended and Restated Guarantee and Security Agreement, dated as of May 25, 2017, among the Registrant, the lenders party</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thereto and Truist Bank, as administrative agent for the lenders (Incorporated by reference to Exhibit 10.1 to the Registrant’s</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Quarterly Report on Form 10-Q (File No. 814-00736), filed on August 7, 2017).</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60" w:type="dxa"/>
            <w:vAlign w:val="bottom"/>
            <w:gridSpan w:val="8"/>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(k)(5)</w:t>
            </w:r>
          </w:p>
        </w:tc>
        <w:tc>
          <w:tcPr>
            <w:tcW w:w="520" w:type="dxa"/>
            <w:vAlign w:val="bottom"/>
          </w:tcPr>
          <w:p>
            <w:pPr>
              <w:spacing w:after="0"/>
              <w:rPr>
                <w:sz w:val="24"/>
                <w:szCs w:val="24"/>
                <w:color w:val="auto"/>
              </w:rPr>
            </w:pPr>
          </w:p>
        </w:tc>
        <w:tc>
          <w:tcPr>
            <w:tcW w:w="9120" w:type="dxa"/>
            <w:vAlign w:val="bottom"/>
            <w:tcBorders>
              <w:bottom w:val="single" w:sz="8" w:color="0000EE"/>
            </w:tcBorders>
            <w:gridSpan w:val="27"/>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Second Amendment to Second Amended and Restated Senior Secured Revolving Credit Agreement, dated as of September 4,</w:t>
              </w:r>
            </w:hyperlink>
          </w:p>
        </w:tc>
        <w:tc>
          <w:tcPr>
            <w:tcW w:w="1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2019, by and among PennantPark Investment Corporation, as borrower, the lenders party thereto, SunTrust Bank, as</w:t>
              </w:r>
            </w:hyperlink>
          </w:p>
        </w:tc>
        <w:tc>
          <w:tcPr>
            <w:tcW w:w="880" w:type="dxa"/>
            <w:vAlign w:val="bottom"/>
            <w:gridSpan w:val="16"/>
          </w:tcPr>
          <w:p>
            <w:pPr>
              <w:spacing w:after="0"/>
              <w:rPr>
                <w:sz w:val="17"/>
                <w:szCs w:val="17"/>
                <w:color w:val="auto"/>
              </w:rPr>
            </w:pPr>
          </w:p>
        </w:tc>
      </w:tr>
    </w:tbl>
    <w:p>
      <w:pPr>
        <w:spacing w:after="0" w:line="13" w:lineRule="exact"/>
        <w:rPr>
          <w:sz w:val="20"/>
          <w:szCs w:val="20"/>
          <w:color w:val="auto"/>
        </w:rPr>
      </w:pPr>
    </w:p>
    <w:p>
      <w:pPr>
        <w:ind w:left="1880" w:right="600"/>
        <w:spacing w:after="0" w:line="259" w:lineRule="auto"/>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administrative agent and collateral agent, and solely with respect to Section 4.9, PNNT CI (GALLS) Prime Investment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Holdings, LLC, PNNT Investment Holdings, LLC, PNNT New Gulf Resources, LLC, PNNT ecoserve, LLC and PNNT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Cascade Environmental Holdings, LLC (Incorporated by reference to Exhibit 10.1 to the Registrant’s Form 8-K (File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No. 814-00736), filed on September 4, 2019).</w:t>
        </w:r>
      </w:hyperlink>
    </w:p>
    <w:p>
      <w:pPr>
        <w:spacing w:after="0" w:line="119"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46" w:right="4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180"/>
              <w:spacing w:after="0"/>
              <w:rPr>
                <w:sz w:val="20"/>
                <w:szCs w:val="20"/>
                <w:color w:val="auto"/>
              </w:rPr>
            </w:pPr>
            <w:r>
              <w:rPr>
                <w:rFonts w:ascii="Arial" w:cs="Arial" w:eastAsia="Arial" w:hAnsi="Arial"/>
                <w:sz w:val="18"/>
                <w:szCs w:val="18"/>
                <w:color w:val="auto"/>
              </w:rPr>
              <w:t>(k)(6)</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Amended and Restated Limited Liability Company Agreement of PennantPark Senior Loan Fund, LLC, dated as of July 31,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2020, by and among PennantPark Investment Corporation, Pantheon Private Debt Program SCSp SICAV – RAIF In Respect Of</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Its Compartment Pantheon Senior Debt Secondaries II (USD) and Solutio Premium Private Debt I SCSp (Incorporated by</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reference to Exhibit 10.1 to the Registrant’s Form 8-K (File No. 814-00736), filed on August 4, 2020).</w:t>
              </w:r>
            </w:hyperlink>
          </w:p>
        </w:tc>
        <w:tc>
          <w:tcPr>
            <w:tcW w:w="1380" w:type="dxa"/>
            <w:vAlign w:val="bottom"/>
            <w:tcBorders>
              <w:top w:val="single" w:sz="8" w:color="0000EE"/>
            </w:tcBorders>
            <w:gridSpan w:val="4"/>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(k)(7)</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w w:val="95"/>
              </w:rPr>
            </w:pPr>
            <w:hyperlink r:id="rId136">
              <w:r>
                <w:rPr>
                  <w:rFonts w:ascii="Arial" w:cs="Arial" w:eastAsia="Arial" w:hAnsi="Arial"/>
                  <w:sz w:val="18"/>
                  <w:szCs w:val="18"/>
                  <w:color w:val="0000EE"/>
                  <w:w w:val="95"/>
                </w:rPr>
                <w:t>First Amendment to the Amended and Restated Limited Liability Company Agreement of PennantPark Senior Loan Fund,</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LLC, dated as of October 31, 2020, by and among PennantPark Investment Corporation, Pantheon Private Debt Program SCSp</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SICAV – RAIF In Respect Of Its Compartment Pantheon Senior Debt Secondaries II (USD), Pantheon Private Debt Program</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SCSp SICAV-RAIF In Respect Of Its Compartment Pantheon Credit Opportunities II (USD), Pantheon Private Debt Program</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SCSp SICAV-RAIF In Respect Of Its Compartment Tubera Credit 2020 and Solutio Premium Private Debt I SCSp</w:t>
              </w:r>
            </w:hyperlink>
          </w:p>
        </w:tc>
        <w:tc>
          <w:tcPr>
            <w:tcW w:w="760" w:type="dxa"/>
            <w:vAlign w:val="bottom"/>
            <w:tcBorders>
              <w:top w:val="single" w:sz="8" w:color="0000EE"/>
            </w:tcBorders>
            <w:gridSpan w:val="7"/>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(Incorporated by reference to Exhibit 10.12 to the Registrant’s Form 10-K (File No. 814-00736), filed on November 19, 2020).</w:t>
              </w:r>
            </w:hyperlink>
          </w:p>
        </w:tc>
        <w:tc>
          <w:tcPr>
            <w:tcW w:w="100" w:type="dxa"/>
            <w:vAlign w:val="bottom"/>
            <w:gridSpan w:val="5"/>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(k)(8)</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w w:val="93"/>
              </w:rPr>
            </w:pPr>
            <w:hyperlink r:id="rId137">
              <w:r>
                <w:rPr>
                  <w:rFonts w:ascii="Arial" w:cs="Arial" w:eastAsia="Arial" w:hAnsi="Arial"/>
                  <w:sz w:val="18"/>
                  <w:szCs w:val="18"/>
                  <w:color w:val="0000EE"/>
                  <w:w w:val="93"/>
                </w:rPr>
                <w:t>First Omnibus Amendment, dated as of July 31, 2020, by and among PennantPark Investment Funding I, LLC, as borrower,</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80" w:type="dxa"/>
            <w:vAlign w:val="bottom"/>
            <w:tcBorders>
              <w:top w:val="single" w:sz="8" w:color="0000EE"/>
            </w:tcBorders>
            <w:gridSpan w:val="17"/>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PennantPark Senior Loan Fund, LLC, as equityholder of the borrower, PennantPark Investment Corporation, PennantPark</w:t>
              </w:r>
            </w:hyperlink>
          </w:p>
        </w:tc>
        <w:tc>
          <w:tcPr>
            <w:tcW w:w="260" w:type="dxa"/>
            <w:vAlign w:val="bottom"/>
            <w:gridSpan w:val="10"/>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Investment Advisers, LLC, as servicer, and The Bank of New York Mellon Trust Company, National Association, as collateral</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00" w:type="dxa"/>
            <w:vAlign w:val="bottom"/>
            <w:tcBorders>
              <w:top w:val="single" w:sz="8" w:color="0000EE"/>
            </w:tcBorders>
            <w:gridSpan w:val="21"/>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agent, Sterling National Bank, as lender and BNP Paribas, as administrative agent and as lender (Incorporated by reference to</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Exhibit 10.2 to the Registrant’s Form 8-K (File No. 814-00736), filed on August 4, 2020).</w:t>
              </w:r>
            </w:hyperlink>
          </w:p>
        </w:tc>
        <w:tc>
          <w:tcPr>
            <w:tcW w:w="2540" w:type="dxa"/>
            <w:vAlign w:val="bottom"/>
            <w:tcBorders>
              <w:top w:val="single" w:sz="8" w:color="0000EE"/>
            </w:tcBorders>
            <w:gridSpan w:val="9"/>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(k)(9)</w:t>
            </w:r>
          </w:p>
        </w:tc>
        <w:tc>
          <w:tcPr>
            <w:tcW w:w="520" w:type="dxa"/>
            <w:vAlign w:val="bottom"/>
          </w:tcPr>
          <w:p>
            <w:pPr>
              <w:spacing w:after="0"/>
              <w:rPr>
                <w:sz w:val="24"/>
                <w:szCs w:val="24"/>
                <w:color w:val="auto"/>
              </w:rPr>
            </w:pPr>
          </w:p>
        </w:tc>
        <w:tc>
          <w:tcPr>
            <w:tcW w:w="8920" w:type="dxa"/>
            <w:vAlign w:val="bottom"/>
            <w:tcBorders>
              <w:bottom w:val="single" w:sz="8" w:color="0000EE"/>
            </w:tcBorders>
            <w:gridSpan w:val="16"/>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Indemnification Agreement, dated as of November 15, 2016, between PennantPark Investment Corporation and each of the</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5"/>
              </w:rPr>
            </w:pPr>
            <w:hyperlink r:id="rId138">
              <w:r>
                <w:rPr>
                  <w:rFonts w:ascii="Arial" w:cs="Arial" w:eastAsia="Arial" w:hAnsi="Arial"/>
                  <w:sz w:val="18"/>
                  <w:szCs w:val="18"/>
                  <w:color w:val="0000EE"/>
                  <w:w w:val="95"/>
                </w:rPr>
                <w:t>directors and officers listed on Schedule A attached thereto (Incorporated by reference to Exhibit 10.5 on the Registrant’s</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Annual Report on Form 10-K (File No. 814-00891), filed on November 21, 2016).</w:t>
              </w:r>
            </w:hyperlink>
          </w:p>
        </w:tc>
        <w:tc>
          <w:tcPr>
            <w:tcW w:w="2780" w:type="dxa"/>
            <w:vAlign w:val="bottom"/>
            <w:tcBorders>
              <w:top w:val="single" w:sz="8" w:color="0000EE"/>
            </w:tcBorders>
            <w:gridSpan w:val="5"/>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(k)(10)</w:t>
            </w:r>
          </w:p>
        </w:tc>
        <w:tc>
          <w:tcPr>
            <w:tcW w:w="520" w:type="dxa"/>
            <w:vAlign w:val="bottom"/>
          </w:tcPr>
          <w:p>
            <w:pPr>
              <w:spacing w:after="0"/>
              <w:rPr>
                <w:sz w:val="24"/>
                <w:szCs w:val="24"/>
                <w:color w:val="auto"/>
              </w:rPr>
            </w:pPr>
          </w:p>
        </w:tc>
        <w:tc>
          <w:tcPr>
            <w:tcW w:w="9240" w:type="dxa"/>
            <w:vAlign w:val="bottom"/>
            <w:tcBorders>
              <w:bottom w:val="single" w:sz="8" w:color="0000EE"/>
            </w:tcBorders>
            <w:gridSpan w:val="27"/>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Account Control Agreement by and among PennantPark Investment Funding I, LLC, as pledgor, The Bank of New York Mellon</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Trust Company, National Association, as secured party, PennantPark Investment Advisers, LLC, as servicer, and The Bank of</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New York Mellon Trust Company, National Association, as securities intermediary, dated as of February 22, 2019 (Incorporated</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by reference to Exhibit 10.2 to the Registrant’s Current Report on Form 8-K (File No. 814-00736), filed on February 26, 2019).</w:t>
              </w:r>
            </w:hyperlink>
          </w:p>
        </w:tc>
        <w:tc>
          <w:tcPr>
            <w:tcW w:w="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(k)(11)</w:t>
            </w:r>
          </w:p>
        </w:tc>
        <w:tc>
          <w:tcPr>
            <w:tcW w:w="520" w:type="dxa"/>
            <w:vAlign w:val="bottom"/>
          </w:tcPr>
          <w:p>
            <w:pPr>
              <w:spacing w:after="0"/>
              <w:rPr>
                <w:sz w:val="24"/>
                <w:szCs w:val="24"/>
                <w:color w:val="auto"/>
              </w:rPr>
            </w:pPr>
          </w:p>
        </w:tc>
        <w:tc>
          <w:tcPr>
            <w:tcW w:w="9140" w:type="dxa"/>
            <w:vAlign w:val="bottom"/>
            <w:tcBorders>
              <w:bottom w:val="single" w:sz="8" w:color="0000EE"/>
            </w:tcBorders>
            <w:gridSpan w:val="22"/>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Custodian Agreement by and among PennantPark Investment Funding I, LLC, The Bank of New York Mellon Trust Company,</w:t>
              </w:r>
            </w:hyperlink>
          </w:p>
        </w:tc>
        <w:tc>
          <w:tcPr>
            <w:tcW w:w="1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National Association, as custodian, and The Bank of New York Mellon Trust Company, National Association, as collateral</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agent, dated as of February 22, 2019 (Incorporated by reference to Exhibit 10.3 to the Registrant’s Current Report on Form 8-K</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(File No. 814-00736), filed on February 26, 2019).</w:t>
              </w:r>
            </w:hyperlink>
          </w:p>
        </w:tc>
        <w:tc>
          <w:tcPr>
            <w:tcW w:w="80" w:type="dxa"/>
            <w:vAlign w:val="bottom"/>
            <w:gridSpan w:val="4"/>
          </w:tcPr>
          <w:p>
            <w:pPr>
              <w:spacing w:after="0"/>
              <w:rPr>
                <w:sz w:val="17"/>
                <w:szCs w:val="17"/>
                <w:color w:val="auto"/>
              </w:rPr>
            </w:pPr>
          </w:p>
        </w:tc>
      </w:tr>
      <w:tr>
        <w:trPr>
          <w:trHeight w:val="304"/>
        </w:trPr>
        <w:tc>
          <w:tcPr>
            <w:tcW w:w="1360" w:type="dxa"/>
            <w:vAlign w:val="bottom"/>
          </w:tcPr>
          <w:p>
            <w:pPr>
              <w:ind w:left="220"/>
              <w:spacing w:after="0"/>
              <w:rPr>
                <w:sz w:val="20"/>
                <w:szCs w:val="20"/>
                <w:color w:val="auto"/>
              </w:rPr>
            </w:pPr>
            <w:r>
              <w:rPr>
                <w:rFonts w:ascii="Arial" w:cs="Arial" w:eastAsia="Arial" w:hAnsi="Arial"/>
                <w:sz w:val="18"/>
                <w:szCs w:val="18"/>
                <w:color w:val="auto"/>
              </w:rPr>
              <w:t>(l)(1)*</w:t>
            </w:r>
          </w:p>
        </w:tc>
        <w:tc>
          <w:tcPr>
            <w:tcW w:w="52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Opinion and Consent of Venable LLP.</w:t>
              </w:r>
            </w:hyperlink>
          </w:p>
        </w:tc>
        <w:tc>
          <w:tcPr>
            <w:tcW w:w="900" w:type="dxa"/>
            <w:vAlign w:val="bottom"/>
            <w:tcBorders>
              <w:top w:val="single" w:sz="8" w:color="0000EE"/>
            </w:tcBorders>
            <w:gridSpan w:val="2"/>
          </w:tcPr>
          <w:p>
            <w:pPr>
              <w:spacing w:after="0"/>
              <w:rPr>
                <w:sz w:val="24"/>
                <w:szCs w:val="24"/>
                <w:color w:val="auto"/>
              </w:rPr>
            </w:pPr>
          </w:p>
        </w:tc>
        <w:tc>
          <w:tcPr>
            <w:tcW w:w="5600" w:type="dxa"/>
            <w:vAlign w:val="bottom"/>
            <w:gridSpan w:val="21"/>
          </w:tcPr>
          <w:p>
            <w:pPr>
              <w:spacing w:after="0"/>
              <w:rPr>
                <w:sz w:val="24"/>
                <w:szCs w:val="24"/>
                <w:color w:val="auto"/>
              </w:rPr>
            </w:pPr>
          </w:p>
        </w:tc>
      </w:tr>
      <w:tr>
        <w:trPr>
          <w:trHeight w:val="304"/>
        </w:trPr>
        <w:tc>
          <w:tcPr>
            <w:tcW w:w="1360" w:type="dxa"/>
            <w:vAlign w:val="bottom"/>
          </w:tcPr>
          <w:p>
            <w:pPr>
              <w:ind w:left="220"/>
              <w:spacing w:after="0"/>
              <w:rPr>
                <w:sz w:val="20"/>
                <w:szCs w:val="20"/>
                <w:color w:val="auto"/>
              </w:rPr>
            </w:pPr>
            <w:r>
              <w:rPr>
                <w:rFonts w:ascii="Arial" w:cs="Arial" w:eastAsia="Arial" w:hAnsi="Arial"/>
                <w:sz w:val="18"/>
                <w:szCs w:val="18"/>
                <w:color w:val="auto"/>
              </w:rPr>
              <w:t>(l)(2)*</w:t>
            </w:r>
          </w:p>
        </w:tc>
        <w:tc>
          <w:tcPr>
            <w:tcW w:w="52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Opinion and Consent of Dechert LLP.</w:t>
              </w:r>
            </w:hyperlink>
          </w:p>
        </w:tc>
        <w:tc>
          <w:tcPr>
            <w:tcW w:w="6520" w:type="dxa"/>
            <w:vAlign w:val="bottom"/>
            <w:gridSpan w:val="24"/>
          </w:tcPr>
          <w:p>
            <w:pPr>
              <w:spacing w:after="0"/>
              <w:rPr>
                <w:sz w:val="24"/>
                <w:szCs w:val="24"/>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(n)(1)*</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Consent of RSM US LLP.</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(n)(2)</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Report of RSM US LLP regarding senior securities table (Incorporated by reference to Exhibit 99.5 to the Registrants Annual</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Report on Form 10-K (File No. 814-00736), filed on November 17, 2021).</w:t>
              </w:r>
            </w:hyperlink>
          </w:p>
        </w:tc>
        <w:tc>
          <w:tcPr>
            <w:tcW w:w="160" w:type="dxa"/>
            <w:vAlign w:val="bottom"/>
            <w:gridSpan w:val="7"/>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(n)(3)*</w:t>
            </w:r>
          </w:p>
        </w:tc>
        <w:tc>
          <w:tcPr>
            <w:tcW w:w="520" w:type="dxa"/>
            <w:vAlign w:val="bottom"/>
          </w:tcPr>
          <w:p>
            <w:pPr>
              <w:spacing w:after="0"/>
              <w:rPr>
                <w:sz w:val="24"/>
                <w:szCs w:val="24"/>
                <w:color w:val="auto"/>
              </w:rPr>
            </w:pPr>
          </w:p>
        </w:tc>
        <w:tc>
          <w:tcPr>
            <w:tcW w:w="5360" w:type="dxa"/>
            <w:vAlign w:val="bottom"/>
            <w:tcBorders>
              <w:top w:val="single" w:sz="8" w:color="0000EE"/>
            </w:tcBorders>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Consent of BDO USA, LLP.</w:t>
              </w:r>
            </w:hyperlink>
          </w:p>
        </w:tc>
        <w:tc>
          <w:tcPr>
            <w:tcW w:w="3880" w:type="dxa"/>
            <w:vAlign w:val="bottom"/>
            <w:gridSpan w:val="20"/>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r>
      <w:tr>
        <w:trPr>
          <w:trHeight w:val="304"/>
        </w:trPr>
        <w:tc>
          <w:tcPr>
            <w:tcW w:w="1360" w:type="dxa"/>
            <w:vAlign w:val="bottom"/>
          </w:tcPr>
          <w:p>
            <w:pPr>
              <w:ind w:left="220"/>
              <w:spacing w:after="0"/>
              <w:rPr>
                <w:sz w:val="20"/>
                <w:szCs w:val="20"/>
                <w:color w:val="auto"/>
              </w:rPr>
            </w:pPr>
            <w:r>
              <w:rPr>
                <w:rFonts w:ascii="Arial" w:cs="Arial" w:eastAsia="Arial" w:hAnsi="Arial"/>
                <w:sz w:val="18"/>
                <w:szCs w:val="18"/>
                <w:color w:val="auto"/>
              </w:rPr>
              <w:t>(r)</w:t>
            </w:r>
          </w:p>
        </w:tc>
        <w:tc>
          <w:tcPr>
            <w:tcW w:w="520" w:type="dxa"/>
            <w:vAlign w:val="bottom"/>
          </w:tcPr>
          <w:p>
            <w:pPr>
              <w:spacing w:after="0"/>
              <w:rPr>
                <w:sz w:val="24"/>
                <w:szCs w:val="24"/>
                <w:color w:val="auto"/>
              </w:rPr>
            </w:pPr>
          </w:p>
        </w:tc>
        <w:tc>
          <w:tcPr>
            <w:tcW w:w="9240" w:type="dxa"/>
            <w:vAlign w:val="bottom"/>
            <w:gridSpan w:val="27"/>
          </w:tcPr>
          <w:p>
            <w:pPr>
              <w:spacing w:after="0"/>
              <w:rPr>
                <w:rFonts w:ascii="Arial" w:cs="Arial" w:eastAsia="Arial" w:hAnsi="Arial"/>
                <w:sz w:val="18"/>
                <w:szCs w:val="18"/>
                <w:color w:val="0000EE"/>
              </w:rPr>
            </w:pPr>
            <w:hyperlink r:id="rId142">
              <w:r>
                <w:rPr>
                  <w:rFonts w:ascii="Arial" w:cs="Arial" w:eastAsia="Arial" w:hAnsi="Arial"/>
                  <w:sz w:val="18"/>
                  <w:szCs w:val="18"/>
                  <w:color w:val="0000EE"/>
                </w:rPr>
                <w:t>Joint Code of Ethics (Incorporated by reference to Exhibit 14.1to the Registrants Annual Report on Form 10-K (File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No. 814-00736), filed on November 17, 2021).</w:t>
              </w:r>
            </w:hyperlink>
          </w:p>
        </w:tc>
        <w:tc>
          <w:tcPr>
            <w:tcW w:w="880" w:type="dxa"/>
            <w:vAlign w:val="bottom"/>
            <w:gridSpan w:val="15"/>
          </w:tcPr>
          <w:p>
            <w:pPr>
              <w:spacing w:after="0"/>
              <w:rPr>
                <w:sz w:val="17"/>
                <w:szCs w:val="17"/>
                <w:color w:val="auto"/>
              </w:rPr>
            </w:pPr>
          </w:p>
        </w:tc>
      </w:tr>
      <w:tr>
        <w:trPr>
          <w:trHeight w:val="385"/>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880" w:type="dxa"/>
            <w:vAlign w:val="bottom"/>
            <w:gridSpan w:val="22"/>
          </w:tcPr>
          <w:p>
            <w:pPr>
              <w:ind w:left="240"/>
              <w:spacing w:after="0"/>
              <w:rPr>
                <w:sz w:val="20"/>
                <w:szCs w:val="20"/>
                <w:color w:val="auto"/>
              </w:rPr>
            </w:pPr>
            <w:r>
              <w:rPr>
                <w:rFonts w:ascii="Arial" w:cs="Arial" w:eastAsia="Arial" w:hAnsi="Arial"/>
                <w:sz w:val="18"/>
                <w:szCs w:val="18"/>
                <w:color w:val="auto"/>
              </w:rPr>
              <w:t>C-3</w:t>
            </w:r>
          </w:p>
        </w:tc>
      </w:tr>
    </w:tbl>
    <w:p>
      <w:pPr>
        <w:ind w:left="24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2" w:name="page83"/>
    <w:bookmarkEnd w:id="8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93"/>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(s)(1)</w:t>
            </w:r>
          </w:p>
        </w:tc>
        <w:tc>
          <w:tcPr>
            <w:tcW w:w="9060" w:type="dxa"/>
            <w:vAlign w:val="bottom"/>
            <w:tcBorders>
              <w:bottom w:val="single" w:sz="8" w:color="0000EE"/>
            </w:tcBorders>
            <w:gridSpan w:val="10"/>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Form of Prospectus Supplement For Common Stock Offerings (Incorporated by reference to Exhibit (s)(1) to the Registrant’s</w:t>
              </w:r>
            </w:hyperlink>
          </w:p>
        </w:tc>
        <w:tc>
          <w:tcPr>
            <w:tcW w:w="20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14"/>
          </w:tcPr>
          <w:p>
            <w:pPr>
              <w:spacing w:after="0" w:line="196"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Pre-Effective Amendment to the Registration Statement on Form N-2/A (File No. 333-172524), filed on August 22, 2011).</w:t>
              </w:r>
            </w:hyperlink>
          </w:p>
        </w:tc>
      </w:tr>
      <w:tr>
        <w:trPr>
          <w:trHeight w:val="20"/>
        </w:trPr>
        <w:tc>
          <w:tcPr>
            <w:tcW w:w="184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(s)(2)</w:t>
            </w:r>
          </w:p>
        </w:tc>
        <w:tc>
          <w:tcPr>
            <w:tcW w:w="9040" w:type="dxa"/>
            <w:vAlign w:val="bottom"/>
            <w:tcBorders>
              <w:bottom w:val="single" w:sz="8" w:color="0000EE"/>
            </w:tcBorders>
            <w:gridSpan w:val="9"/>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Form of Prospectus Supplement For Preferred Stock Offerings (Incorporated by reference to Exhibit (s)(2) to the Registrant’s</w:t>
              </w:r>
            </w:hyperlink>
          </w:p>
        </w:tc>
        <w:tc>
          <w:tcPr>
            <w:tcW w:w="22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14"/>
          </w:tcPr>
          <w:p>
            <w:pPr>
              <w:spacing w:after="0" w:line="19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Pre-Effective Amendment to the Registration Statement on Form N-2/A (File No. 333-172524), filed on August 22, 2011).</w:t>
              </w:r>
            </w:hyperlink>
          </w:p>
        </w:tc>
      </w:tr>
      <w:tr>
        <w:trPr>
          <w:trHeight w:val="20"/>
        </w:trPr>
        <w:tc>
          <w:tcPr>
            <w:tcW w:w="184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(s)(3)</w:t>
            </w:r>
          </w:p>
        </w:tc>
        <w:tc>
          <w:tcPr>
            <w:tcW w:w="9260" w:type="dxa"/>
            <w:vAlign w:val="bottom"/>
            <w:tcBorders>
              <w:bottom w:val="single" w:sz="8" w:color="0000EE"/>
            </w:tcBorders>
            <w:gridSpan w:val="14"/>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Prospectus Supplement For Debt Offerings (Incorporated by reference to Exhibit (s)(3) to the Registrant’s Pre-Effective</w:t>
              </w:r>
            </w:hyperlink>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1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Amendment to the Registration Statement on Form N-2/A (File No. 333-172524), filed on August 22, 2011).</w:t>
              </w:r>
            </w:hyperlink>
          </w:p>
        </w:tc>
      </w:tr>
      <w:tr>
        <w:trPr>
          <w:trHeight w:val="20"/>
        </w:trPr>
        <w:tc>
          <w:tcPr>
            <w:tcW w:w="184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(s)(4)</w:t>
            </w:r>
          </w:p>
        </w:tc>
        <w:tc>
          <w:tcPr>
            <w:tcW w:w="9260" w:type="dxa"/>
            <w:vAlign w:val="bottom"/>
            <w:gridSpan w:val="14"/>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Prospectus Supplement For Rights Offerings (Incorporated by reference to Exhibit (s)(4) to the Registrant’s</w:t>
              </w:r>
            </w:hyperlink>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Pre-Effective Amendment to the Registration Statement on Form N-2/A (File No. 333-172524), filed on August 22, 2011).</w:t>
              </w:r>
            </w:hyperlink>
          </w:p>
        </w:tc>
        <w:tc>
          <w:tcPr>
            <w:tcW w:w="360" w:type="dxa"/>
            <w:vAlign w:val="bottom"/>
            <w:gridSpan w:val="6"/>
          </w:tcPr>
          <w:p>
            <w:pPr>
              <w:spacing w:after="0"/>
              <w:rPr>
                <w:sz w:val="17"/>
                <w:szCs w:val="17"/>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(s)(5)</w:t>
            </w:r>
          </w:p>
        </w:tc>
        <w:tc>
          <w:tcPr>
            <w:tcW w:w="8540" w:type="dxa"/>
            <w:vAlign w:val="bottom"/>
            <w:tcBorders>
              <w:bottom w:val="single" w:sz="8" w:color="0000EE"/>
            </w:tcBorders>
            <w:gridSpan w:val="6"/>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Form of Prospectus Supplement For Warrant Offerings (Incorporated by reference to Exhibit (s)(5) to the Registrant’s</w:t>
              </w:r>
            </w:hyperlink>
          </w:p>
        </w:tc>
        <w:tc>
          <w:tcPr>
            <w:tcW w:w="7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Pre-Effective Amendment to the Registration Statement on Form N-2/A (File No. 333-172524), filed on August 22, 2011).</w:t>
              </w:r>
            </w:hyperlink>
          </w:p>
        </w:tc>
        <w:tc>
          <w:tcPr>
            <w:tcW w:w="360" w:type="dxa"/>
            <w:vAlign w:val="bottom"/>
            <w:gridSpan w:val="6"/>
          </w:tcPr>
          <w:p>
            <w:pPr>
              <w:spacing w:after="0"/>
              <w:rPr>
                <w:sz w:val="17"/>
                <w:szCs w:val="17"/>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(s)(6)</w:t>
            </w:r>
          </w:p>
        </w:tc>
        <w:tc>
          <w:tcPr>
            <w:tcW w:w="9260" w:type="dxa"/>
            <w:vAlign w:val="bottom"/>
            <w:gridSpan w:val="14"/>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Audited Consolidated Financial Statements of RAM Energy Holdings LLC and Subsidiaries for the Year Ended September 30,</w:t>
              </w:r>
            </w:hyperlink>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2021 (Incorporated by reference to Exhibit 99.2 to the Registrants Annual Report on Form 10-K (File No. 814-00736), filed on</w:t>
              </w:r>
            </w:hyperlink>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November 17, 2021).</w:t>
              </w:r>
            </w:hyperlink>
          </w:p>
        </w:tc>
        <w:tc>
          <w:tcPr>
            <w:tcW w:w="7700" w:type="dxa"/>
            <w:vAlign w:val="bottom"/>
            <w:gridSpan w:val="12"/>
          </w:tcPr>
          <w:p>
            <w:pPr>
              <w:spacing w:after="0"/>
              <w:rPr>
                <w:sz w:val="17"/>
                <w:szCs w:val="17"/>
                <w:color w:val="auto"/>
              </w:rPr>
            </w:pPr>
          </w:p>
        </w:tc>
      </w:tr>
      <w:tr>
        <w:trPr>
          <w:trHeight w:val="304"/>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(s)(7)</w:t>
            </w:r>
          </w:p>
        </w:tc>
        <w:tc>
          <w:tcPr>
            <w:tcW w:w="9260" w:type="dxa"/>
            <w:vAlign w:val="bottom"/>
            <w:gridSpan w:val="14"/>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Audited Consolidated Financial Statements of RAM Energy Holdings LLC and Subsidiaries for the Year Ended September 30,</w:t>
              </w:r>
            </w:hyperlink>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40" w:type="dxa"/>
            <w:vAlign w:val="bottom"/>
            <w:gridSpan w:val="8"/>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2020 (Incorporated by reference to Exhibit 99.3 to the Registrants Annual Report on Form 10-K (File No. 814-00736), filed on</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November 17, 2021).</w:t>
              </w:r>
            </w:hyperlink>
          </w:p>
        </w:tc>
        <w:tc>
          <w:tcPr>
            <w:tcW w:w="7700" w:type="dxa"/>
            <w:vAlign w:val="bottom"/>
            <w:gridSpan w:val="12"/>
          </w:tcPr>
          <w:p>
            <w:pPr>
              <w:spacing w:after="0"/>
              <w:rPr>
                <w:sz w:val="17"/>
                <w:szCs w:val="17"/>
                <w:color w:val="auto"/>
              </w:rPr>
            </w:pPr>
          </w:p>
        </w:tc>
      </w:tr>
      <w:tr>
        <w:trPr>
          <w:trHeight w:val="318"/>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(s)(8)</w:t>
            </w:r>
          </w:p>
        </w:tc>
        <w:tc>
          <w:tcPr>
            <w:tcW w:w="9260" w:type="dxa"/>
            <w:vAlign w:val="bottom"/>
            <w:gridSpan w:val="14"/>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Audited Consolidated Financial Statements of RAM Energy Holdings LLC and Subsidiaries for the Year Ended September 30,</w:t>
              </w:r>
            </w:hyperlink>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40" w:type="dxa"/>
            <w:vAlign w:val="bottom"/>
            <w:gridSpan w:val="8"/>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2019 (Incorporated by reference to Exhibit 99.4 to the Registrants Annual Report on Form 10-K (File No. 814-00736), filed on</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gridSpan w:val="14"/>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November 17, 2021).</w:t>
              </w:r>
            </w:hyperlink>
          </w:p>
        </w:tc>
      </w:tr>
      <w:tr>
        <w:trPr>
          <w:trHeight w:val="20"/>
        </w:trPr>
        <w:tc>
          <w:tcPr>
            <w:tcW w:w="184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r>
      <w:tr>
        <w:trPr>
          <w:trHeight w:val="318"/>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(s)(9)*</w:t>
            </w:r>
          </w:p>
        </w:tc>
        <w:tc>
          <w:tcPr>
            <w:tcW w:w="9260" w:type="dxa"/>
            <w:vAlign w:val="bottom"/>
            <w:gridSpan w:val="14"/>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Calculation of Filing Fee Table.</w:t>
              </w:r>
            </w:hyperlink>
          </w:p>
        </w:tc>
      </w:tr>
      <w:tr>
        <w:trPr>
          <w:trHeight w:val="358"/>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  Filed herewith.</w:t>
            </w:r>
          </w:p>
        </w:tc>
        <w:tc>
          <w:tcPr>
            <w:tcW w:w="1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contained under the heading “Plan of Distribution” in this Registration Statement is hereby incorporated by reference.</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37,195.88*</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620" w:type="dxa"/>
            <w:vAlign w:val="bottom"/>
            <w:gridSpan w:val="2"/>
          </w:tcPr>
          <w:p>
            <w:pPr>
              <w:jc w:val="right"/>
              <w:ind w:right="2650"/>
              <w:spacing w:after="0"/>
              <w:rPr>
                <w:sz w:val="20"/>
                <w:szCs w:val="20"/>
                <w:color w:val="auto"/>
              </w:rPr>
            </w:pPr>
            <w:r>
              <w:rPr>
                <w:rFonts w:ascii="Arial" w:cs="Arial" w:eastAsia="Arial" w:hAnsi="Arial"/>
                <w:sz w:val="18"/>
                <w:szCs w:val="18"/>
                <w:color w:val="auto"/>
              </w:rPr>
              <w:t>C-4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131" w:lineRule="exact"/>
        <w:rPr>
          <w:sz w:val="20"/>
          <w:szCs w:val="20"/>
          <w:color w:val="auto"/>
        </w:rPr>
      </w:pPr>
    </w:p>
    <w:p>
      <w:pPr>
        <w:ind w:left="660" w:hanging="544"/>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amount has been offset against a filing fee associated with unsold securities registered under a previous registration statement.</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To be provided by amendment.</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6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Voting Securities</w:t>
            </w:r>
          </w:p>
        </w:tc>
        <w:tc>
          <w:tcPr>
            <w:tcW w:w="0" w:type="dxa"/>
            <w:vAlign w:val="bottom"/>
          </w:tcPr>
          <w:p>
            <w:pPr>
              <w:spacing w:after="0"/>
              <w:rPr>
                <w:sz w:val="1"/>
                <w:szCs w:val="1"/>
                <w:color w:val="auto"/>
              </w:rPr>
            </w:pPr>
          </w:p>
        </w:tc>
      </w:tr>
      <w:tr>
        <w:trPr>
          <w:trHeight w:val="158"/>
        </w:trPr>
        <w:tc>
          <w:tcPr>
            <w:tcW w:w="9480" w:type="dxa"/>
            <w:vAlign w:val="bottom"/>
            <w:gridSpan w:val="3"/>
            <w:vMerge w:val="continue"/>
          </w:tcPr>
          <w:p>
            <w:pPr>
              <w:spacing w:after="0"/>
              <w:rPr>
                <w:sz w:val="13"/>
                <w:szCs w:val="13"/>
                <w:color w:val="auto"/>
              </w:rPr>
            </w:pPr>
          </w:p>
        </w:tc>
        <w:tc>
          <w:tcPr>
            <w:tcW w:w="15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8"/>
              </w:rPr>
              <w:t>Owned Percentage</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PennantPark Investment Funding I, LLC (Delaware)</w:t>
            </w:r>
          </w:p>
        </w:tc>
        <w:tc>
          <w:tcPr>
            <w:tcW w:w="15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PNNT Investment Holdings, LLC (Delaware)</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Energy Holdings LLC (Delaware)</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PennantPark Senior Loan Fund, LLC</w:t>
            </w:r>
            <w:r>
              <w:rPr>
                <w:rFonts w:ascii="Arial" w:cs="Arial" w:eastAsia="Arial" w:hAnsi="Arial"/>
                <w:sz w:val="15"/>
                <w:szCs w:val="15"/>
                <w:color w:val="auto"/>
              </w:rPr>
              <w:t>(4)</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AKW Holdings Limited (Isle of Man)</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rPr>
              <w:t>PT Network Intermediate Holdings, LLC (Delaware)</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9" w:lineRule="exact"/>
        <w:rPr>
          <w:rFonts w:ascii="Arial" w:cs="Arial" w:eastAsia="Arial" w:hAnsi="Arial"/>
          <w:sz w:val="18"/>
          <w:szCs w:val="18"/>
          <w:color w:val="auto"/>
        </w:rPr>
      </w:pPr>
    </w:p>
    <w:p>
      <w:pPr>
        <w:ind w:left="540" w:right="70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 is an equity owner of PSLF, a joint venture between the registrant and Pantheon. Pursuant to the terms of PSLF’s operating agreement, the registrant and Pantheon each have 50% voting control of PSLF.</w:t>
      </w: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480" w:type="dxa"/>
            <w:vAlign w:val="bottom"/>
          </w:tcPr>
          <w:p>
            <w:pPr>
              <w:ind w:left="280"/>
              <w:spacing w:after="0"/>
              <w:rPr>
                <w:sz w:val="20"/>
                <w:szCs w:val="20"/>
                <w:color w:val="auto"/>
              </w:rPr>
            </w:pPr>
            <w:r>
              <w:rPr>
                <w:rFonts w:ascii="Arial" w:cs="Arial" w:eastAsia="Arial" w:hAnsi="Arial"/>
                <w:sz w:val="18"/>
                <w:szCs w:val="18"/>
                <w:b w:val="1"/>
                <w:bCs w:val="1"/>
                <w:color w:val="auto"/>
              </w:rPr>
              <w:t>Number of holders of securities</w:t>
            </w: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As of December 31, 2021</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8480" w:type="dxa"/>
            <w:vAlign w:val="bottom"/>
          </w:tcPr>
          <w:p>
            <w:pPr>
              <w:spacing w:after="0"/>
              <w:rPr>
                <w:sz w:val="24"/>
                <w:szCs w:val="24"/>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Number of Record Holders</w:t>
            </w: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4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left="120" w:right="1140" w:firstLine="440"/>
        <w:spacing w:after="0" w:line="277" w:lineRule="auto"/>
        <w:rPr>
          <w:sz w:val="20"/>
          <w:szCs w:val="20"/>
          <w:color w:val="auto"/>
        </w:rPr>
      </w:pPr>
      <w:r>
        <w:rPr>
          <w:rFonts w:ascii="Arial" w:cs="Arial" w:eastAsia="Arial" w:hAnsi="Arial"/>
          <w:sz w:val="18"/>
          <w:szCs w:val="18"/>
          <w:color w:val="auto"/>
        </w:rPr>
        <w:t>The information contained under the heading “Description of our Capital Stock—Limitation on Liability of Directors and Officers; Indemnification and Advance of Expenses” is incorporated herein by reference.</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Adviser and its officers and directors is set forth in its Form ADV, as filed with the SEC (SEC File No. 801-67622), and is incorporated herein by reference.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62" w:lineRule="exact"/>
        <w:rPr>
          <w:sz w:val="20"/>
          <w:szCs w:val="20"/>
          <w:color w:val="auto"/>
        </w:rPr>
      </w:pPr>
    </w:p>
    <w:p>
      <w:pPr>
        <w:ind w:left="820" w:hanging="26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1691 Michigan Avenue, Miami Beach, FL 33139;</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Custodian, The Bank of New York Mellon, 240 Greenwich Street, New York, NY 10286; and</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1691 Michigan Avenue, Miami Beach, FL 33139.</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hereby undertakes:</w:t>
      </w:r>
    </w:p>
    <w:p>
      <w:pPr>
        <w:spacing w:after="0" w:line="131" w:lineRule="exact"/>
        <w:rPr>
          <w:sz w:val="20"/>
          <w:szCs w:val="20"/>
          <w:color w:val="auto"/>
        </w:rPr>
      </w:pPr>
    </w:p>
    <w:p>
      <w:pPr>
        <w:ind w:left="1080" w:hanging="532"/>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suspend the offering of shares until the prospectus filed as part of this registration statement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jc w:val="both"/>
        <w:ind w:left="1080" w:right="120" w:hanging="532"/>
        <w:spacing w:after="0" w:line="29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w:t>
      </w:r>
    </w:p>
    <w:p>
      <w:pPr>
        <w:ind w:left="1080" w:right="60"/>
        <w:spacing w:after="0" w:line="253" w:lineRule="auto"/>
        <w:rPr>
          <w:rFonts w:ascii="Arial" w:cs="Arial" w:eastAsia="Arial" w:hAnsi="Arial"/>
          <w:sz w:val="16"/>
          <w:szCs w:val="16"/>
          <w:color w:val="auto"/>
        </w:rPr>
      </w:pPr>
      <w:r>
        <w:rPr>
          <w:rFonts w:ascii="Arial" w:cs="Arial" w:eastAsia="Arial" w:hAnsi="Arial"/>
          <w:sz w:val="18"/>
          <w:szCs w:val="18"/>
          <w:color w:val="auto"/>
        </w:rPr>
        <w:t>(1)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8"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send by first class mail or other means designed to ensure equally prompt delivery, within two business days of receipt of a written or oral request, any prospectus or Statement of Additional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Miami Beach, and State of Florida on the 15</w:t>
      </w:r>
      <w:r>
        <w:rPr>
          <w:rFonts w:ascii="Arial" w:cs="Arial" w:eastAsia="Arial" w:hAnsi="Arial"/>
          <w:sz w:val="13"/>
          <w:szCs w:val="13"/>
          <w:color w:val="auto"/>
        </w:rPr>
        <w:t>th</w:t>
      </w:r>
      <w:r>
        <w:rPr>
          <w:rFonts w:ascii="Arial" w:cs="Arial" w:eastAsia="Arial" w:hAnsi="Arial"/>
          <w:sz w:val="16"/>
          <w:szCs w:val="16"/>
          <w:color w:val="auto"/>
        </w:rPr>
        <w:t xml:space="preserve"> day of March, 2022.</w:t>
      </w: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/A</w:t>
            </w:r>
            <w:r>
              <w:rPr>
                <w:rFonts w:ascii="Arial" w:cs="Arial" w:eastAsia="Arial" w:hAnsi="Arial"/>
                <w:sz w:val="14"/>
                <w:szCs w:val="14"/>
                <w:color w:val="auto"/>
                <w:w w:val="98"/>
              </w:rPr>
              <w:t>RTHUR</w:t>
            </w:r>
            <w:r>
              <w:rPr>
                <w:rFonts w:ascii="Arial" w:cs="Arial" w:eastAsia="Arial" w:hAnsi="Arial"/>
                <w:sz w:val="18"/>
                <w:szCs w:val="18"/>
                <w:color w:val="auto"/>
                <w:w w:val="98"/>
              </w:rPr>
              <w:t xml:space="preserve"> H. P</w:t>
            </w:r>
            <w:r>
              <w:rPr>
                <w:rFonts w:ascii="Arial" w:cs="Arial" w:eastAsia="Arial" w:hAnsi="Arial"/>
                <w:sz w:val="14"/>
                <w:szCs w:val="14"/>
                <w:color w:val="auto"/>
                <w:w w:val="98"/>
              </w:rPr>
              <w:t>ENN</w:t>
            </w:r>
          </w:p>
        </w:tc>
      </w:tr>
      <w:tr>
        <w:trPr>
          <w:trHeight w:val="182"/>
        </w:trPr>
        <w:tc>
          <w:tcPr>
            <w:tcW w:w="56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9"/>
              </w:rPr>
              <w:t>Arthur H. Penn</w:t>
            </w:r>
          </w:p>
        </w:tc>
      </w:tr>
      <w:tr>
        <w:trPr>
          <w:trHeight w:val="245"/>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w:t>
            </w:r>
          </w:p>
        </w:tc>
      </w:tr>
    </w:tbl>
    <w:p>
      <w:pPr>
        <w:spacing w:after="0" w:line="18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KNOW ALL MEN BY THESE PRESENT, each person whose signature appears below hereby constitutes and appoints Richard Cheung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of 1933, as amended, and to file the same, with the Securities and Exchange Commission, granting unto</w:t>
      </w:r>
    </w:p>
    <w:p>
      <w:pPr>
        <w:spacing w:after="0" w:line="2"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N-2 has been signed by the following persons in the capacities set forth below on the 15</w:t>
      </w:r>
      <w:r>
        <w:rPr>
          <w:rFonts w:ascii="Arial" w:cs="Arial" w:eastAsia="Arial" w:hAnsi="Arial"/>
          <w:sz w:val="15"/>
          <w:szCs w:val="15"/>
          <w:color w:val="auto"/>
        </w:rPr>
        <w:t>th</w:t>
      </w:r>
      <w:r>
        <w:rPr>
          <w:rFonts w:ascii="Arial" w:cs="Arial" w:eastAsia="Arial" w:hAnsi="Arial"/>
          <w:sz w:val="18"/>
          <w:szCs w:val="18"/>
          <w:color w:val="auto"/>
        </w:rPr>
        <w:t xml:space="preserve"> day of March,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6"/>
                <w:szCs w:val="16"/>
                <w:color w:val="auto"/>
              </w:rPr>
            </w:pPr>
          </w:p>
        </w:tc>
        <w:tc>
          <w:tcPr>
            <w:tcW w:w="6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 of the Board of Directors</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6"/>
              </w:rPr>
              <w:t>Arthur H. Penn</w:t>
            </w:r>
          </w:p>
        </w:tc>
        <w:tc>
          <w:tcPr>
            <w:tcW w:w="220" w:type="dxa"/>
            <w:vAlign w:val="bottom"/>
          </w:tcPr>
          <w:p>
            <w:pPr>
              <w:spacing w:after="0"/>
              <w:rPr>
                <w:sz w:val="19"/>
                <w:szCs w:val="19"/>
                <w:color w:val="auto"/>
              </w:rPr>
            </w:pPr>
          </w:p>
        </w:tc>
        <w:tc>
          <w:tcPr>
            <w:tcW w:w="6620" w:type="dxa"/>
            <w:vAlign w:val="bottom"/>
          </w:tcPr>
          <w:p>
            <w:pPr>
              <w:jc w:val="center"/>
              <w:ind w:left="72"/>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CHEUNG</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Treasurer</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0"/>
              </w:rPr>
              <w:t>Richard Cheung</w:t>
            </w:r>
          </w:p>
        </w:tc>
        <w:tc>
          <w:tcPr>
            <w:tcW w:w="220" w:type="dxa"/>
            <w:vAlign w:val="bottom"/>
          </w:tcPr>
          <w:p>
            <w:pPr>
              <w:spacing w:after="0"/>
              <w:rPr>
                <w:sz w:val="19"/>
                <w:szCs w:val="19"/>
                <w:color w:val="auto"/>
              </w:rPr>
            </w:pPr>
          </w:p>
        </w:tc>
        <w:tc>
          <w:tcPr>
            <w:tcW w:w="6620" w:type="dxa"/>
            <w:vAlign w:val="bottom"/>
          </w:tcPr>
          <w:p>
            <w:pPr>
              <w:jc w:val="center"/>
              <w:ind w:left="72"/>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ADAM K. BERNSTEIN</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3"/>
              </w:rPr>
              <w:t>Adam K. Bernstein</w:t>
            </w:r>
          </w:p>
        </w:tc>
        <w:tc>
          <w:tcPr>
            <w:tcW w:w="2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FLUG</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2"/>
              </w:rPr>
              <w:t>Jeffrey Flug</w:t>
            </w:r>
          </w:p>
        </w:tc>
        <w:tc>
          <w:tcPr>
            <w:tcW w:w="2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MARSHALL BROZOST</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2"/>
              </w:rPr>
              <w:t>Marshall Brozost</w:t>
            </w:r>
          </w:p>
        </w:tc>
        <w:tc>
          <w:tcPr>
            <w:tcW w:w="2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SAMUEL L. KATZ</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2"/>
              </w:rPr>
              <w:t>Samuel L. Katz</w:t>
            </w:r>
          </w:p>
        </w:tc>
        <w:tc>
          <w:tcPr>
            <w:tcW w:w="2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ind w:left="960"/>
              <w:spacing w:after="0"/>
              <w:rPr>
                <w:sz w:val="20"/>
                <w:szCs w:val="20"/>
                <w:color w:val="auto"/>
              </w:rPr>
            </w:pPr>
            <w:r>
              <w:rPr>
                <w:rFonts w:ascii="Arial" w:cs="Arial" w:eastAsia="Arial" w:hAnsi="Arial"/>
                <w:sz w:val="18"/>
                <w:szCs w:val="18"/>
                <w:color w:val="auto"/>
              </w:rPr>
              <w:t>C-7</w:t>
            </w:r>
          </w:p>
        </w:tc>
      </w:tr>
    </w:tbl>
    <w:p>
      <w:pPr>
        <w:sectPr>
          <w:pgSz w:w="11900" w:h="16838" w:orient="portrait"/>
          <w:cols w:equalWidth="0" w:num="1">
            <w:col w:w="11140"/>
          </w:cols>
          <w:pgMar w:left="320" w:top="459" w:right="4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hanging="424"/>
        <w:spacing w:after="0"/>
        <w:tabs>
          <w:tab w:leader="none" w:pos="424" w:val="left"/>
        </w:tabs>
        <w:numPr>
          <w:ilvl w:val="0"/>
          <w:numId w:val="6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40"/>
          <w:szCs w:val="40"/>
          <w:b w:val="1"/>
          <w:bCs w:val="1"/>
          <w:color w:val="auto"/>
        </w:rPr>
        <w:t>AMERICAN STOCK TRANSFER &amp; TRUST COMPANY, LLC</w:t>
      </w:r>
    </w:p>
    <w:p>
      <w:pPr>
        <w:spacing w:after="0" w:line="3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2"/>
              </w:rPr>
              <w:t>New York</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13-3439945</w:t>
            </w:r>
          </w:p>
        </w:tc>
      </w:tr>
      <w:tr>
        <w:trPr>
          <w:trHeight w:val="149"/>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of incorporation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5"/>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6201 15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Avenue, Brooklyn, New York</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11219</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5"/>
              </w:rPr>
              <w:t>Paul H. Kim</w:t>
            </w:r>
          </w:p>
        </w:tc>
        <w:tc>
          <w:tcPr>
            <w:tcW w:w="3500" w:type="dxa"/>
            <w:vAlign w:val="bottom"/>
          </w:tcPr>
          <w:p>
            <w:pPr>
              <w:spacing w:after="0"/>
              <w:rPr>
                <w:sz w:val="24"/>
                <w:szCs w:val="24"/>
                <w:color w:val="auto"/>
              </w:rPr>
            </w:pPr>
          </w:p>
        </w:tc>
      </w:tr>
      <w:tr>
        <w:trPr>
          <w:trHeight w:val="216"/>
        </w:trPr>
        <w:tc>
          <w:tcPr>
            <w:tcW w:w="7520" w:type="dxa"/>
            <w:vAlign w:val="bottom"/>
            <w:gridSpan w:val="3"/>
          </w:tcPr>
          <w:p>
            <w:pPr>
              <w:jc w:val="center"/>
              <w:ind w:left="3399"/>
              <w:spacing w:after="0"/>
              <w:rPr>
                <w:sz w:val="20"/>
                <w:szCs w:val="20"/>
                <w:color w:val="auto"/>
              </w:rPr>
            </w:pPr>
            <w:r>
              <w:rPr>
                <w:rFonts w:ascii="Arial" w:cs="Arial" w:eastAsia="Arial" w:hAnsi="Arial"/>
                <w:sz w:val="18"/>
                <w:szCs w:val="18"/>
                <w:b w:val="1"/>
                <w:bCs w:val="1"/>
                <w:color w:val="auto"/>
                <w:w w:val="92"/>
              </w:rPr>
              <w:t>American Stock Transfer &amp; Trust Company, LLC</w:t>
            </w:r>
          </w:p>
        </w:tc>
        <w:tc>
          <w:tcPr>
            <w:tcW w:w="35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6201 15th Avenue</w:t>
            </w:r>
          </w:p>
        </w:tc>
        <w:tc>
          <w:tcPr>
            <w:tcW w:w="35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Brooklyn, NY 11219</w:t>
            </w:r>
          </w:p>
        </w:tc>
        <w:tc>
          <w:tcPr>
            <w:tcW w:w="3500" w:type="dxa"/>
            <w:vAlign w:val="bottom"/>
          </w:tcPr>
          <w:p>
            <w:pPr>
              <w:spacing w:after="0"/>
              <w:rPr>
                <w:sz w:val="18"/>
                <w:szCs w:val="18"/>
                <w:color w:val="auto"/>
              </w:rPr>
            </w:pPr>
          </w:p>
        </w:tc>
      </w:tr>
      <w:tr>
        <w:trPr>
          <w:trHeight w:val="212"/>
        </w:trPr>
        <w:tc>
          <w:tcPr>
            <w:tcW w:w="6660" w:type="dxa"/>
            <w:vAlign w:val="bottom"/>
            <w:gridSpan w:val="2"/>
          </w:tcPr>
          <w:p>
            <w:pPr>
              <w:jc w:val="center"/>
              <w:ind w:left="4259"/>
              <w:spacing w:after="0"/>
              <w:rPr>
                <w:sz w:val="20"/>
                <w:szCs w:val="20"/>
                <w:color w:val="auto"/>
              </w:rPr>
            </w:pPr>
            <w:r>
              <w:rPr>
                <w:rFonts w:ascii="Arial" w:cs="Arial" w:eastAsia="Arial" w:hAnsi="Arial"/>
                <w:sz w:val="18"/>
                <w:szCs w:val="18"/>
                <w:b w:val="1"/>
                <w:bCs w:val="1"/>
                <w:color w:val="auto"/>
                <w:w w:val="90"/>
              </w:rPr>
              <w:t>(718) 921-8183</w:t>
            </w:r>
          </w:p>
        </w:tc>
        <w:tc>
          <w:tcPr>
            <w:tcW w:w="8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86"/>
        </w:trPr>
        <w:tc>
          <w:tcPr>
            <w:tcW w:w="7520" w:type="dxa"/>
            <w:vAlign w:val="bottom"/>
            <w:gridSpan w:val="3"/>
          </w:tcPr>
          <w:p>
            <w:pPr>
              <w:jc w:val="center"/>
              <w:ind w:left="3419"/>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00" w:type="dxa"/>
            <w:vAlign w:val="bottom"/>
          </w:tcPr>
          <w:p>
            <w:pPr>
              <w:spacing w:after="0"/>
              <w:rPr>
                <w:sz w:val="16"/>
                <w:szCs w:val="16"/>
                <w:color w:val="auto"/>
              </w:rPr>
            </w:pP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7520" w:type="dxa"/>
            <w:vAlign w:val="bottom"/>
            <w:gridSpan w:val="3"/>
          </w:tcPr>
          <w:p>
            <w:pPr>
              <w:jc w:val="center"/>
              <w:ind w:left="3419"/>
              <w:spacing w:after="0"/>
              <w:rPr>
                <w:sz w:val="20"/>
                <w:szCs w:val="20"/>
                <w:color w:val="auto"/>
              </w:rPr>
            </w:pPr>
            <w:r>
              <w:rPr>
                <w:rFonts w:ascii="Arial" w:cs="Arial" w:eastAsia="Arial" w:hAnsi="Arial"/>
                <w:sz w:val="18"/>
                <w:szCs w:val="18"/>
                <w:b w:val="1"/>
                <w:bCs w:val="1"/>
                <w:color w:val="auto"/>
                <w:w w:val="92"/>
              </w:rPr>
              <w:t>PennantPark Investment Corp.</w:t>
            </w:r>
          </w:p>
        </w:tc>
        <w:tc>
          <w:tcPr>
            <w:tcW w:w="3500" w:type="dxa"/>
            <w:vAlign w:val="bottom"/>
          </w:tcPr>
          <w:p>
            <w:pPr>
              <w:spacing w:after="0"/>
              <w:rPr>
                <w:sz w:val="24"/>
                <w:szCs w:val="24"/>
                <w:color w:val="auto"/>
              </w:rPr>
            </w:pPr>
          </w:p>
        </w:tc>
      </w:tr>
      <w:tr>
        <w:trPr>
          <w:trHeight w:val="186"/>
        </w:trPr>
        <w:tc>
          <w:tcPr>
            <w:tcW w:w="7520" w:type="dxa"/>
            <w:vAlign w:val="bottom"/>
            <w:gridSpan w:val="3"/>
          </w:tcPr>
          <w:p>
            <w:pPr>
              <w:jc w:val="center"/>
              <w:ind w:left="3399"/>
              <w:spacing w:after="0"/>
              <w:rPr>
                <w:sz w:val="20"/>
                <w:szCs w:val="20"/>
                <w:color w:val="auto"/>
              </w:rPr>
            </w:pPr>
            <w:r>
              <w:rPr>
                <w:rFonts w:ascii="Arial" w:cs="Arial" w:eastAsia="Arial" w:hAnsi="Arial"/>
                <w:sz w:val="14"/>
                <w:szCs w:val="14"/>
                <w:b w:val="1"/>
                <w:bCs w:val="1"/>
                <w:color w:val="auto"/>
                <w:w w:val="92"/>
              </w:rPr>
              <w:t>(Exact name of obligor as specified in its character)</w:t>
            </w:r>
          </w:p>
        </w:tc>
        <w:tc>
          <w:tcPr>
            <w:tcW w:w="350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70"/>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6"/>
              </w:rPr>
              <w:t>Maryland</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20-8250744</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1691 Michigan Avenue,</w:t>
            </w:r>
          </w:p>
        </w:tc>
        <w:tc>
          <w:tcPr>
            <w:tcW w:w="3500" w:type="dxa"/>
            <w:vAlign w:val="bottom"/>
          </w:tcPr>
          <w:p>
            <w:pPr>
              <w:spacing w:after="0"/>
              <w:rPr>
                <w:sz w:val="24"/>
                <w:szCs w:val="24"/>
                <w:color w:val="auto"/>
              </w:rPr>
            </w:pPr>
          </w:p>
        </w:tc>
      </w:tr>
      <w:tr>
        <w:trPr>
          <w:trHeight w:val="225"/>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3"/>
              </w:rPr>
              <w:t>Miami Beach, Florida</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33319</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Debt Securities</w:t>
            </w:r>
          </w:p>
        </w:tc>
        <w:tc>
          <w:tcPr>
            <w:tcW w:w="350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0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General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 the following information as to the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Name and address of each examining or supervising authority to which it is subject.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State Department of Financial Services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10004-1511</w:t>
      </w:r>
    </w:p>
    <w:p>
      <w:pPr>
        <w:spacing w:after="0" w:line="103" w:lineRule="exact"/>
        <w:rPr>
          <w:sz w:val="20"/>
          <w:szCs w:val="20"/>
          <w:color w:val="auto"/>
        </w:rPr>
      </w:pPr>
    </w:p>
    <w:p>
      <w:pPr>
        <w:ind w:left="440" w:right="6000" w:hanging="4"/>
        <w:spacing w:after="0" w:line="420"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rPr>
          <w:sz w:val="20"/>
          <w:szCs w:val="20"/>
          <w:color w:val="auto"/>
        </w:rPr>
      </w:pPr>
      <w:r>
        <w:rPr>
          <w:rFonts w:ascii="Arial" w:cs="Arial" w:eastAsia="Arial" w:hAnsi="Arial"/>
          <w:sz w:val="18"/>
          <w:szCs w:val="18"/>
          <w:b w:val="1"/>
          <w:bCs w:val="1"/>
          <w:color w:val="auto"/>
        </w:rPr>
        <w:t>Item 2. Affiliations with Obligor.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3-15.</w:t>
      </w:r>
    </w:p>
    <w:p>
      <w:pPr>
        <w:spacing w:after="0" w:line="121" w:lineRule="exact"/>
        <w:rPr>
          <w:sz w:val="20"/>
          <w:szCs w:val="20"/>
          <w:color w:val="auto"/>
        </w:rPr>
      </w:pPr>
    </w:p>
    <w:p>
      <w:pPr>
        <w:ind w:left="440" w:right="2220"/>
        <w:spacing w:after="0" w:line="277" w:lineRule="auto"/>
        <w:rPr>
          <w:sz w:val="20"/>
          <w:szCs w:val="20"/>
          <w:color w:val="auto"/>
        </w:rPr>
      </w:pPr>
      <w:r>
        <w:rPr>
          <w:rFonts w:ascii="Arial" w:cs="Arial" w:eastAsia="Arial" w:hAnsi="Arial"/>
          <w:sz w:val="18"/>
          <w:szCs w:val="18"/>
          <w:color w:val="auto"/>
        </w:rPr>
        <w:t>Items 3-15 are not applicable because, to the best of the trustee’s knowledge, the obligor is not in default under any indenture for which the trustee acts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84"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Exhibit Title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T-1.1</w:t>
      </w:r>
      <w:r>
        <w:rPr>
          <w:sz w:val="20"/>
          <w:szCs w:val="20"/>
          <w:color w:val="auto"/>
        </w:rPr>
        <w:tab/>
      </w:r>
      <w:r>
        <w:rPr>
          <w:rFonts w:ascii="Arial" w:cs="Arial" w:eastAsia="Arial" w:hAnsi="Arial"/>
          <w:sz w:val="16"/>
          <w:szCs w:val="16"/>
          <w:color w:val="auto"/>
        </w:rPr>
        <w:t>A copy of the Articles of Organization of the Trustee, as amended to date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T-1.2</w:t>
      </w:r>
      <w:r>
        <w:rPr>
          <w:sz w:val="20"/>
          <w:szCs w:val="20"/>
          <w:color w:val="auto"/>
        </w:rPr>
        <w:tab/>
      </w:r>
      <w:r>
        <w:rPr>
          <w:rFonts w:ascii="Arial" w:cs="Arial" w:eastAsia="Arial" w:hAnsi="Arial"/>
          <w:sz w:val="16"/>
          <w:szCs w:val="16"/>
          <w:color w:val="auto"/>
        </w:rPr>
        <w:t>A copy of the Certificate of Authority of the Trustee to commence business</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T-1.4</w:t>
      </w:r>
      <w:r>
        <w:rPr>
          <w:sz w:val="20"/>
          <w:szCs w:val="20"/>
          <w:color w:val="auto"/>
        </w:rPr>
        <w:tab/>
      </w:r>
      <w:r>
        <w:rPr>
          <w:rFonts w:ascii="Arial" w:cs="Arial" w:eastAsia="Arial" w:hAnsi="Arial"/>
          <w:sz w:val="16"/>
          <w:szCs w:val="16"/>
          <w:color w:val="auto"/>
        </w:rPr>
        <w:t>Limited Liability Trust Company Agreement of the Trustee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T-1.6</w:t>
      </w:r>
      <w:r>
        <w:rPr>
          <w:sz w:val="20"/>
          <w:szCs w:val="20"/>
          <w:color w:val="auto"/>
        </w:rPr>
        <w:tab/>
      </w:r>
      <w:r>
        <w:rPr>
          <w:rFonts w:ascii="Arial" w:cs="Arial" w:eastAsia="Arial" w:hAnsi="Arial"/>
          <w:sz w:val="16"/>
          <w:szCs w:val="16"/>
          <w:color w:val="auto"/>
        </w:rPr>
        <w:t>The consent of the Trustee required by Section 321(b) of the Trust Indenture Act of 1939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T-1.7</w:t>
      </w:r>
      <w:r>
        <w:rPr>
          <w:sz w:val="20"/>
          <w:szCs w:val="20"/>
          <w:color w:val="auto"/>
        </w:rPr>
        <w:tab/>
      </w:r>
      <w:r>
        <w:rPr>
          <w:rFonts w:ascii="Arial" w:cs="Arial" w:eastAsia="Arial" w:hAnsi="Arial"/>
          <w:sz w:val="16"/>
          <w:szCs w:val="16"/>
          <w:color w:val="auto"/>
        </w:rPr>
        <w:t>A copy of the latest report of condition of the Trustee published pursuant to law or the requirements of its supervising or examining authority</w:t>
      </w:r>
    </w:p>
    <w:p>
      <w:pPr>
        <w:sectPr>
          <w:pgSz w:w="11900" w:h="16838" w:orient="portrait"/>
          <w:cols w:equalWidth="0" w:num="1">
            <w:col w:w="10940"/>
          </w:cols>
          <w:pgMar w:left="440" w:top="270" w:right="51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15th day of March, 2022.</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TRUST COMPANY,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0900"/>
          </w:cols>
          <w:pgMar w:left="440" w:top="270" w:right="5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T-1.1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ORGANIZATION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AMERICAN STOCK TRANSFER </w:t>
      </w:r>
      <w:r>
        <w:rPr>
          <w:rFonts w:ascii="Arial" w:cs="Arial" w:eastAsia="Arial" w:hAnsi="Arial"/>
          <w:sz w:val="18"/>
          <w:szCs w:val="18"/>
          <w:b w:val="1"/>
          <w:bCs w:val="1"/>
          <w:i w:val="1"/>
          <w:iCs w:val="1"/>
          <w:color w:val="auto"/>
        </w:rPr>
        <w:t>&amp;</w:t>
      </w:r>
      <w:r>
        <w:rPr>
          <w:rFonts w:ascii="Arial" w:cs="Arial" w:eastAsia="Arial" w:hAnsi="Arial"/>
          <w:sz w:val="18"/>
          <w:szCs w:val="18"/>
          <w:b w:val="1"/>
          <w:bCs w:val="1"/>
          <w:color w:val="auto"/>
        </w:rPr>
        <w:t xml:space="preserve"> TRUST COMPANY, LLC</w:t>
      </w:r>
    </w:p>
    <w:p>
      <w:pPr>
        <w:spacing w:after="0" w:line="229"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by which the limited liability trust company is to be known is American Stock Transfer &amp; Trust Company, LLC.</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6"/>
          <w:szCs w:val="16"/>
          <w:color w:val="auto"/>
        </w:rPr>
        <w:t>The place where its principal office is to be located is 59 Maiden Lane, Borough of Manhattan, City, County, and State of New York.</w:t>
      </w:r>
    </w:p>
    <w:p>
      <w:pPr>
        <w:spacing w:after="0" w:line="117" w:lineRule="exact"/>
        <w:rPr>
          <w:sz w:val="20"/>
          <w:szCs w:val="20"/>
          <w:color w:val="auto"/>
        </w:rPr>
      </w:pPr>
    </w:p>
    <w:p>
      <w:pPr>
        <w:ind w:left="780" w:right="880" w:hanging="779"/>
        <w:spacing w:after="0" w:line="277" w:lineRule="auto"/>
        <w:tabs>
          <w:tab w:leader="none" w:pos="76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amount of its capital contributions is to be Five Million Dollars ($5,000,000), and the number of units into which such capital contributions are to be divided is five million (5,000,000) units with a par value of $1.00 each.</w:t>
      </w:r>
    </w:p>
    <w:p>
      <w:pPr>
        <w:spacing w:after="0" w:line="62" w:lineRule="exact"/>
        <w:rPr>
          <w:sz w:val="20"/>
          <w:szCs w:val="20"/>
          <w:color w:val="auto"/>
        </w:rPr>
      </w:pPr>
    </w:p>
    <w:p>
      <w:pPr>
        <w:ind w:left="780" w:right="220" w:hanging="779"/>
        <w:spacing w:after="0" w:line="282" w:lineRule="auto"/>
        <w:tabs>
          <w:tab w:leader="none" w:pos="76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will not have classes or groups of members, therefore there is only one class of members. Each member shall share the same relative rights, powers, preferences, limitations, and voting powers.</w:t>
      </w:r>
    </w:p>
    <w:p>
      <w:pPr>
        <w:spacing w:after="0" w:line="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The name, place of residence, and citizenship of each organizer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Residence</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Citizenship</w:t>
            </w:r>
          </w:p>
        </w:tc>
      </w:tr>
      <w:tr>
        <w:trPr>
          <w:trHeight w:val="189"/>
        </w:trPr>
        <w:tc>
          <w:tcPr>
            <w:tcW w:w="3980" w:type="dxa"/>
            <w:vAlign w:val="bottom"/>
            <w:gridSpan w:val="2"/>
          </w:tcPr>
          <w:p>
            <w:pPr>
              <w:spacing w:after="0" w:line="189" w:lineRule="exact"/>
              <w:rPr>
                <w:sz w:val="20"/>
                <w:szCs w:val="20"/>
                <w:color w:val="auto"/>
              </w:rPr>
            </w:pPr>
            <w:r>
              <w:rPr>
                <w:rFonts w:ascii="Arial" w:cs="Arial" w:eastAsia="Arial" w:hAnsi="Arial"/>
                <w:sz w:val="18"/>
                <w:szCs w:val="18"/>
                <w:color w:val="auto"/>
              </w:rPr>
              <w:t>George Karfunkel</w:t>
            </w:r>
          </w:p>
        </w:tc>
        <w:tc>
          <w:tcPr>
            <w:tcW w:w="3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Brooklyn, NY, USA</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7"/>
              </w:rPr>
              <w:t>USA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Michael Karfunkel</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Brooklyn, NY, USA</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Cameron Blanks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Cremorne Point, Australia</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Timothy J. Sims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Terrey Hills, Australia</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Tamarama, Australia</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Joseph John O’Brien</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Bondi Beach, Australia</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Jay F. Krehbiel</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Darling Point, Australia</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USA</w:t>
            </w:r>
          </w:p>
        </w:tc>
      </w:tr>
    </w:tbl>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Sixth.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of existence of the trust company is to be until December 31, 2030, unless the interest holders agree to extend such date.</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Seventh.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number</w:t>
      </w:r>
      <w:r>
        <w:rPr>
          <w:rFonts w:ascii="Arial" w:cs="Arial" w:eastAsia="Arial" w:hAnsi="Arial"/>
          <w:sz w:val="18"/>
          <w:szCs w:val="18"/>
          <w:color w:val="auto"/>
        </w:rPr>
        <w:t xml:space="preserve"> of managers of the company is to be not less than seven nor more than fifteen.</w:t>
      </w:r>
    </w:p>
    <w:p>
      <w:pPr>
        <w:spacing w:after="0" w:line="117" w:lineRule="exact"/>
        <w:rPr>
          <w:sz w:val="20"/>
          <w:szCs w:val="20"/>
          <w:color w:val="auto"/>
        </w:rPr>
      </w:pPr>
    </w:p>
    <w:p>
      <w:pPr>
        <w:ind w:left="880" w:right="240" w:hanging="879"/>
        <w:spacing w:after="0" w:line="312" w:lineRule="auto"/>
        <w:tabs>
          <w:tab w:leader="none" w:pos="860" w:val="left"/>
        </w:tabs>
        <w:rPr>
          <w:sz w:val="20"/>
          <w:szCs w:val="20"/>
          <w:color w:val="auto"/>
        </w:rPr>
      </w:pPr>
      <w:r>
        <w:rPr>
          <w:rFonts w:ascii="Arial" w:cs="Arial" w:eastAsia="Arial" w:hAnsi="Arial"/>
          <w:sz w:val="17"/>
          <w:szCs w:val="17"/>
          <w:b w:val="1"/>
          <w:bCs w:val="1"/>
          <w:color w:val="auto"/>
        </w:rPr>
        <w:t>Eighth.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names</w:t>
      </w:r>
      <w:r>
        <w:rPr>
          <w:rFonts w:ascii="Arial" w:cs="Arial" w:eastAsia="Arial" w:hAnsi="Arial"/>
          <w:sz w:val="17"/>
          <w:szCs w:val="17"/>
          <w:color w:val="auto"/>
        </w:rPr>
        <w:t xml:space="preserve"> of the organizers who shall manage the company until the first annual meeting of members are as follows: George Karfunkel, Michael Karfunkel, Cameron Blanks, Timothy J. Sims, Paul J. McCullagh, Joseph John O’Brien, and Jay F. Krehbiel.</w:t>
      </w:r>
    </w:p>
    <w:p>
      <w:pPr>
        <w:spacing w:after="0" w:line="32" w:lineRule="exact"/>
        <w:rPr>
          <w:sz w:val="20"/>
          <w:szCs w:val="20"/>
          <w:color w:val="auto"/>
        </w:rPr>
      </w:pPr>
    </w:p>
    <w:p>
      <w:pPr>
        <w:jc w:val="both"/>
        <w:ind w:left="880" w:right="540" w:hanging="879"/>
        <w:spacing w:after="0" w:line="266" w:lineRule="auto"/>
        <w:tabs>
          <w:tab w:leader="none" w:pos="860" w:val="left"/>
        </w:tabs>
        <w:rPr>
          <w:sz w:val="20"/>
          <w:szCs w:val="20"/>
          <w:color w:val="auto"/>
        </w:rPr>
      </w:pPr>
      <w:r>
        <w:rPr>
          <w:rFonts w:ascii="Arial" w:cs="Arial" w:eastAsia="Arial" w:hAnsi="Arial"/>
          <w:sz w:val="18"/>
          <w:szCs w:val="18"/>
          <w:b w:val="1"/>
          <w:bCs w:val="1"/>
          <w:color w:val="auto"/>
        </w:rPr>
        <w:t>Ninth.</w:t>
      </w:r>
      <w:r>
        <w:rPr>
          <w:sz w:val="20"/>
          <w:szCs w:val="20"/>
          <w:color w:val="auto"/>
        </w:rPr>
        <w:tab/>
      </w:r>
      <w:r>
        <w:rPr>
          <w:rFonts w:ascii="Arial" w:cs="Arial" w:eastAsia="Arial" w:hAnsi="Arial"/>
          <w:sz w:val="18"/>
          <w:szCs w:val="18"/>
          <w:color w:val="auto"/>
        </w:rPr>
        <w:t xml:space="preserve">The limited liability </w:t>
      </w:r>
      <w:r>
        <w:rPr>
          <w:rFonts w:ascii="Arial" w:cs="Arial" w:eastAsia="Arial" w:hAnsi="Arial"/>
          <w:sz w:val="18"/>
          <w:szCs w:val="18"/>
          <w:b w:val="1"/>
          <w:bCs w:val="1"/>
          <w:color w:val="auto"/>
        </w:rPr>
        <w:t>trust</w:t>
      </w:r>
      <w:r>
        <w:rPr>
          <w:rFonts w:ascii="Arial" w:cs="Arial" w:eastAsia="Arial" w:hAnsi="Arial"/>
          <w:sz w:val="18"/>
          <w:szCs w:val="18"/>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ectPr>
          <w:pgSz w:w="11900" w:h="16838" w:orient="portrait"/>
          <w:cols w:equalWidth="0" w:num="1">
            <w:col w:w="11020"/>
          </w:cols>
          <w:pgMar w:left="440" w:top="270"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ind w:left="440"/>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250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48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Karfunkel</w:t>
            </w:r>
          </w:p>
        </w:tc>
        <w:tc>
          <w:tcPr>
            <w:tcW w:w="8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George Karfunkel</w:t>
            </w:r>
          </w:p>
        </w:tc>
        <w:tc>
          <w:tcPr>
            <w:tcW w:w="88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Paul J. McCullagh</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Karfunkel</w:t>
            </w:r>
          </w:p>
        </w:tc>
        <w:tc>
          <w:tcPr>
            <w:tcW w:w="8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Michael Karfunkel</w:t>
            </w:r>
          </w:p>
        </w:tc>
        <w:tc>
          <w:tcPr>
            <w:tcW w:w="88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Joseph John O’Brien</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5180" w:type="dxa"/>
            <w:vAlign w:val="bottom"/>
          </w:tcPr>
          <w:p>
            <w:pPr>
              <w:spacing w:after="0"/>
              <w:rPr>
                <w:sz w:val="24"/>
                <w:szCs w:val="24"/>
                <w:color w:val="auto"/>
              </w:rPr>
            </w:pPr>
          </w:p>
        </w:tc>
        <w:tc>
          <w:tcPr>
            <w:tcW w:w="262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Cameron Blanks</w:t>
            </w:r>
          </w:p>
        </w:tc>
        <w:tc>
          <w:tcPr>
            <w:tcW w:w="8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Jay F. Krehbiel</w:t>
            </w:r>
          </w:p>
        </w:tc>
        <w:tc>
          <w:tcPr>
            <w:tcW w:w="72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431"/>
        </w:trPr>
        <w:tc>
          <w:tcPr>
            <w:tcW w:w="51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Timothy J. Sims</w:t>
            </w: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31"/>
        </w:trPr>
        <w:tc>
          <w:tcPr>
            <w:tcW w:w="5180" w:type="dxa"/>
            <w:vAlign w:val="bottom"/>
          </w:tcPr>
          <w:p>
            <w:pPr>
              <w:spacing w:after="0"/>
              <w:rPr>
                <w:sz w:val="20"/>
                <w:szCs w:val="20"/>
                <w:color w:val="auto"/>
              </w:rPr>
            </w:pPr>
            <w:r>
              <w:rPr>
                <w:rFonts w:ascii="Arial" w:cs="Arial" w:eastAsia="Arial" w:hAnsi="Arial"/>
                <w:sz w:val="18"/>
                <w:szCs w:val="18"/>
                <w:color w:val="auto"/>
              </w:rPr>
              <w:t>NOTARY:</w:t>
            </w: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980" w:val="left"/>
        </w:tabs>
        <w:rPr>
          <w:sz w:val="20"/>
          <w:szCs w:val="20"/>
          <w:color w:val="auto"/>
        </w:rPr>
      </w:pPr>
      <w:r>
        <w:rPr>
          <w:rFonts w:ascii="Arial" w:cs="Arial" w:eastAsia="Arial" w:hAnsi="Arial"/>
          <w:sz w:val="18"/>
          <w:szCs w:val="18"/>
          <w:color w:val="auto"/>
        </w:rPr>
        <w:t>State of NY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320" w:hanging="313"/>
        <w:spacing w:after="0"/>
        <w:tabs>
          <w:tab w:leader="none" w:pos="2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County of Kings</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this 28</w:t>
      </w:r>
      <w:r>
        <w:rPr>
          <w:rFonts w:ascii="Arial" w:cs="Arial" w:eastAsia="Arial" w:hAnsi="Arial"/>
          <w:sz w:val="15"/>
          <w:szCs w:val="15"/>
          <w:color w:val="auto"/>
        </w:rPr>
        <w:t>th</w:t>
      </w:r>
      <w:r>
        <w:rPr>
          <w:rFonts w:ascii="Arial" w:cs="Arial" w:eastAsia="Arial" w:hAnsi="Arial"/>
          <w:sz w:val="18"/>
          <w:szCs w:val="18"/>
          <w:color w:val="auto"/>
        </w:rPr>
        <w:t xml:space="preserve"> day of March, 2008 personally appeared before 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6256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16256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6084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16084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to me known to be the persons described in and who executed the foregoing certificate, and severally acknowledged that they executed the same.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Anthony J. Foti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Anthony J. Foti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01FO6022425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Qualified in Kings County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Expires March 29, 2011</w:t>
      </w:r>
    </w:p>
    <w:p>
      <w:pPr>
        <w:sectPr>
          <w:pgSz w:w="11900" w:h="16838" w:orient="portrait"/>
          <w:cols w:equalWidth="0" w:num="1">
            <w:col w:w="11020"/>
          </w:cols>
          <w:pgMar w:left="440" w:top="257"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Arial" w:cs="Arial" w:eastAsia="Arial" w:hAnsi="Arial"/>
                <w:sz w:val="18"/>
                <w:szCs w:val="18"/>
                <w:color w:val="auto"/>
                <w:w w:val="91"/>
              </w:rPr>
              <w:t>IN WITNESS WHEREOF, We have made, signed, and acknowledged this certificate in duplicate this</w:t>
            </w:r>
          </w:p>
        </w:tc>
        <w:tc>
          <w:tcPr>
            <w:tcW w:w="720" w:type="dxa"/>
            <w:vAlign w:val="bottom"/>
            <w:tcBorders>
              <w:bottom w:val="single" w:sz="8" w:color="auto"/>
            </w:tcBorders>
          </w:tcPr>
          <w:p>
            <w:pPr>
              <w:spacing w:after="0"/>
              <w:rPr>
                <w:sz w:val="17"/>
                <w:szCs w:val="17"/>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day of March 2008.</w:t>
            </w:r>
          </w:p>
        </w:tc>
      </w:tr>
      <w:tr>
        <w:trPr>
          <w:trHeight w:val="479"/>
        </w:trPr>
        <w:tc>
          <w:tcPr>
            <w:tcW w:w="5280" w:type="dxa"/>
            <w:vAlign w:val="bottom"/>
          </w:tcPr>
          <w:p>
            <w:pPr>
              <w:spacing w:after="0"/>
              <w:rPr>
                <w:sz w:val="24"/>
                <w:szCs w:val="24"/>
                <w:color w:val="auto"/>
              </w:rPr>
            </w:pPr>
          </w:p>
        </w:tc>
        <w:tc>
          <w:tcPr>
            <w:tcW w:w="2800" w:type="dxa"/>
            <w:vAlign w:val="bottom"/>
            <w:gridSpan w:val="3"/>
          </w:tcPr>
          <w:p>
            <w:pPr>
              <w:ind w:left="660"/>
              <w:spacing w:after="0"/>
              <w:rPr>
                <w:sz w:val="20"/>
                <w:szCs w:val="20"/>
                <w:color w:val="auto"/>
              </w:rPr>
            </w:pPr>
            <w:r>
              <w:rPr>
                <w:rFonts w:ascii="Arial" w:cs="Arial" w:eastAsia="Arial" w:hAnsi="Arial"/>
                <w:sz w:val="18"/>
                <w:szCs w:val="18"/>
                <w:color w:val="auto"/>
              </w:rPr>
              <w:t>/s/ Paul J. McCullagh</w:t>
            </w:r>
          </w:p>
        </w:tc>
        <w:tc>
          <w:tcPr>
            <w:tcW w:w="2940" w:type="dxa"/>
            <w:vAlign w:val="bottom"/>
          </w:tcPr>
          <w:p>
            <w:pPr>
              <w:spacing w:after="0"/>
              <w:rPr>
                <w:sz w:val="24"/>
                <w:szCs w:val="24"/>
                <w:color w:val="auto"/>
              </w:rPr>
            </w:pPr>
          </w:p>
        </w:tc>
      </w:tr>
      <w:tr>
        <w:trPr>
          <w:trHeight w:val="224"/>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George Karfunkel</w:t>
            </w:r>
          </w:p>
        </w:tc>
        <w:tc>
          <w:tcPr>
            <w:tcW w:w="660" w:type="dxa"/>
            <w:vAlign w:val="bottom"/>
          </w:tcPr>
          <w:p>
            <w:pPr>
              <w:spacing w:after="0"/>
              <w:rPr>
                <w:sz w:val="19"/>
                <w:szCs w:val="19"/>
                <w:color w:val="auto"/>
              </w:rPr>
            </w:pPr>
          </w:p>
        </w:tc>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Paul J. McCullagh</w:t>
            </w:r>
          </w:p>
        </w:tc>
        <w:tc>
          <w:tcPr>
            <w:tcW w:w="294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Cameron Blanks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Timothy J.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NOTARY:</w:t>
      </w:r>
    </w:p>
    <w:p>
      <w:pPr>
        <w:spacing w:after="0" w:line="252"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State of New South Wales</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560"/>
        <w:spacing w:after="0"/>
        <w:tabs>
          <w:tab w:leader="none" w:pos="2860" w:val="left"/>
        </w:tabs>
        <w:rPr>
          <w:sz w:val="20"/>
          <w:szCs w:val="20"/>
          <w:color w:val="auto"/>
        </w:rPr>
      </w:pPr>
      <w:r>
        <w:rPr>
          <w:rFonts w:ascii="Arial" w:cs="Arial" w:eastAsia="Arial" w:hAnsi="Arial"/>
          <w:sz w:val="18"/>
          <w:szCs w:val="18"/>
          <w:color w:val="auto"/>
        </w:rPr>
        <w:t>)</w:t>
        <w:tab/>
        <w:t>ss.:</w:t>
      </w:r>
    </w:p>
    <w:p>
      <w:pPr>
        <w:spacing w:after="0" w:line="9"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County of Australia</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On this 27th day of March, 2008 personally appeared before 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Cameron R.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3604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Joseph John O’Brien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32143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080"/>
          </w:cols>
          <w:pgMar w:left="440" w:top="257" w:right="439" w:bottom="1440" w:gutter="0" w:footer="0" w:header="0"/>
          <w:type w:val="continuous"/>
        </w:sectPr>
      </w:pPr>
    </w:p>
    <w:p>
      <w:pPr>
        <w:spacing w:after="0" w:line="376"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Timothy J. Sims</w:t>
      </w:r>
      <w:r>
        <w:rPr>
          <w:sz w:val="20"/>
          <w:szCs w:val="20"/>
          <w:color w:val="auto"/>
        </w:rPr>
        <w:tab/>
      </w:r>
      <w:r>
        <w:rPr>
          <w:rFonts w:ascii="Arial" w:cs="Arial" w:eastAsia="Arial" w:hAnsi="Arial"/>
          <w:sz w:val="16"/>
          <w:szCs w:val="16"/>
          <w:color w:val="auto"/>
        </w:rPr>
        <w:t>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me known to be the persons described in and who executed the foregoing certificate, and severally acknowledged that they executed the same.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Brendan Anthony Bateman</w:t>
      </w:r>
    </w:p>
    <w:p>
      <w:pPr>
        <w:sectPr>
          <w:pgSz w:w="11900" w:h="16838" w:orient="portrait"/>
          <w:cols w:equalWidth="0" w:num="1">
            <w:col w:w="11020"/>
          </w:cols>
          <w:pgMar w:left="440" w:top="257" w:right="439" w:bottom="1440" w:gutter="0" w:footer="0" w:header="0"/>
          <w:type w:val="continuous"/>
        </w:sectPr>
      </w:pPr>
    </w:p>
    <w:bookmarkStart w:id="92" w:name="page93"/>
    <w:bookmarkEnd w:id="92"/>
    <w:p>
      <w:pPr>
        <w:spacing w:after="0"/>
        <w:tabs>
          <w:tab w:leader="none" w:pos="8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made, signed, and acknowledged this certificate in duplicate this</w:t>
      </w:r>
      <w:r>
        <w:rPr>
          <w:sz w:val="20"/>
          <w:szCs w:val="20"/>
          <w:color w:val="auto"/>
        </w:rPr>
        <w:tab/>
      </w:r>
      <w:r>
        <w:rPr>
          <w:rFonts w:ascii="Arial" w:cs="Arial" w:eastAsia="Arial" w:hAnsi="Arial"/>
          <w:sz w:val="16"/>
          <w:szCs w:val="16"/>
          <w:color w:val="auto"/>
        </w:rPr>
        <w:t>day of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-10160</wp:posOffset>
            </wp:positionV>
            <wp:extent cx="4572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296545</wp:posOffset>
            </wp:positionV>
            <wp:extent cx="3360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296545</wp:posOffset>
            </wp:positionV>
            <wp:extent cx="33604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3604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Paul J. McCullagh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214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3214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875" w:lineRule="exact"/>
        <w:rPr>
          <w:sz w:val="20"/>
          <w:szCs w:val="20"/>
          <w:color w:val="auto"/>
        </w:rPr>
      </w:pPr>
    </w:p>
    <w:p>
      <w:pPr>
        <w:sectPr>
          <w:pgSz w:w="11900" w:h="16838" w:orient="portrait"/>
          <w:cols w:equalWidth="0" w:num="2">
            <w:col w:w="5220" w:space="720"/>
            <w:col w:w="4079"/>
          </w:cols>
          <w:pgMar w:left="440" w:top="274" w:right="1440"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NOTARY:</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520"/>
              <w:spacing w:after="0"/>
              <w:rPr>
                <w:sz w:val="20"/>
                <w:szCs w:val="20"/>
                <w:color w:val="auto"/>
              </w:rPr>
            </w:pPr>
            <w:r>
              <w:rPr>
                <w:rFonts w:ascii="Arial" w:cs="Arial" w:eastAsia="Arial" w:hAnsi="Arial"/>
                <w:sz w:val="18"/>
                <w:szCs w:val="18"/>
                <w:color w:val="auto"/>
              </w:rPr>
              <w:t>Kingdom of Thailand</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520"/>
              <w:spacing w:after="0"/>
              <w:rPr>
                <w:sz w:val="20"/>
                <w:szCs w:val="20"/>
                <w:color w:val="auto"/>
              </w:rPr>
            </w:pPr>
            <w:r>
              <w:rPr>
                <w:rFonts w:ascii="Arial" w:cs="Arial" w:eastAsia="Arial" w:hAnsi="Arial"/>
                <w:sz w:val="18"/>
                <w:szCs w:val="18"/>
                <w:color w:val="auto"/>
              </w:rPr>
              <w:t>Bangkok Metropolis</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ind w:left="280"/>
              <w:spacing w:after="0"/>
              <w:rPr>
                <w:sz w:val="20"/>
                <w:szCs w:val="20"/>
                <w:color w:val="auto"/>
              </w:rPr>
            </w:pPr>
            <w:r>
              <w:rPr>
                <w:rFonts w:ascii="Arial" w:cs="Arial" w:eastAsia="Arial" w:hAnsi="Arial"/>
                <w:sz w:val="17"/>
                <w:szCs w:val="17"/>
                <w:color w:val="auto"/>
                <w:w w:val="70"/>
              </w:rPr>
              <w:t>ss</w:t>
            </w:r>
          </w:p>
        </w:tc>
      </w:tr>
      <w:tr>
        <w:trPr>
          <w:trHeight w:val="216"/>
        </w:trPr>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520"/>
              <w:spacing w:after="0"/>
              <w:rPr>
                <w:sz w:val="20"/>
                <w:szCs w:val="20"/>
                <w:color w:val="auto"/>
              </w:rPr>
            </w:pPr>
            <w:r>
              <w:rPr>
                <w:rFonts w:ascii="Arial" w:cs="Arial" w:eastAsia="Arial" w:hAnsi="Arial"/>
                <w:sz w:val="18"/>
                <w:szCs w:val="18"/>
                <w:color w:val="auto"/>
                <w:w w:val="98"/>
              </w:rPr>
              <w:t>Embassy of the United States of America</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16"/>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State of</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30"/>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County of</w:t>
            </w: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392"/>
        </w:trPr>
        <w:tc>
          <w:tcPr>
            <w:tcW w:w="560" w:type="dxa"/>
            <w:vAlign w:val="bottom"/>
          </w:tcPr>
          <w:p>
            <w:pPr>
              <w:spacing w:after="0"/>
              <w:rPr>
                <w:sz w:val="20"/>
                <w:szCs w:val="20"/>
                <w:color w:val="auto"/>
              </w:rPr>
            </w:pPr>
            <w:r>
              <w:rPr>
                <w:rFonts w:ascii="Arial" w:cs="Arial" w:eastAsia="Arial" w:hAnsi="Arial"/>
                <w:sz w:val="18"/>
                <w:szCs w:val="18"/>
                <w:color w:val="auto"/>
                <w:w w:val="94"/>
              </w:rPr>
              <w:t>On this</w:t>
            </w:r>
          </w:p>
        </w:tc>
        <w:tc>
          <w:tcPr>
            <w:tcW w:w="720" w:type="dxa"/>
            <w:vAlign w:val="bottom"/>
            <w:tcBorders>
              <w:bottom w:val="single" w:sz="8" w:color="auto"/>
            </w:tcBorders>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w w:val="97"/>
              </w:rPr>
              <w:t>day of   Mar 27 2008,</w:t>
            </w:r>
          </w:p>
        </w:tc>
        <w:tc>
          <w:tcPr>
            <w:tcW w:w="720" w:type="dxa"/>
            <w:vAlign w:val="bottom"/>
            <w:tcBorders>
              <w:bottom w:val="single" w:sz="8" w:color="auto"/>
            </w:tcBorders>
          </w:tcPr>
          <w:p>
            <w:pPr>
              <w:spacing w:after="0"/>
              <w:rPr>
                <w:sz w:val="24"/>
                <w:szCs w:val="24"/>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personally appeared before me</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65411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6541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537845</wp:posOffset>
            </wp:positionV>
            <wp:extent cx="65411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6541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to be the persons described in and who executed the foregoing certificate, and severally acknowledged that they executed the same.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Chamnannuch Scherer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Consular Associate of the United States of America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Indefinite</w:t>
      </w:r>
    </w:p>
    <w:p>
      <w:pPr>
        <w:sectPr>
          <w:pgSz w:w="11900" w:h="16838" w:orient="portrait"/>
          <w:cols w:equalWidth="0" w:num="1">
            <w:col w:w="10019"/>
          </w:cols>
          <w:pgMar w:left="440" w:top="274" w:right="1440"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171450</wp:posOffset>
            </wp:positionV>
            <wp:extent cx="3051810" cy="857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i w:val="1"/>
          <w:iCs w:val="1"/>
          <w:color w:val="auto"/>
        </w:rPr>
        <w:t>the Articles of Organization of</w:t>
      </w:r>
      <w:r>
        <w:rPr>
          <w:rFonts w:ascii="Arial" w:cs="Arial" w:eastAsia="Arial" w:hAnsi="Arial"/>
          <w:sz w:val="18"/>
          <w:szCs w:val="18"/>
          <w:b w:val="1"/>
          <w:bCs w:val="1"/>
          <w:i w:val="1"/>
          <w:iCs w:val="1"/>
          <w:color w:val="auto"/>
        </w:rPr>
        <w:t xml:space="preserve"> AMERICAN STOCK TRANSFER &amp; TRUST COMPANY, LLC, </w:t>
      </w:r>
      <w:r>
        <w:rPr>
          <w:rFonts w:ascii="Arial" w:cs="Arial" w:eastAsia="Arial" w:hAnsi="Arial"/>
          <w:sz w:val="18"/>
          <w:szCs w:val="18"/>
          <w:i w:val="1"/>
          <w:iCs w:val="1"/>
          <w:color w:val="auto"/>
        </w:rPr>
        <w:t>of New York, New York, have heretofore been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duly approved and said </w:t>
      </w:r>
      <w:r>
        <w:rPr>
          <w:rFonts w:ascii="Arial" w:cs="Arial" w:eastAsia="Arial" w:hAnsi="Arial"/>
          <w:sz w:val="18"/>
          <w:szCs w:val="18"/>
          <w:b w:val="1"/>
          <w:bCs w:val="1"/>
          <w:i w:val="1"/>
          <w:iCs w:val="1"/>
          <w:color w:val="auto"/>
        </w:rPr>
        <w:t>AMERICAN STOCK TRANSFER &amp; TRUST COMPANY, LLC</w:t>
      </w:r>
      <w:r>
        <w:rPr>
          <w:rFonts w:ascii="Arial" w:cs="Arial" w:eastAsia="Arial" w:hAnsi="Arial"/>
          <w:sz w:val="18"/>
          <w:szCs w:val="18"/>
          <w:i w:val="1"/>
          <w:iCs w:val="1"/>
          <w:color w:val="auto"/>
        </w:rPr>
        <w:t xml:space="preserve"> has complied with the provisions of Chapter 2 of the Consolidated Laws,</w:t>
      </w:r>
    </w:p>
    <w:p>
      <w:pPr>
        <w:spacing w:after="0" w:line="29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Now Therefore I, David S. Fredsall, as Deputy Superintendent of Banks of the State of New York, do hereby authorize the said </w:t>
      </w:r>
      <w:r>
        <w:rPr>
          <w:rFonts w:ascii="Arial" w:cs="Arial" w:eastAsia="Arial" w:hAnsi="Arial"/>
          <w:sz w:val="18"/>
          <w:szCs w:val="18"/>
          <w:b w:val="1"/>
          <w:bCs w:val="1"/>
          <w:i w:val="1"/>
          <w:iCs w:val="1"/>
          <w:color w:val="auto"/>
        </w:rPr>
        <w:t>AMERICAN STOCK</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TRANSFER &amp; TRUST COMPANY, LLC </w:t>
      </w:r>
      <w:r>
        <w:rPr>
          <w:rFonts w:ascii="Arial" w:cs="Arial" w:eastAsia="Arial" w:hAnsi="Arial"/>
          <w:sz w:val="18"/>
          <w:szCs w:val="18"/>
          <w:i w:val="1"/>
          <w:iCs w:val="1"/>
          <w:color w:val="auto"/>
        </w:rPr>
        <w:t>to transact the business of a Limited Liability Trust Company, at 59 Maiden Lane, Borough of Manhattan,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City of New York within this State.</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In Witness Whereof, </w:t>
      </w:r>
      <w:r>
        <w:rPr>
          <w:rFonts w:ascii="Arial" w:cs="Arial" w:eastAsia="Arial" w:hAnsi="Arial"/>
          <w:sz w:val="18"/>
          <w:szCs w:val="18"/>
          <w:i w:val="1"/>
          <w:iCs w:val="1"/>
          <w:color w:val="auto"/>
        </w:rPr>
        <w:t>I have hereunto set my hand and affixed the official seal of the Banking Department, this 30</w:t>
      </w:r>
      <w:r>
        <w:rPr>
          <w:rFonts w:ascii="Arial" w:cs="Arial" w:eastAsia="Arial" w:hAnsi="Arial"/>
          <w:sz w:val="15"/>
          <w:szCs w:val="15"/>
          <w:i w:val="1"/>
          <w:iCs w:val="1"/>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day of May in the year two thousand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eight.</w:t>
      </w:r>
    </w:p>
    <w:p>
      <w:pPr>
        <w:spacing w:after="0" w:line="1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S. Fredsall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14605</wp:posOffset>
            </wp:positionV>
            <wp:extent cx="26828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Deputy Superintendent of Banks</w:t>
      </w:r>
    </w:p>
    <w:p>
      <w:pPr>
        <w:sectPr>
          <w:pgSz w:w="11900" w:h="16838" w:orient="portrait"/>
          <w:cols w:equalWidth="0" w:num="1">
            <w:col w:w="11020"/>
          </w:cols>
          <w:pgMar w:left="440" w:top="270"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T-1.4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TRUST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1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THIS FIFTH AMENDED AND RESTATED LIMITED LIABILITY TRUST COMPANY AGREEMENT (as amended, amended and restated, supplemented or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of American Stock Transfer &amp; Trust Company, LLC (the “</w:t>
      </w:r>
      <w:r>
        <w:rPr>
          <w:rFonts w:ascii="Arial" w:cs="Arial" w:eastAsia="Arial" w:hAnsi="Arial"/>
          <w:sz w:val="17"/>
          <w:szCs w:val="17"/>
          <w:u w:val="single" w:color="auto"/>
          <w:color w:val="auto"/>
        </w:rPr>
        <w:t>Company</w:t>
      </w:r>
      <w:r>
        <w:rPr>
          <w:rFonts w:ascii="Arial" w:cs="Arial" w:eastAsia="Arial" w:hAnsi="Arial"/>
          <w:sz w:val="17"/>
          <w:szCs w:val="17"/>
          <w:color w:val="auto"/>
        </w:rPr>
        <w:t>”) dated as of this 10th day of December, 2021, by Armor Holding II LLC, as the sole member of the Company (the “</w:t>
      </w:r>
      <w:r>
        <w:rPr>
          <w:rFonts w:ascii="Arial" w:cs="Arial" w:eastAsia="Arial" w:hAnsi="Arial"/>
          <w:sz w:val="17"/>
          <w:szCs w:val="17"/>
          <w:u w:val="single" w:color="auto"/>
          <w:color w:val="auto"/>
        </w:rPr>
        <w:t>Member</w:t>
      </w:r>
      <w:r>
        <w:rPr>
          <w:rFonts w:ascii="Arial" w:cs="Arial" w:eastAsia="Arial" w:hAnsi="Arial"/>
          <w:sz w:val="17"/>
          <w:szCs w:val="17"/>
          <w:color w:val="auto"/>
        </w:rPr>
        <w:t>”), amends and restates the Fourth Amended and Restated Limited Liability Trust Company Agreement of the Company dated as of September 2, 2020 in its entirety.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the Banking Law of the State of New York and any successor statute, as amended from time to time (the “</w:t>
      </w:r>
      <w:r>
        <w:rPr>
          <w:rFonts w:ascii="Arial" w:cs="Arial" w:eastAsia="Arial" w:hAnsi="Arial"/>
          <w:sz w:val="18"/>
          <w:szCs w:val="18"/>
          <w:u w:val="single" w:color="auto"/>
          <w:color w:val="auto"/>
        </w:rPr>
        <w:t>Banking Law</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Limited Liability Trust Company</w:t>
      </w:r>
    </w:p>
    <w:p>
      <w:pPr>
        <w:spacing w:after="0" w:line="211"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Formation</w:t>
      </w:r>
      <w:r>
        <w:rPr>
          <w:rFonts w:ascii="Arial" w:cs="Arial" w:eastAsia="Arial" w:hAnsi="Arial"/>
          <w:sz w:val="16"/>
          <w:szCs w:val="16"/>
          <w:color w:val="auto"/>
        </w:rPr>
        <w:t>.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5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Name</w:t>
      </w:r>
      <w:r>
        <w:rPr>
          <w:rFonts w:ascii="Arial" w:cs="Arial" w:eastAsia="Arial" w:hAnsi="Arial"/>
          <w:sz w:val="18"/>
          <w:szCs w:val="18"/>
          <w:color w:val="auto"/>
        </w:rPr>
        <w:t>. The name of the Company shall be “American Stock Transfer &amp;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Business Purpose</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Powers</w:t>
      </w:r>
      <w:r>
        <w:rPr>
          <w:rFonts w:ascii="Arial" w:cs="Arial" w:eastAsia="Arial" w:hAnsi="Arial"/>
          <w:sz w:val="18"/>
          <w:szCs w:val="18"/>
          <w:color w:val="auto"/>
        </w:rPr>
        <w:t>. The purposes for which the Company is formed are:</w:t>
      </w:r>
    </w:p>
    <w:p>
      <w:pPr>
        <w:spacing w:after="0" w:line="225" w:lineRule="exact"/>
        <w:rPr>
          <w:sz w:val="20"/>
          <w:szCs w:val="20"/>
          <w:color w:val="auto"/>
        </w:rPr>
      </w:pPr>
    </w:p>
    <w:p>
      <w:pPr>
        <w:ind w:right="180" w:firstLine="987"/>
        <w:spacing w:after="0" w:line="259" w:lineRule="auto"/>
        <w:tabs>
          <w:tab w:leader="none" w:pos="12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87" w:lineRule="exact"/>
        <w:rPr>
          <w:sz w:val="20"/>
          <w:szCs w:val="20"/>
          <w:color w:val="auto"/>
        </w:rPr>
      </w:pPr>
    </w:p>
    <w:p>
      <w:pPr>
        <w:ind w:right="140" w:firstLine="987"/>
        <w:spacing w:after="0" w:line="277" w:lineRule="auto"/>
        <w:tabs>
          <w:tab w:leader="none" w:pos="10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in furtherance of the foregoing, to engage in any lawful act or activity for which limited liability trust companies may be formed under the Banking Law.</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Registered Office and Agent</w:t>
      </w:r>
      <w:r>
        <w:rPr>
          <w:rFonts w:ascii="Arial" w:cs="Arial" w:eastAsia="Arial" w:hAnsi="Arial"/>
          <w:sz w:val="18"/>
          <w:szCs w:val="18"/>
          <w:color w:val="auto"/>
        </w:rPr>
        <w:t>.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w:t>
      </w:r>
    </w:p>
    <w:p>
      <w:pPr>
        <w:sectPr>
          <w:pgSz w:w="11900" w:h="16838" w:orient="portrait"/>
          <w:cols w:equalWidth="0" w:num="1">
            <w:col w:w="11020"/>
          </w:cols>
          <w:pgMar w:left="440" w:top="270" w:right="439" w:bottom="1440" w:gutter="0" w:footer="0" w:header="0"/>
        </w:sectPr>
      </w:pPr>
    </w:p>
    <w:bookmarkStart w:id="95" w:name="page96"/>
    <w:bookmarkEnd w:id="95"/>
    <w:p>
      <w:pPr>
        <w:jc w:val="both"/>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t>
      </w:r>
      <w:r>
        <w:rPr>
          <w:rFonts w:ascii="Arial" w:cs="Arial" w:eastAsia="Arial" w:hAnsi="Arial"/>
          <w:sz w:val="18"/>
          <w:szCs w:val="18"/>
          <w:i w:val="1"/>
          <w:iCs w:val="1"/>
          <w:u w:val="single" w:color="auto"/>
          <w:color w:val="auto"/>
        </w:rPr>
        <w:t>Term</w:t>
      </w:r>
      <w:r>
        <w:rPr>
          <w:rFonts w:ascii="Arial" w:cs="Arial" w:eastAsia="Arial" w:hAnsi="Arial"/>
          <w:sz w:val="18"/>
          <w:szCs w:val="18"/>
          <w:color w:val="auto"/>
        </w:rPr>
        <w:t>. Subject to the provisions of Article 6 below, the Company shall continue until December 31, 2040, unless the Members agree to extend such date.</w:t>
      </w:r>
    </w:p>
    <w:p>
      <w:pPr>
        <w:spacing w:after="0" w:line="382"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80" w:type="dxa"/>
            <w:vAlign w:val="bottom"/>
            <w:gridSpan w:val="3"/>
          </w:tcPr>
          <w:p>
            <w:pPr>
              <w:ind w:left="2940"/>
              <w:spacing w:after="0"/>
              <w:rPr>
                <w:sz w:val="20"/>
                <w:szCs w:val="20"/>
                <w:color w:val="auto"/>
              </w:rPr>
            </w:pPr>
            <w:r>
              <w:rPr>
                <w:rFonts w:ascii="Arial" w:cs="Arial" w:eastAsia="Arial" w:hAnsi="Arial"/>
                <w:sz w:val="18"/>
                <w:szCs w:val="18"/>
                <w:b w:val="1"/>
                <w:bCs w:val="1"/>
                <w:color w:val="auto"/>
              </w:rPr>
              <w:t>ARTICLE 2</w:t>
            </w:r>
          </w:p>
        </w:tc>
        <w:tc>
          <w:tcPr>
            <w:tcW w:w="4660" w:type="dxa"/>
            <w:vAlign w:val="bottom"/>
          </w:tcPr>
          <w:p>
            <w:pPr>
              <w:spacing w:after="0"/>
              <w:rPr>
                <w:sz w:val="19"/>
                <w:szCs w:val="19"/>
                <w:color w:val="auto"/>
              </w:rPr>
            </w:pPr>
          </w:p>
        </w:tc>
      </w:tr>
      <w:tr>
        <w:trPr>
          <w:trHeight w:val="190"/>
        </w:trPr>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The Member</w:t>
            </w:r>
          </w:p>
        </w:tc>
        <w:tc>
          <w:tcPr>
            <w:tcW w:w="380" w:type="dxa"/>
            <w:vAlign w:val="bottom"/>
          </w:tcPr>
          <w:p>
            <w:pPr>
              <w:spacing w:after="0"/>
              <w:rPr>
                <w:sz w:val="16"/>
                <w:szCs w:val="16"/>
                <w:color w:val="auto"/>
              </w:rPr>
            </w:pPr>
          </w:p>
        </w:tc>
        <w:tc>
          <w:tcPr>
            <w:tcW w:w="4660" w:type="dxa"/>
            <w:vAlign w:val="bottom"/>
          </w:tcPr>
          <w:p>
            <w:pPr>
              <w:spacing w:after="0"/>
              <w:rPr>
                <w:sz w:val="16"/>
                <w:szCs w:val="16"/>
                <w:color w:val="auto"/>
              </w:rPr>
            </w:pPr>
          </w:p>
        </w:tc>
      </w:tr>
      <w:tr>
        <w:trPr>
          <w:trHeight w:val="412"/>
        </w:trPr>
        <w:tc>
          <w:tcPr>
            <w:tcW w:w="5380" w:type="dxa"/>
            <w:vAlign w:val="bottom"/>
            <w:gridSpan w:val="7"/>
          </w:tcPr>
          <w:p>
            <w:pPr>
              <w:spacing w:after="0"/>
              <w:rPr>
                <w:sz w:val="20"/>
                <w:szCs w:val="20"/>
                <w:color w:val="auto"/>
              </w:rPr>
            </w:pPr>
            <w:r>
              <w:rPr>
                <w:rFonts w:ascii="Arial" w:cs="Arial" w:eastAsia="Arial" w:hAnsi="Arial"/>
                <w:sz w:val="18"/>
                <w:szCs w:val="18"/>
                <w:i w:val="1"/>
                <w:iCs w:val="1"/>
                <w:color w:val="auto"/>
                <w:w w:val="98"/>
              </w:rPr>
              <w:t>a. The Member</w:t>
            </w:r>
            <w:r>
              <w:rPr>
                <w:rFonts w:ascii="Arial" w:cs="Arial" w:eastAsia="Arial" w:hAnsi="Arial"/>
                <w:sz w:val="18"/>
                <w:szCs w:val="18"/>
                <w:color w:val="auto"/>
                <w:w w:val="98"/>
              </w:rPr>
              <w:t>. The name and address of the Member is as follows:</w:t>
            </w:r>
          </w:p>
        </w:tc>
        <w:tc>
          <w:tcPr>
            <w:tcW w:w="4660" w:type="dxa"/>
            <w:vAlign w:val="bottom"/>
          </w:tcPr>
          <w:p>
            <w:pPr>
              <w:spacing w:after="0"/>
              <w:rPr>
                <w:sz w:val="24"/>
                <w:szCs w:val="24"/>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79"/>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Address</w:t>
            </w:r>
          </w:p>
        </w:tc>
      </w:tr>
      <w:tr>
        <w:trPr>
          <w:trHeight w:val="195"/>
        </w:trPr>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00" w:type="dxa"/>
            <w:vAlign w:val="bottom"/>
            <w:gridSpan w:val="4"/>
          </w:tcPr>
          <w:p>
            <w:pPr>
              <w:spacing w:after="0" w:line="195" w:lineRule="exact"/>
              <w:rPr>
                <w:sz w:val="20"/>
                <w:szCs w:val="20"/>
                <w:color w:val="auto"/>
              </w:rPr>
            </w:pPr>
            <w:r>
              <w:rPr>
                <w:rFonts w:ascii="Arial" w:cs="Arial" w:eastAsia="Arial" w:hAnsi="Arial"/>
                <w:sz w:val="18"/>
                <w:szCs w:val="18"/>
                <w:color w:val="auto"/>
              </w:rPr>
              <w:t>Armor Holding II LLC</w:t>
            </w:r>
          </w:p>
        </w:tc>
        <w:tc>
          <w:tcPr>
            <w:tcW w:w="4660" w:type="dxa"/>
            <w:vAlign w:val="bottom"/>
          </w:tcPr>
          <w:p>
            <w:pPr>
              <w:ind w:left="380"/>
              <w:spacing w:after="0" w:line="195" w:lineRule="exact"/>
              <w:rPr>
                <w:sz w:val="20"/>
                <w:szCs w:val="20"/>
                <w:color w:val="auto"/>
              </w:rPr>
            </w:pPr>
            <w:r>
              <w:rPr>
                <w:rFonts w:ascii="Arial" w:cs="Arial" w:eastAsia="Arial" w:hAnsi="Arial"/>
                <w:sz w:val="18"/>
                <w:szCs w:val="18"/>
                <w:color w:val="auto"/>
              </w:rPr>
              <w:t>48 Wall Street, 22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New York, NY 10005</w:t>
            </w:r>
          </w:p>
        </w:tc>
      </w:tr>
    </w:tbl>
    <w:p>
      <w:pPr>
        <w:spacing w:after="0" w:line="202"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i w:val="1"/>
          <w:iCs w:val="1"/>
          <w:u w:val="single" w:color="auto"/>
          <w:color w:val="auto"/>
        </w:rPr>
        <w:t>b. Actions by the Member; Meetings</w:t>
      </w:r>
      <w:r>
        <w:rPr>
          <w:rFonts w:ascii="Arial" w:cs="Arial" w:eastAsia="Arial" w:hAnsi="Arial"/>
          <w:sz w:val="18"/>
          <w:szCs w:val="18"/>
          <w:color w:val="auto"/>
        </w:rPr>
        <w:t>. All actions taken by the Member must be duly authorized by the board of managers of the Member</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Member’s Board</w:t>
      </w:r>
      <w:r>
        <w:rPr>
          <w:rFonts w:ascii="Arial" w:cs="Arial" w:eastAsia="Arial" w:hAnsi="Arial"/>
          <w:sz w:val="18"/>
          <w:szCs w:val="18"/>
          <w:color w:val="auto"/>
        </w:rPr>
        <w:t>”). Subject to the foregoing sentence, the Member may approve a matter or take any action at a meeting or without a meeting by the written consent of the Member. Meetings of the Member may be called at any time by the Member.</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i w:val="1"/>
          <w:iCs w:val="1"/>
          <w:u w:val="single" w:color="auto"/>
          <w:color w:val="auto"/>
        </w:rPr>
        <w:t>c. Liability of the Member</w:t>
      </w:r>
      <w:r>
        <w:rPr>
          <w:rFonts w:ascii="Arial" w:cs="Arial" w:eastAsia="Arial" w:hAnsi="Arial"/>
          <w:sz w:val="18"/>
          <w:szCs w:val="18"/>
          <w:color w:val="auto"/>
        </w:rPr>
        <w:t>. All debts, obligations and liabilities of the Company, whether arising in contract, tort or otherwise,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solely the debts, obligations and liabilities of the Company, and the Member shall not be obligated personally for any such debt, obligation or liability of the Company solely by reason of being a member, except as otherwise provided for by law.</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i w:val="1"/>
          <w:iCs w:val="1"/>
          <w:u w:val="single" w:color="auto"/>
          <w:color w:val="auto"/>
        </w:rPr>
        <w:t>d. Power to Bind the Company</w:t>
      </w:r>
      <w:r>
        <w:rPr>
          <w:rFonts w:ascii="Arial" w:cs="Arial" w:eastAsia="Arial" w:hAnsi="Arial"/>
          <w:sz w:val="18"/>
          <w:szCs w:val="18"/>
          <w:color w:val="auto"/>
        </w:rPr>
        <w:t>. Except as required by the Act or the Banking Law, the Member (acting in its capacity as such)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no authority to bind the Company to any third party with respect to any matter.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e. Admission of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New members shall be admitted only upon the prior written approval of the Member.</w:t>
      </w:r>
    </w:p>
    <w:p>
      <w:pPr>
        <w:spacing w:after="0" w:line="22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i w:val="1"/>
          <w:iCs w:val="1"/>
          <w:u w:val="single" w:color="auto"/>
          <w:color w:val="auto"/>
        </w:rPr>
        <w:t>f. Engagement of Third Parties</w:t>
      </w:r>
      <w:r>
        <w:rPr>
          <w:rFonts w:ascii="Arial" w:cs="Arial" w:eastAsia="Arial" w:hAnsi="Arial"/>
          <w:sz w:val="16"/>
          <w:szCs w:val="16"/>
          <w:color w:val="auto"/>
        </w:rPr>
        <w:t>. The Company, may, from time to time, employ any Person or engage third parties to render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Board</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Management By Board ofManagers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5" w:lineRule="auto"/>
        <w:tabs>
          <w:tab w:leader="none" w:pos="1206"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such matters which are expressly reserved hereunder, under the Act, or under the Banking Law to the Member for decision, the business and affairs of the Company shall be managed by a board of managers (the “</w:t>
      </w:r>
      <w:r>
        <w:rPr>
          <w:rFonts w:ascii="Arial" w:cs="Arial" w:eastAsia="Arial" w:hAnsi="Arial"/>
          <w:sz w:val="17"/>
          <w:szCs w:val="17"/>
          <w:u w:val="single" w:color="auto"/>
          <w:color w:val="auto"/>
        </w:rPr>
        <w:t>Board</w:t>
      </w:r>
      <w:r>
        <w:rPr>
          <w:rFonts w:ascii="Arial" w:cs="Arial" w:eastAsia="Arial" w:hAnsi="Arial"/>
          <w:sz w:val="17"/>
          <w:szCs w:val="17"/>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Arial" w:cs="Arial" w:eastAsia="Arial" w:hAnsi="Arial"/>
          <w:sz w:val="17"/>
          <w:szCs w:val="17"/>
          <w:u w:val="single" w:color="auto"/>
          <w:color w:val="auto"/>
        </w:rPr>
        <w:t>Managers</w:t>
      </w:r>
      <w:r>
        <w:rPr>
          <w:rFonts w:ascii="Arial" w:cs="Arial" w:eastAsia="Arial" w:hAnsi="Arial"/>
          <w:sz w:val="17"/>
          <w:szCs w:val="17"/>
          <w:color w:val="auto"/>
        </w:rPr>
        <w:t>”); provided, that there shall be no fewer than three (3) independent Managers at all times. Such Managers shall be determined from time to time by resolution of the Member.</w:t>
      </w:r>
    </w:p>
    <w:p>
      <w:pPr>
        <w:sectPr>
          <w:pgSz w:w="11900" w:h="16838" w:orient="portrait"/>
          <w:cols w:equalWidth="0" w:num="1">
            <w:col w:w="11020"/>
          </w:cols>
          <w:pgMar w:left="440" w:top="274" w:right="439" w:bottom="1440" w:gutter="0" w:footer="0" w:header="0"/>
        </w:sectPr>
      </w:pPr>
    </w:p>
    <w:bookmarkStart w:id="96" w:name="page97"/>
    <w:bookmarkEnd w:id="96"/>
    <w:p>
      <w:pPr>
        <w:ind w:firstLine="987"/>
        <w:spacing w:after="0" w:line="286" w:lineRule="auto"/>
        <w:tabs>
          <w:tab w:leader="none" w:pos="1256"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Manager shall be elected by the Member and shall serve until his or her successor has been duly elected and qualified, or until his or her earlier removal, resignation, death or disability. The Member may remove any Manager from the Board or from any other capacity with the Company at any time, with or without cause. A Manager may resign at any time upon written notice to the Member.</w:t>
      </w:r>
    </w:p>
    <w:p>
      <w:pPr>
        <w:spacing w:after="0" w:line="165" w:lineRule="exact"/>
        <w:rPr>
          <w:rFonts w:ascii="Arial" w:cs="Arial" w:eastAsia="Arial" w:hAnsi="Arial"/>
          <w:sz w:val="17"/>
          <w:szCs w:val="17"/>
          <w:color w:val="auto"/>
        </w:rPr>
      </w:pPr>
    </w:p>
    <w:p>
      <w:pPr>
        <w:jc w:val="both"/>
        <w:ind w:right="40" w:firstLine="987"/>
        <w:spacing w:after="0" w:line="263" w:lineRule="auto"/>
        <w:tabs>
          <w:tab w:leader="none" w:pos="13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75" w:lineRule="exact"/>
        <w:rPr>
          <w:rFonts w:ascii="Arial" w:cs="Arial" w:eastAsia="Arial" w:hAnsi="Arial"/>
          <w:sz w:val="18"/>
          <w:szCs w:val="18"/>
          <w:color w:val="auto"/>
        </w:rPr>
      </w:pPr>
    </w:p>
    <w:p>
      <w:pPr>
        <w:ind w:left="1600" w:hanging="172"/>
        <w:spacing w:after="0"/>
        <w:tabs>
          <w:tab w:leader="none" w:pos="1600"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Action By the Board</w:t>
      </w:r>
      <w:r>
        <w:rPr>
          <w:rFonts w:ascii="Arial" w:cs="Arial" w:eastAsia="Arial" w:hAnsi="Arial"/>
          <w:sz w:val="18"/>
          <w:szCs w:val="18"/>
          <w:color w:val="auto"/>
        </w:rPr>
        <w:t>.</w:t>
      </w:r>
    </w:p>
    <w:p>
      <w:pPr>
        <w:spacing w:after="0" w:line="225" w:lineRule="exact"/>
        <w:rPr>
          <w:sz w:val="20"/>
          <w:szCs w:val="20"/>
          <w:color w:val="auto"/>
        </w:rPr>
      </w:pPr>
    </w:p>
    <w:p>
      <w:pPr>
        <w:ind w:right="300" w:firstLine="987"/>
        <w:spacing w:after="0" w:line="279" w:lineRule="auto"/>
        <w:tabs>
          <w:tab w:leader="none" w:pos="1206"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171" w:lineRule="exact"/>
        <w:rPr>
          <w:rFonts w:ascii="Arial" w:cs="Arial" w:eastAsia="Arial" w:hAnsi="Arial"/>
          <w:sz w:val="17"/>
          <w:szCs w:val="17"/>
          <w:color w:val="auto"/>
        </w:rPr>
      </w:pPr>
    </w:p>
    <w:p>
      <w:pPr>
        <w:jc w:val="both"/>
        <w:ind w:right="120" w:firstLine="987"/>
        <w:spacing w:after="0" w:line="263" w:lineRule="auto"/>
        <w:tabs>
          <w:tab w:leader="none" w:pos="12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75" w:lineRule="exact"/>
        <w:rPr>
          <w:rFonts w:ascii="Arial" w:cs="Arial" w:eastAsia="Arial" w:hAnsi="Arial"/>
          <w:sz w:val="18"/>
          <w:szCs w:val="18"/>
          <w:color w:val="auto"/>
        </w:rPr>
      </w:pPr>
    </w:p>
    <w:p>
      <w:pPr>
        <w:ind w:right="40" w:firstLine="1428"/>
        <w:spacing w:after="0" w:line="263" w:lineRule="auto"/>
        <w:tabs>
          <w:tab w:leader="none" w:pos="1602" w:val="left"/>
        </w:tabs>
        <w:numPr>
          <w:ilvl w:val="1"/>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Power to Bind Company</w:t>
      </w:r>
      <w:r>
        <w:rPr>
          <w:rFonts w:ascii="Arial" w:cs="Arial" w:eastAsia="Arial" w:hAnsi="Arial"/>
          <w:sz w:val="18"/>
          <w:szCs w:val="18"/>
          <w:color w:val="auto"/>
        </w:rPr>
        <w:t>. None of the Managers (acting in their capacity as such) shall have authority to bind the Company to any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with respect to any matter unless the Board shall have approved such matter and authorized such Manager(s) to bind the Company with respect thereto.</w:t>
      </w:r>
    </w:p>
    <w:p>
      <w:pPr>
        <w:spacing w:after="0" w:line="75" w:lineRule="exact"/>
        <w:rPr>
          <w:rFonts w:ascii="Arial" w:cs="Arial" w:eastAsia="Arial" w:hAnsi="Arial"/>
          <w:sz w:val="18"/>
          <w:szCs w:val="18"/>
          <w:color w:val="auto"/>
        </w:rPr>
      </w:pPr>
    </w:p>
    <w:p>
      <w:pPr>
        <w:ind w:left="1600" w:hanging="172"/>
        <w:spacing w:after="0"/>
        <w:tabs>
          <w:tab w:leader="none" w:pos="1600" w:val="left"/>
        </w:tabs>
        <w:numPr>
          <w:ilvl w:val="1"/>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Officers and Related Persons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6" w:lineRule="auto"/>
        <w:tabs>
          <w:tab w:leader="none" w:pos="120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Structure and Contributions</w:t>
      </w:r>
    </w:p>
    <w:p>
      <w:pPr>
        <w:spacing w:after="0" w:line="21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Capital Structure</w:t>
      </w:r>
      <w:r>
        <w:rPr>
          <w:rFonts w:ascii="Arial" w:cs="Arial" w:eastAsia="Arial" w:hAnsi="Arial"/>
          <w:sz w:val="18"/>
          <w:szCs w:val="18"/>
          <w:color w:val="auto"/>
        </w:rPr>
        <w:t>. The capital structure of the Company shall consist of one class of common interests, par value $1.00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The Member shall own all of the Common Interests issued and outstanding.</w:t>
      </w:r>
    </w:p>
    <w:p>
      <w:pPr>
        <w:sectPr>
          <w:pgSz w:w="11900" w:h="16838" w:orient="portrait"/>
          <w:cols w:equalWidth="0" w:num="1">
            <w:col w:w="11000"/>
          </w:cols>
          <w:pgMar w:left="440" w:top="274" w:right="459" w:bottom="1440" w:gutter="0" w:footer="0" w:header="0"/>
        </w:sectPr>
      </w:pPr>
    </w:p>
    <w:bookmarkStart w:id="97" w:name="page98"/>
    <w:bookmarkEnd w:id="97"/>
    <w:p>
      <w:pPr>
        <w:jc w:val="both"/>
        <w:ind w:right="140" w:firstLine="991"/>
        <w:spacing w:after="0" w:line="263"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Capital Contributions</w:t>
      </w:r>
      <w:r>
        <w:rPr>
          <w:rFonts w:ascii="Arial" w:cs="Arial" w:eastAsia="Arial" w:hAnsi="Arial"/>
          <w:sz w:val="18"/>
          <w:szCs w:val="18"/>
          <w:color w:val="auto"/>
        </w:rPr>
        <w:t>. From time to time, the Board may determine that the Company requires capital and may request the Member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capital contribution(s) in an amount determined by the Board. A capital account shall be maintained for the Member, to which contributions and profits shall be credited and against which distributions and losses shall be charged.</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u w:val="single" w:color="auto"/>
          <w:color w:val="auto"/>
        </w:rPr>
        <w:t>c. Right to Issue Certificates</w:t>
      </w:r>
      <w:r>
        <w:rPr>
          <w:rFonts w:ascii="Arial" w:cs="Arial" w:eastAsia="Arial" w:hAnsi="Arial"/>
          <w:sz w:val="18"/>
          <w:szCs w:val="18"/>
          <w:color w:val="auto"/>
        </w:rPr>
        <w:t>. The ownership of a Common Interest by a Member shall be evidenced by a certificate (a “</w:t>
      </w:r>
      <w:r>
        <w:rPr>
          <w:rFonts w:ascii="Arial" w:cs="Arial" w:eastAsia="Arial" w:hAnsi="Arial"/>
          <w:sz w:val="18"/>
          <w:szCs w:val="18"/>
          <w:u w:val="single" w:color="auto"/>
          <w:color w:val="auto"/>
        </w:rPr>
        <w:t>Certificate</w:t>
      </w:r>
      <w:r>
        <w:rPr>
          <w:rFonts w:ascii="Arial" w:cs="Arial" w:eastAsia="Arial" w:hAnsi="Arial"/>
          <w:sz w:val="18"/>
          <w:szCs w:val="18"/>
          <w:color w:val="auto"/>
        </w:rPr>
        <w:t>”)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All Common Interests in the Company shall be securities governed by Article 8 of the Uniform Commercial Code as in effect from time to time in any jurisdiction, including without limitation the State of New York.</w:t>
      </w:r>
    </w:p>
    <w:p>
      <w:pPr>
        <w:spacing w:after="0" w:line="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i w:val="1"/>
          <w:iCs w:val="1"/>
          <w:u w:val="single" w:color="auto"/>
          <w:color w:val="auto"/>
        </w:rPr>
        <w:t>d. Form of Certificates</w:t>
      </w:r>
      <w:r>
        <w:rPr>
          <w:rFonts w:ascii="Arial" w:cs="Arial" w:eastAsia="Arial" w:hAnsi="Arial"/>
          <w:sz w:val="18"/>
          <w:szCs w:val="18"/>
          <w:color w:val="auto"/>
        </w:rPr>
        <w:t>. Certificates attesting to the ownership of Common Interests in the Company shall be in substantially the form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79" w:lineRule="exact"/>
        <w:rPr>
          <w:sz w:val="20"/>
          <w:szCs w:val="20"/>
          <w:color w:val="auto"/>
        </w:rPr>
      </w:pPr>
    </w:p>
    <w:p>
      <w:pPr>
        <w:ind w:left="980" w:right="80"/>
        <w:spacing w:after="0" w:line="254"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FIFTH AMENDED AND RESTATED LIMITED LIABILITY TRUST COMPANY AGREEMENT OF THE COMPANY DATED AS OF DECEMBER 10, 2021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i w:val="1"/>
          <w:iCs w:val="1"/>
          <w:u w:val="single" w:color="auto"/>
          <w:color w:val="auto"/>
        </w:rPr>
        <w:t>e. Execution</w:t>
      </w:r>
      <w:r>
        <w:rPr>
          <w:rFonts w:ascii="Arial" w:cs="Arial" w:eastAsia="Arial" w:hAnsi="Arial"/>
          <w:sz w:val="18"/>
          <w:szCs w:val="18"/>
          <w:color w:val="auto"/>
        </w:rPr>
        <w:t>. Each Certificate shall be signed by the Chief Executive Officer, the President, the Secretary, an Assistant Secretary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officer or person of the Company by either manual or facsimile signature.</w:t>
      </w:r>
    </w:p>
    <w:p>
      <w:pPr>
        <w:spacing w:after="0" w:line="62"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i w:val="1"/>
          <w:iCs w:val="1"/>
          <w:u w:val="single" w:color="auto"/>
          <w:color w:val="auto"/>
        </w:rPr>
        <w:t>f. Registrar</w:t>
      </w:r>
      <w:r>
        <w:rPr>
          <w:rFonts w:ascii="Arial" w:cs="Arial" w:eastAsia="Arial" w:hAnsi="Arial"/>
          <w:sz w:val="16"/>
          <w:szCs w:val="16"/>
          <w:color w:val="auto"/>
        </w:rPr>
        <w:t>. The Company shall maintain an office where Certificates may be presented for registration of transfer or for exchange. Unless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designated, the Secretary of the Company shall act as registrar and shall keep a register of the Certificates and of their transfer and exchange.</w:t>
      </w:r>
    </w:p>
    <w:p>
      <w:pPr>
        <w:spacing w:after="0" w:line="1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i w:val="1"/>
          <w:iCs w:val="1"/>
          <w:u w:val="single" w:color="auto"/>
          <w:color w:val="auto"/>
        </w:rPr>
        <w:t>g. Issuance</w:t>
      </w:r>
      <w:r>
        <w:rPr>
          <w:rFonts w:ascii="Arial" w:cs="Arial" w:eastAsia="Arial" w:hAnsi="Arial"/>
          <w:sz w:val="18"/>
          <w:szCs w:val="18"/>
          <w:color w:val="auto"/>
        </w:rPr>
        <w:t>. The Certificates of the Company shall be numbered and registered in the interest register or transfer books of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issued.</w:t>
      </w:r>
    </w:p>
    <w:p>
      <w:pPr>
        <w:spacing w:after="0" w:line="62"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i w:val="1"/>
          <w:iCs w:val="1"/>
          <w:u w:val="single" w:color="auto"/>
          <w:color w:val="auto"/>
        </w:rPr>
        <w:t>h. Common Interest Holder Lists</w:t>
      </w:r>
      <w:r>
        <w:rPr>
          <w:rFonts w:ascii="Arial" w:cs="Arial" w:eastAsia="Arial" w:hAnsi="Arial"/>
          <w:sz w:val="18"/>
          <w:szCs w:val="18"/>
          <w:color w:val="auto"/>
        </w:rPr>
        <w:t>. The Company shall preserve in as current a form as is reasonably practicable the most recent list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 of the names and addresses of all holders of Common Interests.</w:t>
      </w:r>
    </w:p>
    <w:p>
      <w:pPr>
        <w:sectPr>
          <w:pgSz w:w="11900" w:h="16838" w:orient="portrait"/>
          <w:cols w:equalWidth="0" w:num="1">
            <w:col w:w="11000"/>
          </w:cols>
          <w:pgMar w:left="440" w:top="274" w:right="459" w:bottom="1440" w:gutter="0" w:footer="0" w:header="0"/>
        </w:sectPr>
      </w:pPr>
    </w:p>
    <w:bookmarkStart w:id="98" w:name="page99"/>
    <w:bookmarkEnd w:id="98"/>
    <w:p>
      <w:pPr>
        <w:ind w:right="20" w:firstLine="991"/>
        <w:spacing w:after="0" w:line="291"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Transfer and Exchange</w:t>
      </w:r>
      <w:r>
        <w:rPr>
          <w:rFonts w:ascii="Arial" w:cs="Arial" w:eastAsia="Arial" w:hAnsi="Arial"/>
          <w:sz w:val="16"/>
          <w:szCs w:val="16"/>
          <w:color w:val="auto"/>
        </w:rPr>
        <w:t>. When Certificates are presented to the Company with a request to register a transfer, the Company shall register</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 or governmental or regulatory body thereof, whether federal, state or local, or otherwise violate the terms of this Agreement.</w:t>
      </w:r>
    </w:p>
    <w:p>
      <w:pPr>
        <w:spacing w:after="0" w:line="58" w:lineRule="exact"/>
        <w:rPr>
          <w:sz w:val="20"/>
          <w:szCs w:val="20"/>
          <w:color w:val="auto"/>
        </w:rPr>
      </w:pPr>
    </w:p>
    <w:p>
      <w:pPr>
        <w:ind w:right="340" w:firstLine="991"/>
        <w:spacing w:after="0" w:line="301" w:lineRule="auto"/>
        <w:rPr>
          <w:sz w:val="20"/>
          <w:szCs w:val="20"/>
          <w:color w:val="auto"/>
        </w:rPr>
      </w:pPr>
      <w:r>
        <w:rPr>
          <w:rFonts w:ascii="Arial" w:cs="Arial" w:eastAsia="Arial" w:hAnsi="Arial"/>
          <w:sz w:val="16"/>
          <w:szCs w:val="16"/>
          <w:i w:val="1"/>
          <w:iCs w:val="1"/>
          <w:u w:val="single" w:color="auto"/>
          <w:color w:val="auto"/>
        </w:rPr>
        <w:t>j. Record Holder</w:t>
      </w:r>
      <w:r>
        <w:rPr>
          <w:rFonts w:ascii="Arial" w:cs="Arial" w:eastAsia="Arial" w:hAnsi="Arial"/>
          <w:sz w:val="16"/>
          <w:szCs w:val="16"/>
          <w:color w:val="auto"/>
        </w:rPr>
        <w:t>. Except to the extent that the Company shall have received written notice of an assignment of Common Interests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49"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i w:val="1"/>
          <w:iCs w:val="1"/>
          <w:u w:val="single" w:color="auto"/>
          <w:color w:val="auto"/>
        </w:rPr>
        <w:t>k. Replacement Certificates</w:t>
      </w:r>
      <w:r>
        <w:rPr>
          <w:rFonts w:ascii="Arial" w:cs="Arial" w:eastAsia="Arial" w:hAnsi="Arial"/>
          <w:sz w:val="18"/>
          <w:szCs w:val="18"/>
          <w:color w:val="auto"/>
        </w:rPr>
        <w:t>. If any mutilated Certificate is surrendered to the Company, or the Company receives evidence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Profits, Losses and Distributions</w:t>
      </w:r>
    </w:p>
    <w:p>
      <w:pPr>
        <w:spacing w:after="0" w:line="211"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i w:val="1"/>
          <w:iCs w:val="1"/>
          <w:u w:val="single" w:color="auto"/>
          <w:color w:val="auto"/>
        </w:rPr>
        <w:t>a. Profits and Losses</w:t>
      </w:r>
      <w:r>
        <w:rPr>
          <w:rFonts w:ascii="Arial" w:cs="Arial" w:eastAsia="Arial" w:hAnsi="Arial"/>
          <w:sz w:val="17"/>
          <w:szCs w:val="17"/>
          <w:color w:val="auto"/>
        </w:rPr>
        <w:t>. For financial accounting and tax purposes, the Company’s net profits or net losses shall be determined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in accordance with the manner determined by the Board. In each year, profits and losses shall be allocated entirely to the Member.</w:t>
      </w:r>
    </w:p>
    <w:p>
      <w:pPr>
        <w:spacing w:after="0" w:line="38"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i w:val="1"/>
          <w:iCs w:val="1"/>
          <w:u w:val="single" w:color="auto"/>
          <w:color w:val="auto"/>
        </w:rPr>
        <w:t>b. Distributions</w:t>
      </w:r>
      <w:r>
        <w:rPr>
          <w:rFonts w:ascii="Arial" w:cs="Arial" w:eastAsia="Arial" w:hAnsi="Arial"/>
          <w:sz w:val="17"/>
          <w:szCs w:val="17"/>
          <w:color w:val="auto"/>
        </w:rPr>
        <w:t>. The Board shall determine profits available for distribution and the amount, if any, to be distributed to the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Events of Dissolution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shall be dissolved and its affairs wound up only upon the occurrence of any of the following events (each, an “</w:t>
      </w:r>
      <w:r>
        <w:rPr>
          <w:rFonts w:ascii="Arial" w:cs="Arial" w:eastAsia="Arial" w:hAnsi="Arial"/>
          <w:sz w:val="17"/>
          <w:szCs w:val="17"/>
          <w:u w:val="single" w:color="auto"/>
          <w:color w:val="auto"/>
        </w:rPr>
        <w:t>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Board votes for dissolution; 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A dissolution of the Company under Section 102-a(2) of the Banking Law or Section 701 of the Act.</w:t>
      </w:r>
    </w:p>
    <w:p>
      <w:pPr>
        <w:sectPr>
          <w:pgSz w:w="11900" w:h="16838" w:orient="portrait"/>
          <w:cols w:equalWidth="0" w:num="1">
            <w:col w:w="10980"/>
          </w:cols>
          <w:pgMar w:left="440" w:top="274" w:right="47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Transfer of Interests in the Company</w:t>
      </w:r>
    </w:p>
    <w:p>
      <w:pPr>
        <w:spacing w:after="0" w:line="21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Exculpation and Indemnification</w:t>
      </w:r>
    </w:p>
    <w:p>
      <w:pPr>
        <w:spacing w:after="0" w:line="211"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i w:val="1"/>
          <w:iCs w:val="1"/>
          <w:u w:val="single" w:color="auto"/>
          <w:color w:val="auto"/>
        </w:rPr>
        <w:t>a. Exculpation</w:t>
      </w:r>
      <w:r>
        <w:rPr>
          <w:rFonts w:ascii="Arial" w:cs="Arial" w:eastAsia="Arial" w:hAnsi="Arial"/>
          <w:sz w:val="17"/>
          <w:szCs w:val="17"/>
          <w:color w:val="auto"/>
        </w:rPr>
        <w:t>. The Member shall not have any liability for the obligations or liabilities of the Company except to the extent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Arial" w:cs="Arial" w:eastAsia="Arial" w:hAnsi="Arial"/>
          <w:sz w:val="17"/>
          <w:szCs w:val="17"/>
          <w:u w:val="single" w:color="auto"/>
          <w:color w:val="auto"/>
        </w:rPr>
        <w:t>Covered Person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73"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i w:val="1"/>
          <w:iCs w:val="1"/>
          <w:u w:val="single" w:color="auto"/>
          <w:color w:val="auto"/>
        </w:rPr>
        <w:t>b. Indemnification</w:t>
      </w:r>
      <w:r>
        <w:rPr>
          <w:rFonts w:ascii="Arial" w:cs="Arial" w:eastAsia="Arial" w:hAnsi="Arial"/>
          <w:sz w:val="16"/>
          <w:szCs w:val="16"/>
          <w:color w:val="auto"/>
        </w:rPr>
        <w:t>. To the fullest extent permitted by law, the Company shall indemnify and hold harmless each Covered Person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any and all losses, claims, demands, liabilities, expenses, judgments, fines, settlements and other amounts arising from any and all claims, demands, actions, suits or proceedings, civil, criminal, administrative or investigative (“</w:t>
      </w:r>
      <w:r>
        <w:rPr>
          <w:rFonts w:ascii="Arial" w:cs="Arial" w:eastAsia="Arial" w:hAnsi="Arial"/>
          <w:sz w:val="16"/>
          <w:szCs w:val="16"/>
          <w:u w:val="single" w:color="auto"/>
          <w:color w:val="auto"/>
        </w:rPr>
        <w:t>Claims</w:t>
      </w:r>
      <w:r>
        <w:rPr>
          <w:rFonts w:ascii="Arial" w:cs="Arial" w:eastAsia="Arial" w:hAnsi="Arial"/>
          <w:sz w:val="16"/>
          <w:szCs w:val="16"/>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6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i w:val="1"/>
          <w:iCs w:val="1"/>
          <w:u w:val="single" w:color="auto"/>
          <w:color w:val="auto"/>
        </w:rPr>
        <w:t>c. Insurance</w:t>
      </w:r>
      <w:r>
        <w:rPr>
          <w:rFonts w:ascii="Arial" w:cs="Arial" w:eastAsia="Arial" w:hAnsi="Arial"/>
          <w:sz w:val="18"/>
          <w:szCs w:val="18"/>
          <w:color w:val="auto"/>
        </w:rPr>
        <w:t>. The Board in its discretion shall have the power to cause the Company to purchase and maintain insurance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and subject to, the Act and Banking Law.</w:t>
      </w:r>
    </w:p>
    <w:p>
      <w:pPr>
        <w:spacing w:after="0" w:line="62"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i w:val="1"/>
          <w:iCs w:val="1"/>
          <w:u w:val="single" w:color="auto"/>
          <w:color w:val="auto"/>
        </w:rPr>
        <w:t>d. Amendments</w:t>
      </w:r>
      <w:r>
        <w:rPr>
          <w:rFonts w:ascii="Arial" w:cs="Arial" w:eastAsia="Arial" w:hAnsi="Arial"/>
          <w:sz w:val="17"/>
          <w:szCs w:val="17"/>
          <w:color w:val="auto"/>
        </w:rPr>
        <w:t>. Any repeal or modification of this Article 8 by the Member shall not adversely affect any rights of such Covered Person</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this Article 8, including the right to indemnification and to the advancement of expenses of a Covered Person existing at the time of such repeal or modification with respect to any acts or omissions occurring prior to such repeal or modification.</w:t>
      </w:r>
    </w:p>
    <w:p>
      <w:pPr>
        <w:sectPr>
          <w:pgSz w:w="11900" w:h="16838" w:orient="portrait"/>
          <w:cols w:equalWidth="0" w:num="1">
            <w:col w:w="10960"/>
          </w:cols>
          <w:pgMar w:left="440" w:top="270" w:right="499" w:bottom="1440" w:gutter="0" w:footer="0" w:header="0"/>
        </w:sectPr>
      </w:pPr>
    </w:p>
    <w:bookmarkStart w:id="100" w:name="page101"/>
    <w:bookmarkEnd w:id="100"/>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i w:val="1"/>
          <w:iCs w:val="1"/>
          <w:u w:val="single" w:color="auto"/>
          <w:color w:val="auto"/>
        </w:rPr>
        <w:t>a. Tax Treatment</w:t>
      </w:r>
      <w:r>
        <w:rPr>
          <w:rFonts w:ascii="Arial" w:cs="Arial" w:eastAsia="Arial" w:hAnsi="Arial"/>
          <w:sz w:val="18"/>
          <w:szCs w:val="18"/>
          <w:color w:val="auto"/>
        </w:rPr>
        <w:t>. Unless otherwise determined by the Member, the Company shall be a disregarded entity for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79"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i w:val="1"/>
          <w:iCs w:val="1"/>
          <w:u w:val="single" w:color="auto"/>
          <w:color w:val="auto"/>
        </w:rPr>
        <w:t>b. Amendments</w:t>
      </w:r>
      <w:r>
        <w:rPr>
          <w:rFonts w:ascii="Arial" w:cs="Arial" w:eastAsia="Arial" w:hAnsi="Arial"/>
          <w:sz w:val="18"/>
          <w:szCs w:val="18"/>
          <w:color w:val="auto"/>
        </w:rPr>
        <w:t>. Amendments to this Agreement and to the Certificate of Formation shall be approved in writing by the Member.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shall become effective as of the date specified in the approval of the Member or if none is specified as of the date of such approval or as otherwise provided in the Act.</w:t>
      </w:r>
    </w:p>
    <w:p>
      <w:pPr>
        <w:spacing w:after="0" w:line="76"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i w:val="1"/>
          <w:iCs w:val="1"/>
          <w:u w:val="single" w:color="auto"/>
          <w:color w:val="auto"/>
        </w:rPr>
        <w:t>c. Severability</w:t>
      </w:r>
      <w:r>
        <w:rPr>
          <w:rFonts w:ascii="Arial" w:cs="Arial" w:eastAsia="Arial" w:hAnsi="Arial"/>
          <w:sz w:val="17"/>
          <w:szCs w:val="17"/>
          <w:color w:val="auto"/>
        </w:rPr>
        <w:t>. If any provision of this Agreement is held to be invalid or unenforceable for any reason, such provision shall be ineffective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68"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i w:val="1"/>
          <w:iCs w:val="1"/>
          <w:u w:val="single" w:color="auto"/>
          <w:color w:val="auto"/>
        </w:rPr>
        <w:t>d. Governing Law</w:t>
      </w:r>
      <w:r>
        <w:rPr>
          <w:rFonts w:ascii="Arial" w:cs="Arial" w:eastAsia="Arial" w:hAnsi="Arial"/>
          <w:sz w:val="18"/>
          <w:szCs w:val="18"/>
          <w:color w:val="auto"/>
        </w:rPr>
        <w:t>. This Agreement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principles of conflicts of laws thereof.</w:t>
      </w:r>
    </w:p>
    <w:p>
      <w:pPr>
        <w:spacing w:after="0" w:line="62"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i w:val="1"/>
          <w:iCs w:val="1"/>
          <w:u w:val="single" w:color="auto"/>
          <w:color w:val="auto"/>
        </w:rPr>
        <w:t>e. Limited Liability Trust Company</w:t>
      </w:r>
      <w:r>
        <w:rPr>
          <w:rFonts w:ascii="Arial" w:cs="Arial" w:eastAsia="Arial" w:hAnsi="Arial"/>
          <w:sz w:val="18"/>
          <w:szCs w:val="18"/>
          <w:color w:val="auto"/>
        </w:rPr>
        <w:t>. The Member intends to form a limited liability trust company and does not intend to form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under the laws of the State of New York or any other laws.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60"/>
          </w:cols>
          <w:pgMar w:left="440" w:top="270" w:right="4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duly executed this Agreement as of the date first written above.</w:t>
      </w:r>
    </w:p>
    <w:p>
      <w:pPr>
        <w:spacing w:after="0" w:line="248"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auto"/>
        </w:rPr>
        <w:t>ARMOR HOLDING II LLC</w:t>
      </w:r>
      <w:r>
        <w:rPr>
          <w:rFonts w:ascii="Arial" w:cs="Arial" w:eastAsia="Arial" w:hAnsi="Arial"/>
          <w:sz w:val="17"/>
          <w:szCs w:val="17"/>
          <w:color w:val="auto"/>
        </w:rPr>
        <w:t>, as sole member</w:t>
      </w:r>
    </w:p>
    <w:p>
      <w:pPr>
        <w:spacing w:after="0" w:line="13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-121920</wp:posOffset>
            </wp:positionV>
            <wp:extent cx="1680210" cy="420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1680210" cy="4203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Martin G. Flanigan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180"/>
          </w:cols>
          <w:pgMar w:left="1300" w:top="274"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w:t>
      </w:r>
    </w:p>
    <w:p>
      <w:pPr>
        <w:spacing w:after="0" w:line="229" w:lineRule="exact"/>
        <w:rPr>
          <w:sz w:val="20"/>
          <w:szCs w:val="20"/>
          <w:color w:val="auto"/>
        </w:rPr>
      </w:pPr>
    </w:p>
    <w:p>
      <w:pPr>
        <w:spacing w:after="0"/>
        <w:tabs>
          <w:tab w:leader="none" w:pos="838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6"/>
          <w:szCs w:val="16"/>
          <w:color w:val="auto"/>
        </w:rPr>
        <w:t>Common Interest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liability trust company formed under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Trust Company Common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FIFTH AMENDED AND RESTATED LIMITED LIABILITY TRUST COMPANY AGREEMENT OF THE COMPANY DATED AS OF DECEMBER 10, 2021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95" w:lineRule="exact"/>
        <w:rPr>
          <w:sz w:val="20"/>
          <w:szCs w:val="20"/>
          <w:color w:val="auto"/>
        </w:rPr>
      </w:pPr>
    </w:p>
    <w:p>
      <w:pPr>
        <w:spacing w:after="0"/>
        <w:tabs>
          <w:tab w:leader="none" w:pos="4920" w:val="left"/>
          <w:tab w:leader="none" w:pos="712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fully paid and non- assessable Common Interests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-10160</wp:posOffset>
            </wp:positionV>
            <wp:extent cx="3681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3681095" cy="8255"/>
                    </a:xfrm>
                    <a:prstGeom prst="rect">
                      <a:avLst/>
                    </a:prstGeom>
                    <a:noFill/>
                  </pic:spPr>
                </pic:pic>
              </a:graphicData>
            </a:graphic>
          </wp:anchor>
        </w:drawing>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above-named Company and is entitled to the full benefits and privileges of such Common Interest, subject to the duties and obligations, as more fully set forth in the LLTC Agreement. This Certificate is transferable on the books of the Company by the holder hereof in person or by duly authorized attorney upon surrender of this Certificate properly endorsed.</w:t>
      </w:r>
    </w:p>
    <w:p>
      <w:pPr>
        <w:spacing w:after="0" w:line="186"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said Limited Liability Company has caused this Certificate, and the Common Interest it represents,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duly authorized officer this ___ day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of ______, 20__.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286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Fifth Amended and Restated Limited Liability Trust Company Agreement]</w:t>
      </w:r>
    </w:p>
    <w:p>
      <w:pPr>
        <w:sectPr>
          <w:pgSz w:w="11900" w:h="16838" w:orient="portrait"/>
          <w:cols w:equalWidth="0" w:num="1">
            <w:col w:w="11020"/>
          </w:cols>
          <w:pgMar w:left="440" w:top="274"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T-1.6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TRUST COMPANY,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1020"/>
          </w:cols>
          <w:pgMar w:left="440" w:top="270" w:right="439" w:bottom="1440" w:gutter="0" w:footer="0" w:header="0"/>
        </w:sectPr>
      </w:pPr>
    </w:p>
    <w:bookmarkStart w:id="104" w:name="page105"/>
    <w:bookmarkEnd w:id="104"/>
    <w:p>
      <w:pPr>
        <w:ind w:left="8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171450</wp:posOffset>
            </wp:positionV>
            <wp:extent cx="5829300" cy="7200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5829300" cy="720090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5657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Beach, Florida 33139</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firstLine="440"/>
        <w:spacing w:after="0" w:line="290"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the following securities of the Company having an aggregate initial offering price of up to $750,000,000 (collectively, the “Securities”): (i) shares (“Common Shares”) of common stock, $.001 par value per share (“Common Stock”); (ii) shares (“Preferred Shares”) of preferred stock, $.001 par value per share (“Preferred Stock”); (iii) warrants (“Warrants”); (iv) subscription rights (“Subscription Rights”); (v) debt securities (“Debt Securities”); and (vi) units (“Units”) comprised of one or more of the foregoing Securities, covered by the above-referenced Registration Statement, and all amendments thereto (the “Registration Statement”), to be filed by the Company with the United States Securities and Exchange Commission (the “Commission”) under the Securities Act of 1933, as amended (the “1933 Act”), on or about the date hereof.</w:t>
      </w:r>
    </w:p>
    <w:p>
      <w:pPr>
        <w:spacing w:after="0" w:line="16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38" w:lineRule="exact"/>
        <w:rPr>
          <w:sz w:val="20"/>
          <w:szCs w:val="20"/>
          <w:color w:val="auto"/>
        </w:rPr>
      </w:pPr>
    </w:p>
    <w:p>
      <w:pPr>
        <w:ind w:right="20" w:firstLine="436"/>
        <w:spacing w:after="0" w:line="277"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transmitted to the Commission for filing pursuant to the 1933 Act;</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charter of the Company (the “Charter”), certified by the State Department of Assessments and Taxation of Maryland (the “SDAT”);</w:t>
      </w:r>
    </w:p>
    <w:p>
      <w:pPr>
        <w:spacing w:after="0" w:line="128" w:lineRule="exact"/>
        <w:rPr>
          <w:rFonts w:ascii="Arial" w:cs="Arial" w:eastAsia="Arial" w:hAnsi="Arial"/>
          <w:sz w:val="17"/>
          <w:szCs w:val="17"/>
          <w:color w:val="auto"/>
        </w:rPr>
      </w:pPr>
    </w:p>
    <w:p>
      <w:pPr>
        <w:ind w:left="620" w:hanging="18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5"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791845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4972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9720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80" w:firstLine="436"/>
        <w:spacing w:after="0" w:line="277"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17" w:lineRule="exact"/>
        <w:rPr>
          <w:rFonts w:ascii="Arial" w:cs="Arial" w:eastAsia="Arial" w:hAnsi="Arial"/>
          <w:sz w:val="18"/>
          <w:szCs w:val="18"/>
          <w:color w:val="auto"/>
        </w:rPr>
      </w:pPr>
    </w:p>
    <w:p>
      <w:pPr>
        <w:ind w:right="820" w:firstLine="436"/>
        <w:spacing w:after="0" w:line="277"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620" w:hanging="184"/>
        <w:spacing w:after="0"/>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 competent to do so.</w:t>
      </w:r>
    </w:p>
    <w:p>
      <w:pPr>
        <w:spacing w:after="0" w:line="128" w:lineRule="exact"/>
        <w:rPr>
          <w:rFonts w:ascii="Arial" w:cs="Arial" w:eastAsia="Arial" w:hAnsi="Arial"/>
          <w:sz w:val="17"/>
          <w:szCs w:val="17"/>
          <w:color w:val="auto"/>
        </w:rPr>
      </w:pPr>
    </w:p>
    <w:p>
      <w:pPr>
        <w:ind w:left="620" w:hanging="184"/>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17" w:lineRule="exact"/>
        <w:rPr>
          <w:rFonts w:ascii="Arial" w:cs="Arial" w:eastAsia="Arial" w:hAnsi="Arial"/>
          <w:sz w:val="18"/>
          <w:szCs w:val="18"/>
          <w:color w:val="auto"/>
        </w:rPr>
      </w:pPr>
    </w:p>
    <w:p>
      <w:pPr>
        <w:ind w:right="680" w:firstLine="436"/>
        <w:spacing w:after="0" w:line="263"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75" w:lineRule="exact"/>
        <w:rPr>
          <w:rFonts w:ascii="Arial" w:cs="Arial" w:eastAsia="Arial" w:hAnsi="Arial"/>
          <w:sz w:val="18"/>
          <w:szCs w:val="18"/>
          <w:color w:val="auto"/>
        </w:rPr>
      </w:pPr>
    </w:p>
    <w:p>
      <w:pPr>
        <w:ind w:firstLine="436"/>
        <w:spacing w:after="0" w:line="273"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69" w:lineRule="exact"/>
        <w:rPr>
          <w:rFonts w:ascii="Arial" w:cs="Arial" w:eastAsia="Arial" w:hAnsi="Arial"/>
          <w:sz w:val="17"/>
          <w:szCs w:val="17"/>
          <w:color w:val="auto"/>
        </w:rPr>
      </w:pPr>
    </w:p>
    <w:p>
      <w:pPr>
        <w:ind w:right="20" w:firstLine="436"/>
        <w:spacing w:after="0" w:line="286"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10940"/>
          </w:cols>
          <w:pgMar w:left="440" w:top="1286" w:right="5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791845</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4972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9720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0" w:firstLine="436"/>
        <w:spacing w:after="0" w:line="286" w:lineRule="auto"/>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57" w:lineRule="exact"/>
        <w:rPr>
          <w:rFonts w:ascii="Arial" w:cs="Arial" w:eastAsia="Arial" w:hAnsi="Arial"/>
          <w:sz w:val="17"/>
          <w:szCs w:val="17"/>
          <w:color w:val="auto"/>
        </w:rPr>
      </w:pPr>
    </w:p>
    <w:p>
      <w:pPr>
        <w:ind w:firstLine="436"/>
        <w:spacing w:after="0" w:line="277"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62" w:lineRule="exact"/>
        <w:rPr>
          <w:rFonts w:ascii="Arial" w:cs="Arial" w:eastAsia="Arial" w:hAnsi="Arial"/>
          <w:sz w:val="18"/>
          <w:szCs w:val="18"/>
          <w:color w:val="auto"/>
        </w:rPr>
      </w:pPr>
    </w:p>
    <w:p>
      <w:pPr>
        <w:ind w:right="20" w:firstLine="436"/>
        <w:spacing w:after="0" w:line="257"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140" w:firstLine="436"/>
        <w:spacing w:after="0" w:line="277"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62" w:lineRule="exact"/>
        <w:rPr>
          <w:rFonts w:ascii="Arial" w:cs="Arial" w:eastAsia="Arial" w:hAnsi="Arial"/>
          <w:sz w:val="18"/>
          <w:szCs w:val="18"/>
          <w:color w:val="auto"/>
        </w:rPr>
      </w:pPr>
    </w:p>
    <w:p>
      <w:pPr>
        <w:ind w:right="80" w:firstLine="436"/>
        <w:spacing w:after="0" w:line="263"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75" w:lineRule="exact"/>
        <w:rPr>
          <w:rFonts w:ascii="Arial" w:cs="Arial" w:eastAsia="Arial" w:hAnsi="Arial"/>
          <w:sz w:val="18"/>
          <w:szCs w:val="18"/>
          <w:color w:val="auto"/>
        </w:rPr>
      </w:pPr>
    </w:p>
    <w:p>
      <w:pPr>
        <w:ind w:right="80" w:firstLine="436"/>
        <w:spacing w:after="0" w:line="263"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117" w:lineRule="exact"/>
        <w:rPr>
          <w:rFonts w:ascii="Arial" w:cs="Arial" w:eastAsia="Arial" w:hAnsi="Arial"/>
          <w:sz w:val="18"/>
          <w:szCs w:val="18"/>
          <w:color w:val="auto"/>
        </w:rPr>
      </w:pPr>
    </w:p>
    <w:p>
      <w:pPr>
        <w:ind w:right="420" w:firstLine="436"/>
        <w:spacing w:after="0" w:line="277"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Subscription Rights, the issuance of the Subscription Rights will be duly authorized.</w:t>
      </w:r>
    </w:p>
    <w:p>
      <w:pPr>
        <w:sectPr>
          <w:pgSz w:w="11900" w:h="16838" w:orient="portrait"/>
          <w:cols w:equalWidth="0" w:num="1">
            <w:col w:w="10980"/>
          </w:cols>
          <w:pgMar w:left="440" w:top="1286" w:right="4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791845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4972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9720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620" w:hanging="184"/>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 duly authorized.</w:t>
      </w:r>
    </w:p>
    <w:p>
      <w:pPr>
        <w:spacing w:after="0" w:line="140" w:lineRule="exact"/>
        <w:rPr>
          <w:rFonts w:ascii="Arial" w:cs="Arial" w:eastAsia="Arial" w:hAnsi="Arial"/>
          <w:sz w:val="16"/>
          <w:szCs w:val="16"/>
          <w:color w:val="auto"/>
        </w:rPr>
      </w:pPr>
    </w:p>
    <w:p>
      <w:pPr>
        <w:ind w:left="620" w:hanging="184"/>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Units, the issuance of the Units will be duly authorized.</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or the applicability of, the 1940 Act and other federal securities laws, or state securities laws, including the securities laws of the State of Maryland. We express no opinion as to debt obligations of third parties that may be issued in combination with other Securities as a Unit as described in the Registration Statement.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0840"/>
          </w:cols>
          <w:pgMar w:left="440" w:top="1286" w:right="6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(l)(2)</w:t>
      </w:r>
    </w:p>
    <w:p>
      <w:pPr>
        <w:spacing w:after="0" w:line="252"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Three Bryant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276985" cy="5060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1276985" cy="506095"/>
                    </a:xfrm>
                    <a:prstGeom prst="rect">
                      <a:avLst/>
                    </a:prstGeom>
                    <a:noFill/>
                  </pic:spPr>
                </pic:pic>
              </a:graphicData>
            </a:graphic>
          </wp:anchor>
        </w:drawing>
      </w:r>
    </w:p>
    <w:p>
      <w:pPr>
        <w:spacing w:after="0" w:line="3"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1095 Avenue of the Americas</w:t>
      </w:r>
    </w:p>
    <w:p>
      <w:pPr>
        <w:spacing w:after="0" w:line="9"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New York, NY 10036-6797</w:t>
      </w:r>
    </w:p>
    <w:p>
      <w:pPr>
        <w:spacing w:after="0" w:line="23"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+1 212 698 3500 Main</w:t>
      </w:r>
    </w:p>
    <w:p>
      <w:pPr>
        <w:spacing w:after="0" w:line="9"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+1 212 698 3599 Fax</w:t>
      </w:r>
    </w:p>
    <w:p>
      <w:pPr>
        <w:spacing w:after="0" w:line="9"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5715</wp:posOffset>
            </wp:positionV>
            <wp:extent cx="22371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15, 2022</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1619 Michigan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Miami Beach, Florida 33139</w:t>
      </w:r>
    </w:p>
    <w:p>
      <w:pPr>
        <w:spacing w:after="0" w:line="1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$750,000,000 of the following securities of the Company: (1) shares of common stock, par value $0.001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warrants of the Company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Common Stock, Preferred Stock or Debt Securities (as defined below), (4) rights to purchase Common Stock,</w:t>
      </w:r>
    </w:p>
    <w:p>
      <w:pPr>
        <w:spacing w:after="0" w:line="4" w:lineRule="exact"/>
        <w:rPr>
          <w:sz w:val="20"/>
          <w:szCs w:val="20"/>
          <w:color w:val="auto"/>
        </w:rPr>
      </w:pPr>
    </w:p>
    <w:p>
      <w:pPr>
        <w:ind w:left="4" w:right="180" w:hanging="4"/>
        <w:spacing w:after="0" w:line="255"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debt securities (“</w:t>
      </w:r>
      <w:r>
        <w:rPr>
          <w:rFonts w:ascii="Arial" w:cs="Arial" w:eastAsia="Arial" w:hAnsi="Arial"/>
          <w:sz w:val="18"/>
          <w:szCs w:val="18"/>
          <w:u w:val="single" w:color="auto"/>
          <w:color w:val="auto"/>
        </w:rPr>
        <w:t>Debt Securities</w:t>
      </w:r>
      <w:r>
        <w:rPr>
          <w:rFonts w:ascii="Arial" w:cs="Arial" w:eastAsia="Arial" w:hAnsi="Arial"/>
          <w:sz w:val="18"/>
          <w:szCs w:val="18"/>
          <w:color w:val="auto"/>
        </w:rPr>
        <w:t>”) to be issued pursuant to an indenture between the Company and American Stock Transfer &amp; Trust Company, LLC,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and (6) units consisting of any combination of the foregoing or of securities issued by the U.S. Treasury. The Warrants and Debt Securities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0"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7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214" w:lineRule="exact"/>
        <w:rPr>
          <w:sz w:val="20"/>
          <w:szCs w:val="20"/>
          <w:color w:val="auto"/>
        </w:rPr>
      </w:pPr>
    </w:p>
    <w:p>
      <w:pPr>
        <w:ind w:left="964" w:hanging="532"/>
        <w:spacing w:after="0"/>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ind w:left="964" w:hanging="532"/>
        <w:spacing w:after="0"/>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indenture, dated as of January 22, 2013,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964" w:right="160" w:hanging="532"/>
        <w:spacing w:after="0" w:line="277" w:lineRule="auto"/>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70"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ectPr>
          <w:pgSz w:w="11900" w:h="16838" w:orient="portrait"/>
          <w:cols w:equalWidth="0" w:num="1">
            <w:col w:w="11024"/>
          </w:cols>
          <w:pgMar w:left="436" w:top="125" w:right="439" w:bottom="1440" w:gutter="0" w:footer="0" w:header="0"/>
        </w:sectPr>
      </w:pPr>
    </w:p>
    <w:bookmarkStart w:id="111" w:name="page112"/>
    <w:bookmarkEnd w:id="111"/>
    <w:p>
      <w:pP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76985" cy="506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1276985" cy="50609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142875</wp:posOffset>
            </wp:positionV>
            <wp:extent cx="21602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the foregoing and subject to the assumptions, qualifications and limitations set forth in this letter, we are of the opinion that:</w:t>
      </w:r>
    </w:p>
    <w:p>
      <w:pPr>
        <w:spacing w:after="0" w:line="264" w:lineRule="exact"/>
        <w:rPr>
          <w:sz w:val="20"/>
          <w:szCs w:val="20"/>
          <w:color w:val="auto"/>
        </w:rPr>
      </w:pPr>
    </w:p>
    <w:p>
      <w:pPr>
        <w:ind w:left="960" w:right="100" w:hanging="532"/>
        <w:spacing w:after="0" w:line="25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214" w:lineRule="exact"/>
        <w:rPr>
          <w:rFonts w:ascii="Arial" w:cs="Arial" w:eastAsia="Arial" w:hAnsi="Arial"/>
          <w:sz w:val="18"/>
          <w:szCs w:val="18"/>
          <w:color w:val="auto"/>
        </w:rPr>
      </w:pPr>
    </w:p>
    <w:p>
      <w:pPr>
        <w:ind w:left="960" w:right="20" w:hanging="532"/>
        <w:spacing w:after="0" w:line="291" w:lineRule="auto"/>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w:t>
      </w:r>
    </w:p>
    <w:p>
      <w:pPr>
        <w:ind w:left="960"/>
        <w:spacing w:after="0" w:line="253" w:lineRule="auto"/>
        <w:rPr>
          <w:rFonts w:ascii="Arial" w:cs="Arial" w:eastAsia="Arial" w:hAnsi="Arial"/>
          <w:sz w:val="16"/>
          <w:szCs w:val="16"/>
          <w:color w:val="auto"/>
        </w:rPr>
      </w:pPr>
      <w:r>
        <w:rPr>
          <w:rFonts w:ascii="Arial" w:cs="Arial" w:eastAsia="Arial" w:hAnsi="Arial"/>
          <w:sz w:val="18"/>
          <w:szCs w:val="18"/>
          <w:color w:val="auto"/>
        </w:rPr>
        <w:t>(y)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19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173" w:lineRule="exact"/>
        <w:rPr>
          <w:sz w:val="20"/>
          <w:szCs w:val="20"/>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Board of Directors, including any appropriate committee appointed thereby, and/or appropriate officers of the Company shall have duly</w:t>
      </w:r>
    </w:p>
    <w:p>
      <w:pPr>
        <w:spacing w:after="0" w:line="46" w:lineRule="exact"/>
        <w:rPr>
          <w:rFonts w:ascii="Arial" w:cs="Arial" w:eastAsia="Arial" w:hAnsi="Arial"/>
          <w:sz w:val="16"/>
          <w:szCs w:val="16"/>
          <w:color w:val="auto"/>
        </w:rPr>
      </w:pPr>
    </w:p>
    <w:p>
      <w:pPr>
        <w:ind w:left="960" w:right="600"/>
        <w:spacing w:after="0" w:line="260" w:lineRule="auto"/>
        <w:rPr>
          <w:rFonts w:ascii="Arial" w:cs="Arial" w:eastAsia="Arial" w:hAnsi="Arial"/>
          <w:sz w:val="16"/>
          <w:szCs w:val="16"/>
          <w:color w:val="auto"/>
        </w:rPr>
      </w:pPr>
      <w:r>
        <w:rPr>
          <w:rFonts w:ascii="Arial" w:cs="Arial" w:eastAsia="Arial" w:hAnsi="Arial"/>
          <w:sz w:val="18"/>
          <w:szCs w:val="18"/>
          <w:color w:val="auto"/>
        </w:rPr>
        <w:t>(x) established the terms of the Securities and (y) authorized and taken any other necessary corporate or other action to approve the creation, if applicable, issuance and sale of the Securities and related matters;</w:t>
      </w:r>
    </w:p>
    <w:p>
      <w:pPr>
        <w:spacing w:after="0" w:line="212"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and authorizing the Company to register, offer, sell and issue the Securities shall remain in effect and unchanged at all times during which the Securities are offered, sold or issued by the Company;</w:t>
      </w:r>
    </w:p>
    <w:p>
      <w:pPr>
        <w:spacing w:after="0" w:line="197" w:lineRule="exact"/>
        <w:rPr>
          <w:rFonts w:ascii="Arial" w:cs="Arial" w:eastAsia="Arial" w:hAnsi="Arial"/>
          <w:sz w:val="18"/>
          <w:szCs w:val="18"/>
          <w:color w:val="auto"/>
        </w:rPr>
      </w:pPr>
    </w:p>
    <w:p>
      <w:pPr>
        <w:ind w:left="960" w:right="180" w:hanging="532"/>
        <w:spacing w:after="0" w:line="253"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ectPr>
          <w:pgSz w:w="11900" w:h="16838" w:orient="portrait"/>
          <w:cols w:equalWidth="0" w:num="1">
            <w:col w:w="11000"/>
          </w:cols>
          <w:pgMar w:left="440" w:top="274" w:right="459" w:bottom="1440" w:gutter="0" w:footer="0" w:header="0"/>
        </w:sectPr>
      </w:pPr>
    </w:p>
    <w:bookmarkStart w:id="112" w:name="page113"/>
    <w:bookmarkEnd w:id="112"/>
    <w:p>
      <w:pPr>
        <w:ind w:left="7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276985" cy="5060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1276985" cy="506095"/>
                    </a:xfrm>
                    <a:prstGeom prst="rect">
                      <a:avLst/>
                    </a:prstGeom>
                    <a:noFill/>
                  </pic:spPr>
                </pic:pic>
              </a:graphicData>
            </a:graphic>
          </wp:anchor>
        </w:drawing>
      </w:r>
    </w:p>
    <w:p>
      <w:pPr>
        <w:spacing w:after="0" w:line="3" w:lineRule="exact"/>
        <w:rPr>
          <w:sz w:val="20"/>
          <w:szCs w:val="20"/>
          <w:color w:val="auto"/>
        </w:rPr>
      </w:pPr>
    </w:p>
    <w:p>
      <w:pPr>
        <w:ind w:left="7624"/>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ind w:left="7624"/>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142875</wp:posOffset>
            </wp:positionV>
            <wp:extent cx="2160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66" w:lineRule="exact"/>
        <w:rPr>
          <w:sz w:val="20"/>
          <w:szCs w:val="20"/>
          <w:color w:val="auto"/>
        </w:rPr>
      </w:pPr>
    </w:p>
    <w:p>
      <w:pPr>
        <w:ind w:left="964" w:hanging="532"/>
        <w:spacing w:after="0"/>
        <w:tabs>
          <w:tab w:leader="none" w:pos="9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275" w:lineRule="exact"/>
        <w:rPr>
          <w:rFonts w:ascii="Arial" w:cs="Arial" w:eastAsia="Arial" w:hAnsi="Arial"/>
          <w:sz w:val="16"/>
          <w:szCs w:val="16"/>
          <w:color w:val="auto"/>
        </w:rPr>
      </w:pPr>
    </w:p>
    <w:p>
      <w:pPr>
        <w:ind w:left="964" w:hanging="532"/>
        <w:spacing w:after="0" w:line="257"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214"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197"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spacing w:after="0" w:line="210" w:lineRule="exact"/>
        <w:rPr>
          <w:rFonts w:ascii="Arial" w:cs="Arial" w:eastAsia="Arial" w:hAnsi="Arial"/>
          <w:sz w:val="18"/>
          <w:szCs w:val="18"/>
          <w:color w:val="auto"/>
        </w:rPr>
      </w:pPr>
    </w:p>
    <w:p>
      <w:pPr>
        <w:ind w:left="964" w:right="680" w:hanging="532"/>
        <w:spacing w:after="0" w:line="277"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197" w:lineRule="exact"/>
        <w:rPr>
          <w:rFonts w:ascii="Arial" w:cs="Arial" w:eastAsia="Arial" w:hAnsi="Arial"/>
          <w:sz w:val="18"/>
          <w:szCs w:val="18"/>
          <w:color w:val="auto"/>
        </w:rPr>
      </w:pPr>
    </w:p>
    <w:p>
      <w:pPr>
        <w:ind w:left="964" w:right="240" w:hanging="532"/>
        <w:spacing w:after="0" w:line="263"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210" w:lineRule="exact"/>
        <w:rPr>
          <w:rFonts w:ascii="Arial" w:cs="Arial" w:eastAsia="Arial" w:hAnsi="Arial"/>
          <w:sz w:val="18"/>
          <w:szCs w:val="18"/>
          <w:color w:val="auto"/>
        </w:rPr>
      </w:pPr>
    </w:p>
    <w:p>
      <w:pPr>
        <w:ind w:left="964" w:right="640" w:hanging="532"/>
        <w:spacing w:after="0" w:line="311" w:lineRule="auto"/>
        <w:tabs>
          <w:tab w:leader="none" w:pos="9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 and</w:t>
      </w:r>
    </w:p>
    <w:p>
      <w:pPr>
        <w:spacing w:after="0" w:line="175" w:lineRule="exact"/>
        <w:rPr>
          <w:rFonts w:ascii="Arial" w:cs="Arial" w:eastAsia="Arial" w:hAnsi="Arial"/>
          <w:sz w:val="16"/>
          <w:szCs w:val="16"/>
          <w:color w:val="auto"/>
        </w:rPr>
      </w:pPr>
    </w:p>
    <w:p>
      <w:pPr>
        <w:ind w:left="964" w:right="60" w:hanging="532"/>
        <w:spacing w:after="0" w:line="277"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70"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2" w:lineRule="exact"/>
        <w:rPr>
          <w:sz w:val="20"/>
          <w:szCs w:val="20"/>
          <w:color w:val="auto"/>
        </w:rPr>
      </w:pPr>
    </w:p>
    <w:p>
      <w:pPr>
        <w:ind w:left="324" w:hanging="324"/>
        <w:spacing w:after="0"/>
        <w:tabs>
          <w:tab w:leader="none" w:pos="3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provisions of law which may require that a judgment for money damages rendered by a court in the United States be expressed only in U.S. dollars;</w:t>
      </w:r>
    </w:p>
    <w:p>
      <w:pPr>
        <w:spacing w:after="0" w:line="32" w:lineRule="exact"/>
        <w:rPr>
          <w:rFonts w:ascii="Arial" w:cs="Arial" w:eastAsia="Arial" w:hAnsi="Arial"/>
          <w:sz w:val="16"/>
          <w:szCs w:val="16"/>
          <w:color w:val="auto"/>
        </w:rPr>
      </w:pPr>
    </w:p>
    <w:p>
      <w:pPr>
        <w:ind w:left="4" w:right="100" w:hanging="4"/>
        <w:spacing w:after="0" w:line="281" w:lineRule="auto"/>
        <w:tabs>
          <w:tab w:leader="none" w:pos="3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governmental authority to limit, delay or prohibit the making of payments outside the United States or in foreign currency or composite currency.</w:t>
      </w:r>
    </w:p>
    <w:p>
      <w:pPr>
        <w:sectPr>
          <w:pgSz w:w="11900" w:h="16838" w:orient="portrait"/>
          <w:cols w:equalWidth="0" w:num="1">
            <w:col w:w="11004"/>
          </w:cols>
          <w:pgMar w:left="436" w:top="274" w:right="459" w:bottom="1440" w:gutter="0" w:footer="0" w:header="0"/>
        </w:sectPr>
      </w:pPr>
    </w:p>
    <w:bookmarkStart w:id="113" w:name="page114"/>
    <w:bookmarkEnd w:id="113"/>
    <w:p>
      <w:pP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76985" cy="5060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1276985" cy="50609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March 15, 2022</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142875</wp:posOffset>
            </wp:positionV>
            <wp:extent cx="2160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6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opinions are limited to the laws of the State of New York.</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0940"/>
          </w:cols>
          <w:pgMar w:left="440" w:top="274" w:right="5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(n)(1)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N-2 of PennantPark Investment Corporation and Subsidiaries (the Company) of our reports dated November 17, 2021, relating to the consolidated financial statements and the effectiveness of internal control over financial reporting of the Company, appearing in the Annual Report on Form 10-K of the Company for the year ended September 30, 2021. We also consent to the incorporation by reference in such Registration Statement of our report dated November 17, 2021, relating to the senior securities table appearing elsewhere in this Registration Statement.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also consent to the reference to our firm under the headings “Senior Securities” and “Independent Registered Public Accounting Firm” in this Registration Statement on Form N-2.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ectPr>
          <w:pgSz w:w="11900" w:h="16838" w:orient="portrait"/>
          <w:cols w:equalWidth="0" w:num="1">
            <w:col w:w="11020"/>
          </w:cols>
          <w:pgMar w:left="440" w:top="125" w:right="4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(n)(3)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incorporation by reference in the Prospectus constituting a part of this Registration Statement of our reports dated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November 16, 2021, November 16, 2020, and November 15, 2019, relating to the consolidated financial statements of RAM Energy Holdings LLC as of and for the years ended September 30, 2021, 2020 and 2019, respectively, appearing in PennantPark Investment Corporation’s Annual Report on Form 10-K for the year ended September 30,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“Independent Auditor”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ectPr>
          <w:pgSz w:w="11900" w:h="16838" w:orient="portrait"/>
          <w:cols w:equalWidth="0" w:num="1">
            <w:col w:w="11020"/>
          </w:cols>
          <w:pgMar w:left="440" w:top="125" w:right="4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(s)(9)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Calculation of Filing Fees Tables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Form N-2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PennantPark Investment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Registration as Specified in its Charter)</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 Newly Registered Securities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7"/>
              </w:rPr>
              <w:t>Filing Fee</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Previously Paid</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in Connection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with Unsold</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60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Amount</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 to be</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0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Being</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c>
          <w:tcPr>
            <w:tcW w:w="0" w:type="dxa"/>
            <w:vAlign w:val="bottom"/>
          </w:tcPr>
          <w:p>
            <w:pPr>
              <w:spacing w:after="0"/>
              <w:rPr>
                <w:sz w:val="1"/>
                <w:szCs w:val="1"/>
                <w:color w:val="auto"/>
              </w:rPr>
            </w:pPr>
          </w:p>
        </w:tc>
      </w:tr>
      <w:tr>
        <w:trPr>
          <w:trHeight w:val="170"/>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Rule</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w w:val="89"/>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Price</w:t>
            </w:r>
            <w:r>
              <w:rPr>
                <w:rFonts w:ascii="Arial" w:cs="Arial" w:eastAsia="Arial" w:hAnsi="Arial"/>
                <w:sz w:val="10"/>
                <w:szCs w:val="10"/>
                <w:color w:val="auto"/>
                <w:w w:val="90"/>
              </w:rPr>
              <w:t>(1)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Fee</w:t>
            </w:r>
            <w:r>
              <w:rPr>
                <w:rFonts w:ascii="Arial" w:cs="Arial" w:eastAsia="Arial" w:hAnsi="Arial"/>
                <w:sz w:val="10"/>
                <w:szCs w:val="10"/>
                <w:color w:val="auto"/>
                <w:w w:val="86"/>
              </w:rPr>
              <w:t>(1)</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84"/>
              </w:rPr>
              <w:t>Fees to be</w:t>
            </w: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Common</w:t>
            </w:r>
          </w:p>
        </w:tc>
        <w:tc>
          <w:tcPr>
            <w:tcW w:w="76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9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6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$0.001 par</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value</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$0.001 par</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value</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Warrants</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Subscription</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Rights</w:t>
            </w:r>
            <w:r>
              <w:rPr>
                <w:rFonts w:ascii="Arial" w:cs="Arial" w:eastAsia="Arial" w:hAnsi="Arial"/>
                <w:sz w:val="15"/>
                <w:szCs w:val="15"/>
                <w:color w:val="auto"/>
                <w:w w:val="92"/>
              </w:rPr>
              <w:t>(3)</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Securities</w:t>
            </w:r>
            <w:r>
              <w:rPr>
                <w:rFonts w:ascii="Arial" w:cs="Arial" w:eastAsia="Arial" w:hAnsi="Arial"/>
                <w:sz w:val="15"/>
                <w:szCs w:val="15"/>
                <w:color w:val="auto"/>
                <w:w w:val="90"/>
              </w:rPr>
              <w:t>(4)</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w:t>
            </w:r>
            <w:r>
              <w:rPr>
                <w:rFonts w:ascii="Arial" w:cs="Arial" w:eastAsia="Arial" w:hAnsi="Arial"/>
                <w:sz w:val="15"/>
                <w:szCs w:val="15"/>
                <w:color w:val="auto"/>
                <w:w w:val="94"/>
              </w:rPr>
              <w:t>(5)</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Unallocated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457(o)</w:t>
            </w: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760" w:type="dxa"/>
            <w:vAlign w:val="bottom"/>
            <w:tcBorders>
              <w:bottom w:val="single" w:sz="8" w:color="auto"/>
              <w:right w:val="single" w:sz="8" w:color="auto"/>
            </w:tcBorders>
            <w:vMerge w:val="continue"/>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$401,250,000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0.0000927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$37,195.88</w:t>
            </w: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79"/>
              </w:rPr>
              <w:t>Fees</w:t>
            </w: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Previously</w:t>
            </w: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$0.001 par</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value</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$0.001 par</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value</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Warrants</w:t>
            </w:r>
            <w:r>
              <w:rPr>
                <w:rFonts w:ascii="Arial" w:cs="Arial" w:eastAsia="Arial" w:hAnsi="Arial"/>
                <w:sz w:val="15"/>
                <w:szCs w:val="15"/>
                <w:color w:val="auto"/>
                <w:w w:val="91"/>
              </w:rPr>
              <w:t>(2)</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Subscription</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Rights</w:t>
            </w:r>
            <w:r>
              <w:rPr>
                <w:rFonts w:ascii="Arial" w:cs="Arial" w:eastAsia="Arial" w:hAnsi="Arial"/>
                <w:sz w:val="15"/>
                <w:szCs w:val="15"/>
                <w:color w:val="auto"/>
                <w:w w:val="92"/>
              </w:rPr>
              <w:t>(3)</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Securities</w:t>
            </w:r>
            <w:r>
              <w:rPr>
                <w:rFonts w:ascii="Arial" w:cs="Arial" w:eastAsia="Arial" w:hAnsi="Arial"/>
                <w:sz w:val="15"/>
                <w:szCs w:val="15"/>
                <w:color w:val="auto"/>
                <w:w w:val="90"/>
              </w:rPr>
              <w:t>(4)</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w:t>
            </w:r>
            <w:r>
              <w:rPr>
                <w:rFonts w:ascii="Arial" w:cs="Arial" w:eastAsia="Arial" w:hAnsi="Arial"/>
                <w:sz w:val="15"/>
                <w:szCs w:val="15"/>
                <w:color w:val="auto"/>
                <w:w w:val="94"/>
              </w:rPr>
              <w:t>(5)</w:t>
            </w:r>
          </w:p>
        </w:tc>
        <w:tc>
          <w:tcPr>
            <w:tcW w:w="7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Unallocated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76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415(a)(6)</w:t>
            </w:r>
          </w:p>
        </w:tc>
        <w:tc>
          <w:tcPr>
            <w:tcW w:w="6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$348,750,000</w:t>
            </w:r>
            <w:r>
              <w:rPr>
                <w:rFonts w:ascii="Arial" w:cs="Arial" w:eastAsia="Arial" w:hAnsi="Arial"/>
                <w:sz w:val="15"/>
                <w:szCs w:val="15"/>
                <w:color w:val="auto"/>
                <w:w w:val="91"/>
              </w:rPr>
              <w:t>(6)</w:t>
            </w: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April 29,</w:t>
            </w: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760" w:type="dxa"/>
            <w:vAlign w:val="bottom"/>
            <w:tcBorders>
              <w:bottom w:val="single" w:sz="8" w:color="auto"/>
              <w:right w:val="single" w:sz="8" w:color="auto"/>
            </w:tcBorders>
            <w:vMerge w:val="continue"/>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333-230014</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$40,420.13</w:t>
            </w: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w w:val="96"/>
              </w:rPr>
              <w:t>Total Offering Amount</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r>
              <w:rPr>
                <w:rFonts w:ascii="Arial" w:cs="Arial" w:eastAsia="Arial" w:hAnsi="Arial"/>
                <w:sz w:val="15"/>
                <w:szCs w:val="15"/>
                <w:color w:val="auto"/>
                <w:w w:val="90"/>
              </w:rPr>
              <w:t>(7)</w:t>
            </w: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$37,195.88</w:t>
            </w:r>
          </w:p>
        </w:tc>
        <w:tc>
          <w:tcPr>
            <w:tcW w:w="52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92"/>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$37,195.88</w:t>
            </w:r>
          </w:p>
        </w:tc>
        <w:tc>
          <w:tcPr>
            <w:tcW w:w="5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117" w:name="page118"/>
    <w:bookmarkEnd w:id="117"/>
    <w:p>
      <w:pPr>
        <w:jc w:val="both"/>
        <w:ind w:left="424" w:right="20" w:hanging="424"/>
        <w:spacing w:after="0" w:line="255"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2" w:lineRule="exact"/>
        <w:rPr>
          <w:rFonts w:ascii="Arial" w:cs="Arial" w:eastAsia="Arial" w:hAnsi="Arial"/>
          <w:sz w:val="18"/>
          <w:szCs w:val="18"/>
          <w:color w:val="auto"/>
        </w:rPr>
      </w:pPr>
    </w:p>
    <w:p>
      <w:pPr>
        <w:ind w:left="424" w:right="140" w:hanging="424"/>
        <w:spacing w:after="0" w:line="265"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Subject to Note 7 below, there is being registered hereunder an indeterminate number of shares of common stock, preferred stock, or warrants as may be sold, from time to time. Warrants represent rights to purchase common stock, preferred stock or debt securities.</w:t>
      </w:r>
    </w:p>
    <w:p>
      <w:pPr>
        <w:ind w:left="424" w:right="320" w:hanging="424"/>
        <w:spacing w:after="0" w:line="25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Note 7 below, there is being registered hereunder an indeterminate number of subscription rights as may be sold, from time to time, representing rights to purchase common stock.</w:t>
      </w:r>
    </w:p>
    <w:p>
      <w:pPr>
        <w:ind w:left="424" w:right="140" w:hanging="424"/>
        <w:spacing w:after="0" w:line="25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Note 7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 w:lineRule="exact"/>
        <w:rPr>
          <w:rFonts w:ascii="Arial" w:cs="Arial" w:eastAsia="Arial" w:hAnsi="Arial"/>
          <w:sz w:val="18"/>
          <w:szCs w:val="18"/>
          <w:color w:val="auto"/>
        </w:rPr>
      </w:pPr>
    </w:p>
    <w:p>
      <w:pPr>
        <w:ind w:left="424" w:hanging="424"/>
        <w:spacing w:after="0" w:line="265"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Subject to Note 7 below, there is being registered hereunder an indeterminate principal amount of units. Each unit may consist of a combination of any one or more of the securities being registered hereunder and may also include securities issued by the U.S. Treasury.</w:t>
      </w:r>
    </w:p>
    <w:p>
      <w:pPr>
        <w:ind w:left="424" w:right="40" w:hanging="424"/>
        <w:spacing w:after="0" w:line="265"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Pursuant to Rule 415(a)(6) under the Securities Act, this registration statement includes $348,750,000 aggregate principal offering price of unsold securities (the “Unsold Securities”) that were previously registered for sale under a Registration Statement filed on March 1, 2019 on Form N-2 (File No. 333-230014) and declared effective on April 29, 2019 (the “Prior Registration Statement”). The Registrant previously paid filing fees in the aggregate of $86,925 relating to the securities registered on the Prior Registration Statement. Pursuant to Rule 415(a)(6) under the Securities Act, the filing fees previously paid with respect to the Unsold Securities will continue to be applied to such Unsold Securities. Pursuant to Rule 415(a)(6) under the Securities Act, the offering of Unsold Securities under the Prior Registration Statement will be deemed terminated as of the date of effectiveness of this registration statement.</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no event will the aggregate offering price of all securities issued from time to time pursuant to this registration statement exceed $750,000,000.</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decimal"/>
      <w:start w:val="212"/>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8"/>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upperLetter"/>
      <w:start w:val="2"/>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3"/>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lvl w:ilvl="1">
      <w:lvlJc w:val="left"/>
      <w:lvlText w:val="%2)"/>
      <w:numFmt w:val="decimal"/>
      <w:start w:val="1"/>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5"/>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lowerLetter"/>
      <w:start w:val="2"/>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lowerRoman"/>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lowerRoman"/>
      <w:start w:val="1"/>
    </w:lvl>
  </w:abstractNum>
  <w:abstractNum w:abstractNumId="65">
    <w:nsid w:val="661E3F1E"/>
    <w:multiLevelType w:val="hybridMultilevel"/>
    <w:lvl w:ilvl="0">
      <w:lvlJc w:val="left"/>
      <w:lvlText w:val="(%1)"/>
      <w:numFmt w:val="lowerRoman"/>
      <w:start w:val="2"/>
    </w:lvl>
    <w:lvl w:ilvl="1">
      <w:lvlJc w:val="left"/>
      <w:lvlText w:val="%2."/>
      <w:numFmt w:val="lowerLetter"/>
      <w:start w:val="2"/>
    </w:lvl>
  </w:abstractNum>
  <w:abstractNum w:abstractNumId="66">
    <w:nsid w:val="5DC79EA8"/>
    <w:multiLevelType w:val="hybridMultilevel"/>
    <w:lvl w:ilvl="0">
      <w:lvlJc w:val="left"/>
      <w:lvlText w:val="(%1)"/>
      <w:numFmt w:val="lowerRoman"/>
      <w:start w:val="1"/>
    </w:lvl>
    <w:lvl w:ilvl="1">
      <w:lvlJc w:val="left"/>
      <w:lvlText w:val="%2."/>
      <w:numFmt w:val="lowerLetter"/>
      <w:start w:val="3"/>
    </w:lvl>
  </w:abstractNum>
  <w:abstractNum w:abstractNumId="67">
    <w:nsid w:val="540A471C"/>
    <w:multiLevelType w:val="hybridMultilevel"/>
    <w:lvl w:ilvl="0">
      <w:lvlJc w:val="left"/>
      <w:lvlText w:val="(%1)"/>
      <w:numFmt w:val="lowerRoman"/>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5"/>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6"/>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6"/>
    </w:lvl>
  </w:abstractNum>
  <w:abstractNum w:abstractNumId="74">
    <w:nsid w:val="A0382C5"/>
    <w:multiLevelType w:val="hybridMultilevel"/>
    <w:lvl w:ilvl="0">
      <w:lvlJc w:val="left"/>
      <w:lvlText w:val="(%1)"/>
      <w:numFmt w:val="decimal"/>
      <w:start w:val="5"/>
    </w:lvl>
  </w:abstractNum>
  <w:abstractNum w:abstractNumId="75">
    <w:nsid w:val="8F2B15E"/>
    <w:multiLevelType w:val="hybridMultilevel"/>
    <w:lvl w:ilvl="0">
      <w:lvlJc w:val="left"/>
      <w:lvlText w:val="(%1)"/>
      <w:numFmt w:val="lowerRoman"/>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lowerRoman"/>
      <w:start w:val="1"/>
    </w:lvl>
  </w:abstractNum>
  <w:abstractNum w:abstractNumId="78">
    <w:nsid w:val="68EB2F63"/>
    <w:multiLevelType w:val="hybridMultilevel"/>
    <w:lvl w:ilvl="0">
      <w:lvlJc w:val="left"/>
      <w:lvlText w:val="(%1)"/>
      <w:numFmt w:val="lowerRoman"/>
      <w:start w:val="5"/>
    </w:lvl>
  </w:abstractNum>
  <w:abstractNum w:abstractNumId="79">
    <w:nsid w:val="4962813B"/>
    <w:multiLevelType w:val="hybridMultilevel"/>
    <w:lvl w:ilvl="0">
      <w:lvlJc w:val="left"/>
      <w:lvlText w:val="(%1)"/>
      <w:numFmt w:val="lowerRoman"/>
      <w:start w:val="3"/>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2" Type="http://schemas.openxmlformats.org/officeDocument/2006/relationships/image" Target="media/image101.png"/><Relationship Id="rId122" Type="http://schemas.openxmlformats.org/officeDocument/2006/relationships/image" Target="media/image102.png"/><Relationship Id="rId143"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jpe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jpe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jpe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jpe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jpe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jpeg"/><Relationship Id="rId220" Type="http://schemas.openxmlformats.org/officeDocument/2006/relationships/image" Target="media/image172.jpe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jpe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jpe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jpeg"/><Relationship Id="rId230" Type="http://schemas.openxmlformats.org/officeDocument/2006/relationships/image" Target="media/image182.png"/><Relationship Id="rId231" Type="http://schemas.openxmlformats.org/officeDocument/2006/relationships/image" Target="media/image183.png"/><Relationship Id="rId108" Type="http://schemas.openxmlformats.org/officeDocument/2006/relationships/hyperlink" Target="http://www.sec.gov/Archives/edgar/data/1383414/000156459021057446/pnnt-10k_20210930.htm" TargetMode="External"/><Relationship Id="rId109" Type="http://schemas.openxmlformats.org/officeDocument/2006/relationships/hyperlink" Target="http://www.sec.gov/Archives/edgar/data/1383414/000095012321016092/pnnt-def14a_20220208.htm" TargetMode="External"/><Relationship Id="rId110" Type="http://schemas.openxmlformats.org/officeDocument/2006/relationships/hyperlink" Target="http://www.sec.gov/Archives/edgar/data/1383414/000095017022000974/pnnt-10q-20211231-no_xbr.htm" TargetMode="External"/><Relationship Id="rId111" Type="http://schemas.openxmlformats.org/officeDocument/2006/relationships/hyperlink" Target="http://www.sec.gov/Archives/edgar/data/1383414/000119312507084713/d8a12b.htm" TargetMode="External"/><Relationship Id="rId113" Type="http://schemas.openxmlformats.org/officeDocument/2006/relationships/hyperlink" Target="http://www.sec.gov/Archives/edgar/data/1383414/000119312507046516/dex99a.htm" TargetMode="External"/><Relationship Id="rId114" Type="http://schemas.openxmlformats.org/officeDocument/2006/relationships/hyperlink" Target="http://www.sec.gov/Archives/edgar/data/1383414/000156459020024172/pnnt-ex32_163.htm" TargetMode="External"/><Relationship Id="rId115" Type="http://schemas.openxmlformats.org/officeDocument/2006/relationships/hyperlink" Target="http://www.sec.gov/Archives/edgar/data/1383414/000119312508072557/dex99d1.htm" TargetMode="External"/><Relationship Id="rId116" Type="http://schemas.openxmlformats.org/officeDocument/2006/relationships/hyperlink" Target="http://www.sec.gov/Archives/edgar/data/1383414/000119312508125678/dex99d2.htm" TargetMode="External"/><Relationship Id="rId117" Type="http://schemas.openxmlformats.org/officeDocument/2006/relationships/hyperlink" Target="http://www.sec.gov/Archives/edgar/data/1383414/000119312508125678/dex99d4.htm" TargetMode="External"/><Relationship Id="rId118" Type="http://schemas.openxmlformats.org/officeDocument/2006/relationships/hyperlink" Target="http://www.sec.gov/Archives/edgar/data/1383414/000119312508125678/dex99d5.htm" TargetMode="External"/><Relationship Id="rId119" Type="http://schemas.openxmlformats.org/officeDocument/2006/relationships/hyperlink" Target="http://www.sec.gov/Archives/edgar/data/1383414/000150461911000038/exhibitd7formofarticlessup.htm" TargetMode="External"/><Relationship Id="rId120" Type="http://schemas.openxmlformats.org/officeDocument/2006/relationships/hyperlink" Target="http://www.sec.gov/Archives/edgar/data/1383414/000119312513018556/d470556dex99d8.htm" TargetMode="External"/><Relationship Id="rId121" Type="http://schemas.openxmlformats.org/officeDocument/2006/relationships/hyperlink" Target="http://www.sec.gov/Archives/edgar/data/1383414/000119312519257341/d812658dex41.htm" TargetMode="External"/><Relationship Id="rId123" Type="http://schemas.openxmlformats.org/officeDocument/2006/relationships/hyperlink" Target="http://www.sec.gov/Archives/edgar/data/1383414/000119312521125241/d124015dex41.htm" TargetMode="External"/><Relationship Id="rId124" Type="http://schemas.openxmlformats.org/officeDocument/2006/relationships/hyperlink" Target="http://www.sec.gov/Archives/edgar/data/1383414/000119312521303994/d236895dex41.htm" TargetMode="External"/><Relationship Id="rId125" Type="http://schemas.openxmlformats.org/officeDocument/2006/relationships/hyperlink" Target="http://www.sec.gov/Archives/edgar/data/1383414/000119312508072557/dex99e.htm" TargetMode="External"/><Relationship Id="rId126" Type="http://schemas.openxmlformats.org/officeDocument/2006/relationships/hyperlink" Target="http://www.sec.gov/Archives/edgar/data/1383414/000119312519105161/d630383dex99g3.htm" TargetMode="External"/><Relationship Id="rId127" Type="http://schemas.openxmlformats.org/officeDocument/2006/relationships/hyperlink" Target="http://www.sec.gov/Archives/edgar/data/1383414/000119312510035957/dex99h1.htm" TargetMode="External"/><Relationship Id="rId128" Type="http://schemas.openxmlformats.org/officeDocument/2006/relationships/hyperlink" Target="http://www.sec.gov/Archives/edgar/data/1383414/000119312508125678/dex99h2.htm" TargetMode="External"/><Relationship Id="rId129" Type="http://schemas.openxmlformats.org/officeDocument/2006/relationships/hyperlink" Target="http://www.sec.gov/Archives/edgar/data/1383414/000119312508072557/dex99j1.htm" TargetMode="External"/><Relationship Id="rId130" Type="http://schemas.openxmlformats.org/officeDocument/2006/relationships/hyperlink" Target="http://www.sec.gov/Archives/edgar/data/1383414/000119312508072557/dex99k1.htm" TargetMode="External"/><Relationship Id="rId131" Type="http://schemas.openxmlformats.org/officeDocument/2006/relationships/hyperlink" Target="http://www.sec.gov/Archives/edgar/data/1383414/000119312508072557/dex99k2.htm" TargetMode="External"/><Relationship Id="rId132" Type="http://schemas.openxmlformats.org/officeDocument/2006/relationships/hyperlink" Target="http://www.sec.gov/Archives/edgar/data/1383414/000119312508072557/dex99k3.htm" TargetMode="External"/><Relationship Id="rId133" Type="http://schemas.openxmlformats.org/officeDocument/2006/relationships/hyperlink" Target="http://www.sec.gov/Archives/edgar/data/1383414/000156459017015976/pnnt-ex101_12.htm" TargetMode="External"/><Relationship Id="rId134" Type="http://schemas.openxmlformats.org/officeDocument/2006/relationships/hyperlink" Target="http://www.sec.gov/Archives/edgar/data/1383414/000119312519240958/d761962dex101.htm" TargetMode="External"/><Relationship Id="rId135" Type="http://schemas.openxmlformats.org/officeDocument/2006/relationships/hyperlink" Target="http://www.sec.gov/Archives/edgar/data/1383414/000119312520208851/d41849dex101.htm" TargetMode="External"/><Relationship Id="rId136" Type="http://schemas.openxmlformats.org/officeDocument/2006/relationships/hyperlink" Target="http://www.sec.gov/Archives/edgar/data/1383414/000156459020054639/pnnt-ex1012_753.htm" TargetMode="External"/><Relationship Id="rId137" Type="http://schemas.openxmlformats.org/officeDocument/2006/relationships/hyperlink" Target="http://www.sec.gov/Archives/edgar/data/1383414/000119312520208851/d41849dex102.htm" TargetMode="External"/><Relationship Id="rId138" Type="http://schemas.openxmlformats.org/officeDocument/2006/relationships/hyperlink" Target="http://www.sec.gov/Archives/edgar/data/1383414/000119312516773701/d285279dex105.htm" TargetMode="External"/><Relationship Id="rId139" Type="http://schemas.openxmlformats.org/officeDocument/2006/relationships/hyperlink" Target="http://www.sec.gov/Archives/edgar/data/1383414/000119312519052085/d704263dex102.htm" TargetMode="External"/><Relationship Id="rId140" Type="http://schemas.openxmlformats.org/officeDocument/2006/relationships/hyperlink" Target="http://www.sec.gov/Archives/edgar/data/1383414/000119312519052085/d704263dex103.htm" TargetMode="External"/><Relationship Id="rId141" Type="http://schemas.openxmlformats.org/officeDocument/2006/relationships/hyperlink" Target="http://www.sec.gov/Archives/edgar/data/1383414/000156459021057446/pnnt-ex995_18.htm" TargetMode="External"/><Relationship Id="rId142" Type="http://schemas.openxmlformats.org/officeDocument/2006/relationships/hyperlink" Target="http://www.sec.gov/Archives/edgar/data/1383414/000156459021057446/pnnt-ex141_13.htm" TargetMode="External"/><Relationship Id="rId144" Type="http://schemas.openxmlformats.org/officeDocument/2006/relationships/hyperlink" Target="http://www.sec.gov/Archives/edgar/data/1383414/000150461911000038/s1formofprospectussuppleme.htm" TargetMode="External"/><Relationship Id="rId145" Type="http://schemas.openxmlformats.org/officeDocument/2006/relationships/hyperlink" Target="http://www.sec.gov/Archives/edgar/data/1383414/000150461911000038/s2formofprospectussuppleme.htm" TargetMode="External"/><Relationship Id="rId146" Type="http://schemas.openxmlformats.org/officeDocument/2006/relationships/hyperlink" Target="http://www.sec.gov/Archives/edgar/data/1383414/000150461911000038/s3formofprospectussuppleme.htm" TargetMode="External"/><Relationship Id="rId147" Type="http://schemas.openxmlformats.org/officeDocument/2006/relationships/hyperlink" Target="http://www.sec.gov/Archives/edgar/data/1383414/000150461911000038/s4formofprospectussuppleme.htm" TargetMode="External"/><Relationship Id="rId148" Type="http://schemas.openxmlformats.org/officeDocument/2006/relationships/hyperlink" Target="http://www.sec.gov/Archives/edgar/data/1383414/000150461911000038/s5formofprospectussuppleme.htm" TargetMode="External"/><Relationship Id="rId149" Type="http://schemas.openxmlformats.org/officeDocument/2006/relationships/hyperlink" Target="http://www.sec.gov/Archives/edgar/data/1383414/000156459021057446/pnnt-ex992_708.htm" TargetMode="External"/><Relationship Id="rId150" Type="http://schemas.openxmlformats.org/officeDocument/2006/relationships/hyperlink" Target="http://www.sec.gov/Archives/edgar/data/1383414/000156459021057446/pnnt-ex993_15.htm" TargetMode="External"/><Relationship Id="rId151" Type="http://schemas.openxmlformats.org/officeDocument/2006/relationships/hyperlink" Target="http://www.sec.gov/Archives/edgar/data/1383414/000156459021057446/pnnt-ex99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2022-03-15T15:16:50Z</dcterms:created>
  <dcterms:modified xsi:type="dcterms:W3CDTF">2022-03-15T15:16:50Z</dcterms:modified>
</cp:coreProperties>
</file>